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outlineLvl w:val="9"/>
        <w:rPr>
          <w:rFonts w:hint="eastAsia"/>
          <w:color w:val="auto"/>
          <w:sz w:val="72"/>
          <w:szCs w:val="72"/>
        </w:rPr>
      </w:pPr>
    </w:p>
    <w:p>
      <w:pPr>
        <w:rPr>
          <w:rFonts w:hint="eastAsia"/>
          <w:color w:val="auto"/>
          <w:sz w:val="72"/>
          <w:szCs w:val="72"/>
        </w:rPr>
      </w:pPr>
    </w:p>
    <w:p>
      <w:pPr>
        <w:rPr>
          <w:rFonts w:hint="eastAsia"/>
          <w:color w:val="auto"/>
          <w:sz w:val="72"/>
          <w:szCs w:val="72"/>
        </w:rPr>
      </w:pPr>
    </w:p>
    <w:p>
      <w:pPr>
        <w:pStyle w:val="2"/>
        <w:jc w:val="center"/>
        <w:rPr>
          <w:color w:val="auto"/>
          <w:sz w:val="48"/>
          <w:szCs w:val="48"/>
        </w:rPr>
      </w:pPr>
      <w:bookmarkStart w:id="0" w:name="_Toc21884"/>
      <w:bookmarkStart w:id="1" w:name="_Toc6400"/>
      <w:bookmarkStart w:id="2" w:name="_Toc27734"/>
      <w:bookmarkStart w:id="3" w:name="_Toc24716"/>
      <w:bookmarkStart w:id="4" w:name="_Toc5029"/>
      <w:r>
        <w:rPr>
          <w:rFonts w:hint="eastAsia"/>
          <w:color w:val="auto"/>
          <w:sz w:val="72"/>
          <w:szCs w:val="72"/>
        </w:rPr>
        <w:t>哈尔滨信息工程学院</w:t>
      </w:r>
      <w:bookmarkEnd w:id="0"/>
      <w:bookmarkEnd w:id="1"/>
      <w:bookmarkEnd w:id="2"/>
      <w:bookmarkEnd w:id="3"/>
      <w:bookmarkEnd w:id="4"/>
    </w:p>
    <w:p>
      <w:pPr>
        <w:pStyle w:val="2"/>
        <w:jc w:val="center"/>
        <w:rPr>
          <w:color w:val="auto"/>
          <w:sz w:val="40"/>
          <w:szCs w:val="40"/>
        </w:rPr>
      </w:pPr>
      <w:bookmarkStart w:id="5" w:name="_Toc10175"/>
      <w:bookmarkStart w:id="6" w:name="_Toc9965"/>
      <w:bookmarkStart w:id="7" w:name="_Toc7977"/>
      <w:bookmarkStart w:id="8" w:name="_Toc20873"/>
      <w:r>
        <w:rPr>
          <w:rFonts w:hint="eastAsia"/>
          <w:color w:val="auto"/>
          <w:sz w:val="40"/>
          <w:szCs w:val="40"/>
        </w:rPr>
        <w:t>20</w:t>
      </w:r>
      <w:r>
        <w:rPr>
          <w:rFonts w:hint="eastAsia"/>
          <w:color w:val="auto"/>
          <w:sz w:val="40"/>
          <w:szCs w:val="40"/>
          <w:lang w:val="en-US" w:eastAsia="zh-CN"/>
        </w:rPr>
        <w:t>21</w:t>
      </w:r>
      <w:r>
        <w:rPr>
          <w:rFonts w:hint="eastAsia"/>
          <w:color w:val="auto"/>
          <w:sz w:val="40"/>
          <w:szCs w:val="40"/>
        </w:rPr>
        <w:t>届毕业生就业质量年度报告</w:t>
      </w:r>
      <w:bookmarkEnd w:id="5"/>
      <w:bookmarkEnd w:id="6"/>
      <w:bookmarkEnd w:id="7"/>
      <w:bookmarkEnd w:id="8"/>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jc w:val="both"/>
        <w:rPr>
          <w:b/>
          <w:bCs/>
          <w:sz w:val="36"/>
          <w:szCs w:val="36"/>
        </w:rPr>
      </w:pPr>
    </w:p>
    <w:p>
      <w:pPr>
        <w:jc w:val="center"/>
        <w:rPr>
          <w:b/>
          <w:bCs/>
          <w:sz w:val="36"/>
          <w:szCs w:val="36"/>
        </w:rPr>
      </w:pPr>
    </w:p>
    <w:p>
      <w:pPr>
        <w:jc w:val="center"/>
        <w:rPr>
          <w:b/>
          <w:bCs/>
          <w:sz w:val="36"/>
          <w:szCs w:val="36"/>
        </w:rPr>
      </w:pPr>
    </w:p>
    <w:p>
      <w:pPr>
        <w:jc w:val="center"/>
        <w:rPr>
          <w:b/>
          <w:bCs/>
          <w:sz w:val="28"/>
          <w:szCs w:val="28"/>
        </w:rPr>
      </w:pPr>
      <w:r>
        <w:rPr>
          <w:rFonts w:hint="eastAsia"/>
          <w:b/>
          <w:bCs/>
          <w:sz w:val="28"/>
          <w:szCs w:val="28"/>
        </w:rPr>
        <w:t>哈尔滨信息工程学院学生处就业指导中心 编</w:t>
      </w:r>
    </w:p>
    <w:p>
      <w:pPr>
        <w:spacing w:before="0" w:beforeLines="0" w:after="0" w:afterLines="0" w:line="240" w:lineRule="auto"/>
        <w:ind w:left="0" w:leftChars="0" w:right="0" w:rightChars="0" w:firstLine="0" w:firstLineChars="0"/>
        <w:jc w:val="center"/>
        <w:rPr>
          <w:rFonts w:ascii="宋体" w:hAnsi="宋体" w:eastAsia="宋体" w:cstheme="minorBidi"/>
          <w:kern w:val="2"/>
          <w:sz w:val="32"/>
          <w:szCs w:val="40"/>
          <w:lang w:val="en-US" w:eastAsia="zh-CN" w:bidi="ar-SA"/>
        </w:rPr>
        <w:sectPr>
          <w:headerReference r:id="rId3" w:type="default"/>
          <w:pgSz w:w="11906" w:h="16838"/>
          <w:pgMar w:top="1440" w:right="1800" w:bottom="1440" w:left="1800" w:header="737" w:footer="680" w:gutter="0"/>
          <w:pgNumType w:fmt="decimal" w:start="1"/>
          <w:cols w:space="425" w:num="1"/>
          <w:docGrid w:type="lines" w:linePitch="312" w:charSpace="0"/>
        </w:sectPr>
      </w:pPr>
    </w:p>
    <w:p>
      <w:bookmarkStart w:id="9" w:name="_Toc14242"/>
      <w:bookmarkStart w:id="10" w:name="_Toc17533"/>
    </w:p>
    <w:sdt>
      <w:sdtPr>
        <w:rPr>
          <w:rFonts w:ascii="宋体" w:hAnsi="宋体" w:eastAsia="宋体" w:cstheme="minorBidi"/>
          <w:kern w:val="2"/>
          <w:sz w:val="28"/>
          <w:szCs w:val="36"/>
          <w:lang w:val="en-US" w:eastAsia="zh-CN" w:bidi="ar-SA"/>
        </w:rPr>
        <w:id w:val="147472809"/>
        <w15:color w:val="DBDBDB"/>
        <w:docPartObj>
          <w:docPartGallery w:val="Table of Contents"/>
          <w:docPartUnique/>
        </w:docPartObj>
      </w:sdtPr>
      <w:sdtEndPr>
        <w:rPr>
          <w:rFonts w:hint="eastAsia" w:asciiTheme="minorHAnsi" w:hAnsiTheme="minorHAnsi" w:eastAsiaTheme="minorEastAsia" w:cstheme="minorBidi"/>
          <w:b/>
          <w:kern w:val="44"/>
          <w:sz w:val="44"/>
          <w:szCs w:val="24"/>
          <w:lang w:val="en-US" w:eastAsia="zh-CN" w:bidi="ar-SA"/>
        </w:rPr>
      </w:sdtEndPr>
      <w:sdtContent>
        <w:p>
          <w:pPr>
            <w:spacing w:before="0" w:beforeLines="0" w:after="0" w:afterLines="0" w:line="240" w:lineRule="auto"/>
            <w:ind w:left="0" w:leftChars="0" w:right="0" w:rightChars="0" w:firstLine="0" w:firstLineChars="0"/>
            <w:jc w:val="center"/>
            <w:rPr>
              <w:sz w:val="28"/>
              <w:szCs w:val="36"/>
            </w:rPr>
          </w:pPr>
          <w:r>
            <w:rPr>
              <w:rFonts w:ascii="宋体" w:hAnsi="宋体" w:eastAsia="宋体"/>
              <w:sz w:val="28"/>
              <w:szCs w:val="36"/>
            </w:rPr>
            <w:t>目录</w:t>
          </w:r>
        </w:p>
        <w:p>
          <w:pPr>
            <w:pStyle w:val="18"/>
            <w:tabs>
              <w:tab w:val="right" w:leader="dot" w:pos="8306"/>
            </w:tabs>
            <w:rPr>
              <w:b/>
            </w:rPr>
          </w:pPr>
          <w:r>
            <w:rPr>
              <w:rFonts w:hint="eastAsia"/>
            </w:rPr>
            <w:fldChar w:fldCharType="begin"/>
          </w:r>
          <w:r>
            <w:rPr>
              <w:rFonts w:hint="eastAsia"/>
            </w:rPr>
            <w:instrText xml:space="preserve">TOC \o "1-2" \h \u </w:instrText>
          </w:r>
          <w:r>
            <w:rPr>
              <w:rFonts w:hint="eastAsia"/>
            </w:rPr>
            <w:fldChar w:fldCharType="separate"/>
          </w:r>
        </w:p>
        <w:p>
          <w:pPr>
            <w:pStyle w:val="18"/>
            <w:tabs>
              <w:tab w:val="right" w:leader="dot" w:pos="8306"/>
            </w:tabs>
            <w:rPr>
              <w:b/>
            </w:rPr>
          </w:pPr>
          <w:r>
            <w:rPr>
              <w:rFonts w:hint="eastAsia"/>
              <w:b/>
            </w:rPr>
            <w:fldChar w:fldCharType="begin"/>
          </w:r>
          <w:r>
            <w:rPr>
              <w:rFonts w:hint="eastAsia"/>
              <w:b/>
            </w:rPr>
            <w:instrText xml:space="preserve"> HYPERLINK \l _Toc28410 </w:instrText>
          </w:r>
          <w:r>
            <w:rPr>
              <w:rFonts w:hint="eastAsia"/>
              <w:b/>
            </w:rPr>
            <w:fldChar w:fldCharType="separate"/>
          </w:r>
          <w:r>
            <w:rPr>
              <w:rFonts w:hint="eastAsia"/>
              <w:b/>
            </w:rPr>
            <w:t>学院概况</w:t>
          </w:r>
          <w:r>
            <w:rPr>
              <w:b/>
            </w:rPr>
            <w:tab/>
          </w:r>
          <w:r>
            <w:rPr>
              <w:b/>
            </w:rPr>
            <w:fldChar w:fldCharType="begin"/>
          </w:r>
          <w:r>
            <w:rPr>
              <w:b/>
            </w:rPr>
            <w:instrText xml:space="preserve"> PAGEREF _Toc28410 \h </w:instrText>
          </w:r>
          <w:r>
            <w:rPr>
              <w:b/>
            </w:rPr>
            <w:fldChar w:fldCharType="separate"/>
          </w:r>
          <w:r>
            <w:rPr>
              <w:b/>
            </w:rPr>
            <w:t>1</w:t>
          </w:r>
          <w:r>
            <w:rPr>
              <w:b/>
            </w:rPr>
            <w:fldChar w:fldCharType="end"/>
          </w:r>
          <w:r>
            <w:rPr>
              <w:rFonts w:hint="eastAsia"/>
              <w:b/>
            </w:rPr>
            <w:fldChar w:fldCharType="end"/>
          </w:r>
        </w:p>
        <w:p>
          <w:pPr>
            <w:pStyle w:val="18"/>
            <w:tabs>
              <w:tab w:val="right" w:leader="dot" w:pos="8306"/>
            </w:tabs>
            <w:rPr>
              <w:b/>
            </w:rPr>
          </w:pPr>
          <w:r>
            <w:rPr>
              <w:rFonts w:hint="eastAsia"/>
              <w:b/>
            </w:rPr>
            <w:fldChar w:fldCharType="begin"/>
          </w:r>
          <w:r>
            <w:rPr>
              <w:rFonts w:hint="eastAsia"/>
              <w:b/>
            </w:rPr>
            <w:instrText xml:space="preserve"> HYPERLINK \l _Toc5052 </w:instrText>
          </w:r>
          <w:r>
            <w:rPr>
              <w:rFonts w:hint="eastAsia"/>
              <w:b/>
            </w:rPr>
            <w:fldChar w:fldCharType="separate"/>
          </w:r>
          <w:r>
            <w:rPr>
              <w:rFonts w:hint="eastAsia"/>
              <w:b/>
            </w:rPr>
            <w:t>报告说明</w:t>
          </w:r>
          <w:r>
            <w:rPr>
              <w:b/>
            </w:rPr>
            <w:tab/>
          </w:r>
          <w:r>
            <w:rPr>
              <w:b/>
            </w:rPr>
            <w:fldChar w:fldCharType="begin"/>
          </w:r>
          <w:r>
            <w:rPr>
              <w:b/>
            </w:rPr>
            <w:instrText xml:space="preserve"> PAGEREF _Toc5052 \h </w:instrText>
          </w:r>
          <w:r>
            <w:rPr>
              <w:b/>
            </w:rPr>
            <w:fldChar w:fldCharType="separate"/>
          </w:r>
          <w:r>
            <w:rPr>
              <w:b/>
            </w:rPr>
            <w:t>2</w:t>
          </w:r>
          <w:r>
            <w:rPr>
              <w:b/>
            </w:rPr>
            <w:fldChar w:fldCharType="end"/>
          </w:r>
          <w:r>
            <w:rPr>
              <w:rFonts w:hint="eastAsia"/>
              <w:b/>
            </w:rPr>
            <w:fldChar w:fldCharType="end"/>
          </w:r>
        </w:p>
        <w:p>
          <w:pPr>
            <w:pStyle w:val="18"/>
            <w:tabs>
              <w:tab w:val="right" w:leader="dot" w:pos="8306"/>
            </w:tabs>
            <w:rPr>
              <w:b/>
            </w:rPr>
          </w:pPr>
          <w:r>
            <w:rPr>
              <w:rFonts w:hint="eastAsia"/>
              <w:b/>
            </w:rPr>
            <w:fldChar w:fldCharType="begin"/>
          </w:r>
          <w:r>
            <w:rPr>
              <w:rFonts w:hint="eastAsia"/>
              <w:b/>
            </w:rPr>
            <w:instrText xml:space="preserve"> HYPERLINK \l _Toc26340 </w:instrText>
          </w:r>
          <w:r>
            <w:rPr>
              <w:rFonts w:hint="eastAsia"/>
              <w:b/>
            </w:rPr>
            <w:fldChar w:fldCharType="separate"/>
          </w:r>
          <w:r>
            <w:rPr>
              <w:rFonts w:hint="eastAsia" w:asciiTheme="minorHAnsi" w:hAnsiTheme="minorHAnsi" w:eastAsiaTheme="minorEastAsia" w:cstheme="minorBidi"/>
              <w:b/>
              <w:kern w:val="44"/>
              <w:szCs w:val="24"/>
              <w:lang w:val="en-US" w:eastAsia="zh-CN" w:bidi="ar-SA"/>
            </w:rPr>
            <w:t>第一篇：毕业生就业基本情况</w:t>
          </w:r>
          <w:r>
            <w:rPr>
              <w:b/>
            </w:rPr>
            <w:tab/>
          </w:r>
          <w:r>
            <w:rPr>
              <w:b/>
            </w:rPr>
            <w:fldChar w:fldCharType="begin"/>
          </w:r>
          <w:r>
            <w:rPr>
              <w:b/>
            </w:rPr>
            <w:instrText xml:space="preserve"> PAGEREF _Toc26340 \h </w:instrText>
          </w:r>
          <w:r>
            <w:rPr>
              <w:b/>
            </w:rPr>
            <w:fldChar w:fldCharType="separate"/>
          </w:r>
          <w:r>
            <w:rPr>
              <w:b/>
            </w:rPr>
            <w:t>3</w:t>
          </w:r>
          <w:r>
            <w:rPr>
              <w:b/>
            </w:rPr>
            <w:fldChar w:fldCharType="end"/>
          </w:r>
          <w:r>
            <w:rPr>
              <w:rFonts w:hint="eastAsia"/>
              <w:b/>
            </w:rPr>
            <w:fldChar w:fldCharType="end"/>
          </w:r>
        </w:p>
        <w:p>
          <w:pPr>
            <w:pStyle w:val="19"/>
            <w:tabs>
              <w:tab w:val="right" w:leader="dot" w:pos="8306"/>
            </w:tabs>
          </w:pPr>
          <w:r>
            <w:rPr>
              <w:rFonts w:hint="eastAsia"/>
            </w:rPr>
            <w:fldChar w:fldCharType="begin"/>
          </w:r>
          <w:r>
            <w:rPr>
              <w:rFonts w:hint="eastAsia"/>
            </w:rPr>
            <w:instrText xml:space="preserve"> HYPERLINK \l _Toc16150 </w:instrText>
          </w:r>
          <w:r>
            <w:rPr>
              <w:rFonts w:hint="eastAsia"/>
            </w:rPr>
            <w:fldChar w:fldCharType="separate"/>
          </w:r>
          <w:r>
            <w:rPr>
              <w:rFonts w:hint="eastAsia"/>
            </w:rPr>
            <w:t>一</w:t>
          </w:r>
          <w:r>
            <w:rPr>
              <w:rFonts w:hint="eastAsia"/>
              <w:lang w:eastAsia="zh-CN"/>
            </w:rPr>
            <w:t>、</w:t>
          </w:r>
          <w:r>
            <w:rPr>
              <w:rFonts w:hint="eastAsia"/>
            </w:rPr>
            <w:t>毕业生的规模和结构</w:t>
          </w:r>
          <w:r>
            <w:tab/>
          </w:r>
          <w:r>
            <w:fldChar w:fldCharType="begin"/>
          </w:r>
          <w:r>
            <w:instrText xml:space="preserve"> PAGEREF _Toc16150 \h </w:instrText>
          </w:r>
          <w:r>
            <w:fldChar w:fldCharType="separate"/>
          </w:r>
          <w:r>
            <w:t>3</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_Toc16306 </w:instrText>
          </w:r>
          <w:r>
            <w:rPr>
              <w:rFonts w:hint="eastAsia"/>
            </w:rPr>
            <w:fldChar w:fldCharType="separate"/>
          </w:r>
          <w:r>
            <w:rPr>
              <w:rFonts w:hint="eastAsia"/>
            </w:rPr>
            <w:t>二、就业率及毕业去向</w:t>
          </w:r>
          <w:r>
            <w:tab/>
          </w:r>
          <w:r>
            <w:fldChar w:fldCharType="begin"/>
          </w:r>
          <w:r>
            <w:instrText xml:space="preserve"> PAGEREF _Toc16306 \h </w:instrText>
          </w:r>
          <w:r>
            <w:fldChar w:fldCharType="separate"/>
          </w:r>
          <w:r>
            <w:t>4</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_Toc26549 </w:instrText>
          </w:r>
          <w:r>
            <w:rPr>
              <w:rFonts w:hint="eastAsia"/>
            </w:rPr>
            <w:fldChar w:fldCharType="separate"/>
          </w:r>
          <w:r>
            <w:rPr>
              <w:rFonts w:hint="eastAsia"/>
            </w:rPr>
            <w:t>三</w:t>
          </w:r>
          <w:r>
            <w:rPr>
              <w:rFonts w:hint="eastAsia"/>
              <w:lang w:eastAsia="zh-CN"/>
            </w:rPr>
            <w:t>、</w:t>
          </w:r>
          <w:r>
            <w:rPr>
              <w:rFonts w:hint="eastAsia"/>
            </w:rPr>
            <w:t>就业流向</w:t>
          </w:r>
          <w:r>
            <w:tab/>
          </w:r>
          <w:r>
            <w:fldChar w:fldCharType="begin"/>
          </w:r>
          <w:r>
            <w:instrText xml:space="preserve"> PAGEREF _Toc26549 \h </w:instrText>
          </w:r>
          <w:r>
            <w:fldChar w:fldCharType="separate"/>
          </w:r>
          <w:r>
            <w:t>6</w:t>
          </w:r>
          <w:r>
            <w:fldChar w:fldCharType="end"/>
          </w:r>
          <w:r>
            <w:rPr>
              <w:rFonts w:hint="eastAsia"/>
            </w:rPr>
            <w:fldChar w:fldCharType="end"/>
          </w:r>
        </w:p>
        <w:p>
          <w:pPr>
            <w:pStyle w:val="18"/>
            <w:tabs>
              <w:tab w:val="right" w:leader="dot" w:pos="8306"/>
            </w:tabs>
            <w:rPr>
              <w:b/>
            </w:rPr>
          </w:pPr>
          <w:r>
            <w:rPr>
              <w:rFonts w:hint="eastAsia"/>
              <w:b/>
            </w:rPr>
            <w:fldChar w:fldCharType="begin"/>
          </w:r>
          <w:r>
            <w:rPr>
              <w:rFonts w:hint="eastAsia"/>
              <w:b/>
            </w:rPr>
            <w:instrText xml:space="preserve"> HYPERLINK \l _Toc25044 </w:instrText>
          </w:r>
          <w:r>
            <w:rPr>
              <w:rFonts w:hint="eastAsia"/>
              <w:b/>
            </w:rPr>
            <w:fldChar w:fldCharType="separate"/>
          </w:r>
          <w:r>
            <w:rPr>
              <w:rFonts w:hint="eastAsia"/>
              <w:b/>
            </w:rPr>
            <w:t>第二篇：就业工作特色</w:t>
          </w:r>
          <w:r>
            <w:rPr>
              <w:b/>
            </w:rPr>
            <w:tab/>
          </w:r>
          <w:r>
            <w:rPr>
              <w:b/>
            </w:rPr>
            <w:fldChar w:fldCharType="begin"/>
          </w:r>
          <w:r>
            <w:rPr>
              <w:b/>
            </w:rPr>
            <w:instrText xml:space="preserve"> PAGEREF _Toc25044 \h </w:instrText>
          </w:r>
          <w:r>
            <w:rPr>
              <w:b/>
            </w:rPr>
            <w:fldChar w:fldCharType="separate"/>
          </w:r>
          <w:r>
            <w:rPr>
              <w:b/>
            </w:rPr>
            <w:t>10</w:t>
          </w:r>
          <w:r>
            <w:rPr>
              <w:b/>
            </w:rPr>
            <w:fldChar w:fldCharType="end"/>
          </w:r>
          <w:r>
            <w:rPr>
              <w:rFonts w:hint="eastAsia"/>
              <w:b/>
            </w:rPr>
            <w:fldChar w:fldCharType="end"/>
          </w:r>
        </w:p>
        <w:p>
          <w:pPr>
            <w:pStyle w:val="19"/>
            <w:tabs>
              <w:tab w:val="right" w:leader="dot" w:pos="8306"/>
            </w:tabs>
          </w:pPr>
          <w:r>
            <w:rPr>
              <w:rFonts w:hint="eastAsia"/>
            </w:rPr>
            <w:fldChar w:fldCharType="begin"/>
          </w:r>
          <w:r>
            <w:rPr>
              <w:rFonts w:hint="eastAsia"/>
            </w:rPr>
            <w:instrText xml:space="preserve"> HYPERLINK \l _Toc3570 </w:instrText>
          </w:r>
          <w:r>
            <w:rPr>
              <w:rFonts w:hint="eastAsia"/>
            </w:rPr>
            <w:fldChar w:fldCharType="separate"/>
          </w:r>
          <w:r>
            <w:rPr>
              <w:rFonts w:hint="eastAsia"/>
              <w:lang w:val="en-US" w:eastAsia="zh-CN"/>
            </w:rPr>
            <w:t>一、</w:t>
          </w:r>
          <w:r>
            <w:rPr>
              <w:rFonts w:hint="eastAsia"/>
            </w:rPr>
            <w:t>毕业生就业工作举措</w:t>
          </w:r>
          <w:r>
            <w:tab/>
          </w:r>
          <w:r>
            <w:fldChar w:fldCharType="begin"/>
          </w:r>
          <w:r>
            <w:instrText xml:space="preserve"> PAGEREF _Toc3570 \h </w:instrText>
          </w:r>
          <w:r>
            <w:fldChar w:fldCharType="separate"/>
          </w:r>
          <w:r>
            <w:t>10</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_Toc10074 </w:instrText>
          </w:r>
          <w:r>
            <w:rPr>
              <w:rFonts w:hint="eastAsia"/>
            </w:rPr>
            <w:fldChar w:fldCharType="separate"/>
          </w:r>
          <w:r>
            <w:rPr>
              <w:rFonts w:hint="eastAsia"/>
            </w:rPr>
            <w:t>二</w:t>
          </w:r>
          <w:r>
            <w:rPr>
              <w:rFonts w:hint="eastAsia"/>
              <w:lang w:eastAsia="zh-CN"/>
            </w:rPr>
            <w:t>、</w:t>
          </w:r>
          <w:r>
            <w:rPr>
              <w:rFonts w:hint="eastAsia"/>
            </w:rPr>
            <w:t>毕业生对就业指导服务的评价</w:t>
          </w:r>
          <w:r>
            <w:tab/>
          </w:r>
          <w:r>
            <w:fldChar w:fldCharType="begin"/>
          </w:r>
          <w:r>
            <w:instrText xml:space="preserve"> PAGEREF _Toc10074 \h </w:instrText>
          </w:r>
          <w:r>
            <w:fldChar w:fldCharType="separate"/>
          </w:r>
          <w:r>
            <w:t>12</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_Toc31304 </w:instrText>
          </w:r>
          <w:r>
            <w:rPr>
              <w:rFonts w:hint="eastAsia"/>
            </w:rPr>
            <w:fldChar w:fldCharType="separate"/>
          </w:r>
          <w:r>
            <w:rPr>
              <w:rFonts w:hint="eastAsia"/>
            </w:rPr>
            <w:t>三</w:t>
          </w:r>
          <w:r>
            <w:rPr>
              <w:rFonts w:hint="eastAsia"/>
              <w:lang w:eastAsia="zh-CN"/>
            </w:rPr>
            <w:t>、</w:t>
          </w:r>
          <w:r>
            <w:rPr>
              <w:rFonts w:hint="eastAsia"/>
            </w:rPr>
            <w:t>毕业生对创业教育/指导服务的评价</w:t>
          </w:r>
          <w:r>
            <w:tab/>
          </w:r>
          <w:r>
            <w:fldChar w:fldCharType="begin"/>
          </w:r>
          <w:r>
            <w:instrText xml:space="preserve"> PAGEREF _Toc31304 \h </w:instrText>
          </w:r>
          <w:r>
            <w:fldChar w:fldCharType="separate"/>
          </w:r>
          <w:r>
            <w:t>13</w:t>
          </w:r>
          <w:r>
            <w:fldChar w:fldCharType="end"/>
          </w:r>
          <w:r>
            <w:rPr>
              <w:rFonts w:hint="eastAsia"/>
            </w:rPr>
            <w:fldChar w:fldCharType="end"/>
          </w:r>
        </w:p>
        <w:p>
          <w:pPr>
            <w:pStyle w:val="18"/>
            <w:tabs>
              <w:tab w:val="right" w:leader="dot" w:pos="8306"/>
            </w:tabs>
            <w:rPr>
              <w:b/>
            </w:rPr>
          </w:pPr>
          <w:r>
            <w:rPr>
              <w:rFonts w:hint="eastAsia"/>
              <w:b/>
            </w:rPr>
            <w:fldChar w:fldCharType="begin"/>
          </w:r>
          <w:r>
            <w:rPr>
              <w:rFonts w:hint="eastAsia"/>
              <w:b/>
            </w:rPr>
            <w:instrText xml:space="preserve"> HYPERLINK \l _Toc31419 </w:instrText>
          </w:r>
          <w:r>
            <w:rPr>
              <w:rFonts w:hint="eastAsia"/>
              <w:b/>
            </w:rPr>
            <w:fldChar w:fldCharType="separate"/>
          </w:r>
          <w:r>
            <w:rPr>
              <w:rFonts w:hint="eastAsia"/>
              <w:b/>
            </w:rPr>
            <w:t>第三篇：就业相关分析</w:t>
          </w:r>
          <w:r>
            <w:rPr>
              <w:b/>
            </w:rPr>
            <w:tab/>
          </w:r>
          <w:r>
            <w:rPr>
              <w:b/>
            </w:rPr>
            <w:fldChar w:fldCharType="begin"/>
          </w:r>
          <w:r>
            <w:rPr>
              <w:b/>
            </w:rPr>
            <w:instrText xml:space="preserve"> PAGEREF _Toc31419 \h </w:instrText>
          </w:r>
          <w:r>
            <w:rPr>
              <w:b/>
            </w:rPr>
            <w:fldChar w:fldCharType="separate"/>
          </w:r>
          <w:r>
            <w:rPr>
              <w:b/>
            </w:rPr>
            <w:t>15</w:t>
          </w:r>
          <w:r>
            <w:rPr>
              <w:b/>
            </w:rPr>
            <w:fldChar w:fldCharType="end"/>
          </w:r>
          <w:r>
            <w:rPr>
              <w:rFonts w:hint="eastAsia"/>
              <w:b/>
            </w:rPr>
            <w:fldChar w:fldCharType="end"/>
          </w:r>
        </w:p>
        <w:p>
          <w:pPr>
            <w:pStyle w:val="19"/>
            <w:tabs>
              <w:tab w:val="right" w:leader="dot" w:pos="8306"/>
            </w:tabs>
          </w:pPr>
          <w:r>
            <w:rPr>
              <w:rFonts w:hint="eastAsia"/>
            </w:rPr>
            <w:fldChar w:fldCharType="begin"/>
          </w:r>
          <w:r>
            <w:rPr>
              <w:rFonts w:hint="eastAsia"/>
            </w:rPr>
            <w:instrText xml:space="preserve"> HYPERLINK \l _Toc18839 </w:instrText>
          </w:r>
          <w:r>
            <w:rPr>
              <w:rFonts w:hint="eastAsia"/>
            </w:rPr>
            <w:fldChar w:fldCharType="separate"/>
          </w:r>
          <w:r>
            <w:rPr>
              <w:rFonts w:hint="eastAsia"/>
              <w:lang w:val="en-US" w:eastAsia="zh-CN"/>
            </w:rPr>
            <w:t>一</w:t>
          </w:r>
          <w:r>
            <w:rPr>
              <w:rFonts w:hint="eastAsia"/>
            </w:rPr>
            <w:t>、专业对口度</w:t>
          </w:r>
          <w:r>
            <w:tab/>
          </w:r>
          <w:r>
            <w:fldChar w:fldCharType="begin"/>
          </w:r>
          <w:r>
            <w:instrText xml:space="preserve"> PAGEREF _Toc18839 \h </w:instrText>
          </w:r>
          <w:r>
            <w:fldChar w:fldCharType="separate"/>
          </w:r>
          <w:r>
            <w:t>15</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_Toc30867 </w:instrText>
          </w:r>
          <w:r>
            <w:rPr>
              <w:rFonts w:hint="eastAsia"/>
            </w:rPr>
            <w:fldChar w:fldCharType="separate"/>
          </w:r>
          <w:r>
            <w:rPr>
              <w:rFonts w:hint="eastAsia"/>
              <w:lang w:val="en-US" w:eastAsia="zh-CN"/>
            </w:rPr>
            <w:t>二</w:t>
          </w:r>
          <w:r>
            <w:rPr>
              <w:rFonts w:hint="eastAsia"/>
            </w:rPr>
            <w:t>、就业满意度</w:t>
          </w:r>
          <w:r>
            <w:tab/>
          </w:r>
          <w:r>
            <w:fldChar w:fldCharType="begin"/>
          </w:r>
          <w:r>
            <w:instrText xml:space="preserve"> PAGEREF _Toc30867 \h </w:instrText>
          </w:r>
          <w:r>
            <w:fldChar w:fldCharType="separate"/>
          </w:r>
          <w:r>
            <w:t>15</w:t>
          </w:r>
          <w:r>
            <w:fldChar w:fldCharType="end"/>
          </w:r>
          <w:r>
            <w:rPr>
              <w:rFonts w:hint="eastAsia"/>
            </w:rPr>
            <w:fldChar w:fldCharType="end"/>
          </w:r>
        </w:p>
        <w:p>
          <w:pPr>
            <w:pStyle w:val="18"/>
            <w:tabs>
              <w:tab w:val="right" w:leader="dot" w:pos="8306"/>
            </w:tabs>
            <w:rPr>
              <w:b/>
            </w:rPr>
          </w:pPr>
          <w:r>
            <w:rPr>
              <w:rFonts w:hint="eastAsia"/>
              <w:b/>
            </w:rPr>
            <w:fldChar w:fldCharType="begin"/>
          </w:r>
          <w:r>
            <w:rPr>
              <w:rFonts w:hint="eastAsia"/>
              <w:b/>
            </w:rPr>
            <w:instrText xml:space="preserve"> HYPERLINK \l _Toc13407 </w:instrText>
          </w:r>
          <w:r>
            <w:rPr>
              <w:rFonts w:hint="eastAsia"/>
              <w:b/>
            </w:rPr>
            <w:fldChar w:fldCharType="separate"/>
          </w:r>
          <w:r>
            <w:rPr>
              <w:rFonts w:hint="eastAsia"/>
              <w:b/>
            </w:rPr>
            <w:t>第四篇</w:t>
          </w:r>
          <w:r>
            <w:rPr>
              <w:rFonts w:hint="eastAsia"/>
              <w:b/>
              <w:lang w:eastAsia="zh-CN"/>
            </w:rPr>
            <w:t>：</w:t>
          </w:r>
          <w:r>
            <w:rPr>
              <w:rFonts w:hint="eastAsia"/>
              <w:b/>
            </w:rPr>
            <w:t>就业发展趋势分析</w:t>
          </w:r>
          <w:r>
            <w:rPr>
              <w:b/>
            </w:rPr>
            <w:tab/>
          </w:r>
          <w:r>
            <w:rPr>
              <w:b/>
            </w:rPr>
            <w:fldChar w:fldCharType="begin"/>
          </w:r>
          <w:r>
            <w:rPr>
              <w:b/>
            </w:rPr>
            <w:instrText xml:space="preserve"> PAGEREF _Toc13407 \h </w:instrText>
          </w:r>
          <w:r>
            <w:rPr>
              <w:b/>
            </w:rPr>
            <w:fldChar w:fldCharType="separate"/>
          </w:r>
          <w:r>
            <w:rPr>
              <w:b/>
            </w:rPr>
            <w:t>17</w:t>
          </w:r>
          <w:r>
            <w:rPr>
              <w:b/>
            </w:rPr>
            <w:fldChar w:fldCharType="end"/>
          </w:r>
          <w:r>
            <w:rPr>
              <w:rFonts w:hint="eastAsia"/>
              <w:b/>
            </w:rPr>
            <w:fldChar w:fldCharType="end"/>
          </w:r>
        </w:p>
        <w:p>
          <w:pPr>
            <w:pStyle w:val="19"/>
            <w:tabs>
              <w:tab w:val="right" w:leader="dot" w:pos="8306"/>
            </w:tabs>
          </w:pPr>
          <w:r>
            <w:rPr>
              <w:rFonts w:hint="eastAsia"/>
            </w:rPr>
            <w:fldChar w:fldCharType="begin"/>
          </w:r>
          <w:r>
            <w:rPr>
              <w:rFonts w:hint="eastAsia"/>
            </w:rPr>
            <w:instrText xml:space="preserve"> HYPERLINK \l _Toc5229 </w:instrText>
          </w:r>
          <w:r>
            <w:rPr>
              <w:rFonts w:hint="eastAsia"/>
            </w:rPr>
            <w:fldChar w:fldCharType="separate"/>
          </w:r>
          <w:r>
            <w:rPr>
              <w:rFonts w:hint="eastAsia"/>
            </w:rPr>
            <w:t>一</w:t>
          </w:r>
          <w:r>
            <w:rPr>
              <w:rFonts w:hint="eastAsia"/>
              <w:lang w:eastAsia="zh-CN"/>
            </w:rPr>
            <w:t>、</w:t>
          </w:r>
          <w:r>
            <w:rPr>
              <w:rFonts w:hint="eastAsia"/>
            </w:rPr>
            <w:t>就业率增长较快，上升趋势明显</w:t>
          </w:r>
          <w:r>
            <w:tab/>
          </w:r>
          <w:r>
            <w:fldChar w:fldCharType="begin"/>
          </w:r>
          <w:r>
            <w:instrText xml:space="preserve"> PAGEREF _Toc5229 \h </w:instrText>
          </w:r>
          <w:r>
            <w:fldChar w:fldCharType="separate"/>
          </w:r>
          <w:r>
            <w:t>17</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_Toc12513 </w:instrText>
          </w:r>
          <w:r>
            <w:rPr>
              <w:rFonts w:hint="eastAsia"/>
            </w:rPr>
            <w:fldChar w:fldCharType="separate"/>
          </w:r>
          <w:r>
            <w:rPr>
              <w:rFonts w:hint="eastAsia"/>
            </w:rPr>
            <w:t>二</w:t>
          </w:r>
          <w:r>
            <w:rPr>
              <w:rFonts w:hint="eastAsia"/>
              <w:lang w:eastAsia="zh-CN"/>
            </w:rPr>
            <w:t>、</w:t>
          </w:r>
          <w:r>
            <w:rPr>
              <w:rFonts w:hint="eastAsia"/>
            </w:rPr>
            <w:t>服务地方经济发展是主旋律</w:t>
          </w:r>
          <w:r>
            <w:tab/>
          </w:r>
          <w:r>
            <w:fldChar w:fldCharType="begin"/>
          </w:r>
          <w:r>
            <w:instrText xml:space="preserve"> PAGEREF _Toc12513 \h </w:instrText>
          </w:r>
          <w:r>
            <w:fldChar w:fldCharType="separate"/>
          </w:r>
          <w:r>
            <w:t>17</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_Toc221 </w:instrText>
          </w:r>
          <w:r>
            <w:rPr>
              <w:rFonts w:hint="eastAsia"/>
            </w:rPr>
            <w:fldChar w:fldCharType="separate"/>
          </w:r>
          <w:r>
            <w:rPr>
              <w:rFonts w:hint="eastAsia"/>
            </w:rPr>
            <w:t>三</w:t>
          </w:r>
          <w:r>
            <w:rPr>
              <w:rFonts w:hint="eastAsia"/>
              <w:lang w:eastAsia="zh-CN"/>
            </w:rPr>
            <w:t>、</w:t>
          </w:r>
          <w:r>
            <w:rPr>
              <w:rFonts w:hint="eastAsia"/>
            </w:rPr>
            <w:t>单位就业是主流</w:t>
          </w:r>
          <w:r>
            <w:tab/>
          </w:r>
          <w:r>
            <w:fldChar w:fldCharType="begin"/>
          </w:r>
          <w:r>
            <w:instrText xml:space="preserve"> PAGEREF _Toc221 \h </w:instrText>
          </w:r>
          <w:r>
            <w:fldChar w:fldCharType="separate"/>
          </w:r>
          <w:r>
            <w:t>18</w:t>
          </w:r>
          <w:r>
            <w:fldChar w:fldCharType="end"/>
          </w:r>
          <w:r>
            <w:rPr>
              <w:rFonts w:hint="eastAsia"/>
            </w:rPr>
            <w:fldChar w:fldCharType="end"/>
          </w:r>
        </w:p>
        <w:p>
          <w:pPr>
            <w:pStyle w:val="18"/>
            <w:tabs>
              <w:tab w:val="right" w:leader="dot" w:pos="8306"/>
            </w:tabs>
            <w:rPr>
              <w:b/>
            </w:rPr>
          </w:pPr>
          <w:r>
            <w:rPr>
              <w:rFonts w:hint="eastAsia"/>
              <w:b/>
            </w:rPr>
            <w:fldChar w:fldCharType="begin"/>
          </w:r>
          <w:r>
            <w:rPr>
              <w:rFonts w:hint="eastAsia"/>
              <w:b/>
            </w:rPr>
            <w:instrText xml:space="preserve"> HYPERLINK \l _Toc20303 </w:instrText>
          </w:r>
          <w:r>
            <w:rPr>
              <w:rFonts w:hint="eastAsia"/>
              <w:b/>
            </w:rPr>
            <w:fldChar w:fldCharType="separate"/>
          </w:r>
          <w:r>
            <w:rPr>
              <w:rFonts w:hint="eastAsia"/>
              <w:b/>
            </w:rPr>
            <w:t>第五篇</w:t>
          </w:r>
          <w:r>
            <w:rPr>
              <w:rFonts w:hint="eastAsia"/>
              <w:b/>
              <w:lang w:eastAsia="zh-CN"/>
            </w:rPr>
            <w:t>：</w:t>
          </w:r>
          <w:r>
            <w:rPr>
              <w:rFonts w:hint="eastAsia"/>
              <w:b/>
            </w:rPr>
            <w:t>对教育教学的反馈</w:t>
          </w:r>
          <w:r>
            <w:rPr>
              <w:b/>
            </w:rPr>
            <w:tab/>
          </w:r>
          <w:r>
            <w:rPr>
              <w:b/>
            </w:rPr>
            <w:fldChar w:fldCharType="begin"/>
          </w:r>
          <w:r>
            <w:rPr>
              <w:b/>
            </w:rPr>
            <w:instrText xml:space="preserve"> PAGEREF _Toc20303 \h </w:instrText>
          </w:r>
          <w:r>
            <w:rPr>
              <w:b/>
            </w:rPr>
            <w:fldChar w:fldCharType="separate"/>
          </w:r>
          <w:r>
            <w:rPr>
              <w:b/>
            </w:rPr>
            <w:t>19</w:t>
          </w:r>
          <w:r>
            <w:rPr>
              <w:b/>
            </w:rPr>
            <w:fldChar w:fldCharType="end"/>
          </w:r>
          <w:r>
            <w:rPr>
              <w:rFonts w:hint="eastAsia"/>
              <w:b/>
            </w:rPr>
            <w:fldChar w:fldCharType="end"/>
          </w:r>
        </w:p>
        <w:p>
          <w:pPr>
            <w:pStyle w:val="19"/>
            <w:tabs>
              <w:tab w:val="right" w:leader="dot" w:pos="8306"/>
            </w:tabs>
          </w:pPr>
          <w:r>
            <w:rPr>
              <w:rFonts w:hint="eastAsia"/>
            </w:rPr>
            <w:fldChar w:fldCharType="begin"/>
          </w:r>
          <w:r>
            <w:rPr>
              <w:rFonts w:hint="eastAsia"/>
            </w:rPr>
            <w:instrText xml:space="preserve"> HYPERLINK \l _Toc23928 </w:instrText>
          </w:r>
          <w:r>
            <w:rPr>
              <w:rFonts w:hint="eastAsia"/>
            </w:rPr>
            <w:fldChar w:fldCharType="separate"/>
          </w:r>
          <w:r>
            <w:rPr>
              <w:rFonts w:hint="eastAsia"/>
            </w:rPr>
            <w:t>一、对母校的满意度</w:t>
          </w:r>
          <w:r>
            <w:tab/>
          </w:r>
          <w:r>
            <w:fldChar w:fldCharType="begin"/>
          </w:r>
          <w:r>
            <w:instrText xml:space="preserve"> PAGEREF _Toc23928 \h </w:instrText>
          </w:r>
          <w:r>
            <w:fldChar w:fldCharType="separate"/>
          </w:r>
          <w:r>
            <w:t>19</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_Toc26736 </w:instrText>
          </w:r>
          <w:r>
            <w:rPr>
              <w:rFonts w:hint="eastAsia"/>
            </w:rPr>
            <w:fldChar w:fldCharType="separate"/>
          </w:r>
          <w:r>
            <w:rPr>
              <w:rFonts w:hint="eastAsia"/>
            </w:rPr>
            <w:t>二</w:t>
          </w:r>
          <w:r>
            <w:rPr>
              <w:rFonts w:hint="eastAsia"/>
              <w:lang w:eastAsia="zh-CN"/>
            </w:rPr>
            <w:t>、</w:t>
          </w:r>
          <w:r>
            <w:rPr>
              <w:rFonts w:hint="eastAsia"/>
            </w:rPr>
            <w:t>对母校教育教学的评价</w:t>
          </w:r>
          <w:r>
            <w:tab/>
          </w:r>
          <w:r>
            <w:fldChar w:fldCharType="begin"/>
          </w:r>
          <w:r>
            <w:instrText xml:space="preserve"> PAGEREF _Toc26736 \h </w:instrText>
          </w:r>
          <w:r>
            <w:fldChar w:fldCharType="separate"/>
          </w:r>
          <w:r>
            <w:t>20</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_Toc357 </w:instrText>
          </w:r>
          <w:r>
            <w:rPr>
              <w:rFonts w:hint="eastAsia"/>
            </w:rPr>
            <w:fldChar w:fldCharType="separate"/>
          </w:r>
          <w:r>
            <w:rPr>
              <w:rFonts w:hint="eastAsia"/>
            </w:rPr>
            <w:t>三</w:t>
          </w:r>
          <w:r>
            <w:rPr>
              <w:rFonts w:hint="eastAsia"/>
              <w:lang w:eastAsia="zh-CN"/>
            </w:rPr>
            <w:t>、</w:t>
          </w:r>
          <w:r>
            <w:rPr>
              <w:rFonts w:hint="eastAsia"/>
            </w:rPr>
            <w:t>毕业生就业能力的反馈</w:t>
          </w:r>
          <w:r>
            <w:tab/>
          </w:r>
          <w:r>
            <w:fldChar w:fldCharType="begin"/>
          </w:r>
          <w:r>
            <w:instrText xml:space="preserve"> PAGEREF _Toc357 \h </w:instrText>
          </w:r>
          <w:r>
            <w:fldChar w:fldCharType="separate"/>
          </w:r>
          <w:r>
            <w:t>21</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_Toc14941 </w:instrText>
          </w:r>
          <w:r>
            <w:rPr>
              <w:rFonts w:hint="eastAsia"/>
            </w:rPr>
            <w:fldChar w:fldCharType="separate"/>
          </w:r>
          <w:r>
            <w:rPr>
              <w:rFonts w:hint="eastAsia"/>
            </w:rPr>
            <w:t>四</w:t>
          </w:r>
          <w:r>
            <w:rPr>
              <w:rFonts w:hint="eastAsia"/>
              <w:lang w:eastAsia="zh-CN"/>
            </w:rPr>
            <w:t>、</w:t>
          </w:r>
          <w:r>
            <w:rPr>
              <w:rFonts w:hint="eastAsia"/>
            </w:rPr>
            <w:t>对教育教学的反馈建议</w:t>
          </w:r>
          <w:r>
            <w:tab/>
          </w:r>
          <w:r>
            <w:fldChar w:fldCharType="begin"/>
          </w:r>
          <w:r>
            <w:instrText xml:space="preserve"> PAGEREF _Toc14941 \h </w:instrText>
          </w:r>
          <w:r>
            <w:fldChar w:fldCharType="separate"/>
          </w:r>
          <w:r>
            <w:t>22</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_Toc12190 </w:instrText>
          </w:r>
          <w:r>
            <w:rPr>
              <w:rFonts w:hint="eastAsia"/>
            </w:rPr>
            <w:fldChar w:fldCharType="separate"/>
          </w:r>
          <w:r>
            <w:rPr>
              <w:rFonts w:hint="eastAsia"/>
              <w:lang w:val="en-US" w:eastAsia="zh-CN"/>
            </w:rPr>
            <w:t>五</w:t>
          </w:r>
          <w:r>
            <w:rPr>
              <w:rFonts w:hint="eastAsia"/>
            </w:rPr>
            <w:t>、对招生、专业设置和人才培养的反馈</w:t>
          </w:r>
          <w:r>
            <w:tab/>
          </w:r>
          <w:r>
            <w:fldChar w:fldCharType="begin"/>
          </w:r>
          <w:r>
            <w:instrText xml:space="preserve"> PAGEREF _Toc12190 \h </w:instrText>
          </w:r>
          <w:r>
            <w:fldChar w:fldCharType="separate"/>
          </w:r>
          <w:r>
            <w:t>23</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_Toc11341 </w:instrText>
          </w:r>
          <w:r>
            <w:rPr>
              <w:rFonts w:hint="eastAsia"/>
            </w:rPr>
            <w:fldChar w:fldCharType="separate"/>
          </w:r>
          <w:r>
            <w:rPr>
              <w:rFonts w:hint="eastAsia"/>
              <w:lang w:val="en-US" w:eastAsia="zh-CN"/>
            </w:rPr>
            <w:t>六</w:t>
          </w:r>
          <w:r>
            <w:rPr>
              <w:rFonts w:hint="eastAsia"/>
            </w:rPr>
            <w:t>、对学校就业指导工作的反馈</w:t>
          </w:r>
          <w:r>
            <w:tab/>
          </w:r>
          <w:r>
            <w:fldChar w:fldCharType="begin"/>
          </w:r>
          <w:r>
            <w:instrText xml:space="preserve"> PAGEREF _Toc11341 \h </w:instrText>
          </w:r>
          <w:r>
            <w:fldChar w:fldCharType="separate"/>
          </w:r>
          <w:r>
            <w:t>23</w:t>
          </w:r>
          <w:r>
            <w:fldChar w:fldCharType="end"/>
          </w:r>
          <w:r>
            <w:rPr>
              <w:rFonts w:hint="eastAsia"/>
            </w:rPr>
            <w:fldChar w:fldCharType="end"/>
          </w:r>
        </w:p>
        <w:p>
          <w:pPr>
            <w:pStyle w:val="2"/>
            <w:bidi w:val="0"/>
            <w:jc w:val="center"/>
            <w:outlineLvl w:val="9"/>
            <w:rPr>
              <w:rFonts w:hint="eastAsia"/>
            </w:rPr>
            <w:sectPr>
              <w:footerReference r:id="rId4" w:type="default"/>
              <w:pgSz w:w="11906" w:h="16838"/>
              <w:pgMar w:top="1440" w:right="1800" w:bottom="1440" w:left="1800" w:header="737" w:footer="680" w:gutter="0"/>
              <w:pgNumType w:fmt="decimal" w:start="1"/>
              <w:cols w:space="425" w:num="1"/>
              <w:docGrid w:type="lines" w:linePitch="312" w:charSpace="0"/>
            </w:sectPr>
          </w:pPr>
          <w:r>
            <w:rPr>
              <w:rFonts w:hint="eastAsia"/>
              <w:b/>
            </w:rPr>
            <w:fldChar w:fldCharType="end"/>
          </w:r>
          <w:bookmarkStart w:id="114" w:name="_GoBack"/>
          <w:bookmarkEnd w:id="114"/>
        </w:p>
      </w:sdtContent>
    </w:sdt>
    <w:p>
      <w:pPr>
        <w:pStyle w:val="2"/>
        <w:bidi w:val="0"/>
        <w:jc w:val="center"/>
        <w:rPr>
          <w:rFonts w:hint="eastAsia"/>
        </w:rPr>
      </w:pPr>
      <w:bookmarkStart w:id="11" w:name="_Toc28410"/>
      <w:r>
        <w:rPr>
          <w:rFonts w:hint="eastAsia"/>
        </w:rPr>
        <w:t>学院概况</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sz w:val="24"/>
        </w:rPr>
      </w:pPr>
      <w:r>
        <w:rPr>
          <w:rFonts w:hint="eastAsia" w:ascii="Times New Roman" w:hAnsi="Times New Roman"/>
          <w:sz w:val="24"/>
        </w:rPr>
        <w:t>哈尔滨信息工程学院始建于1995年，是经教育部批准设置的全日制普通本科高等学校，是国家示范性软件技术学院、全国高校毕业生就业工作先进单位。学院以“规范严谨、精益求精”为校训、倡导“积极、踏实、学习、开放”的学风、秉持“人人都能成才”的教育理念，凭借民办体制机制优势，在队伍建设、实验室建设、课程建设、质量工程等领域积极改革、不断创新，专注于信息技术人才培养，特色鲜明、效果显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sz w:val="24"/>
        </w:rPr>
      </w:pPr>
      <w:r>
        <w:rPr>
          <w:rFonts w:hint="eastAsia" w:ascii="Times New Roman" w:hAnsi="Times New Roman"/>
          <w:sz w:val="24"/>
        </w:rPr>
        <w:t>学院两个校区分别坐落在高校林立的哈尔滨利民开发区学院路和哈东新区大学城。学校占地面积（亩）1044</w:t>
      </w:r>
      <w:r>
        <w:rPr>
          <w:rFonts w:hint="eastAsia" w:ascii="Times New Roman" w:hAnsi="Times New Roman"/>
          <w:sz w:val="24"/>
          <w:lang w:eastAsia="zh-CN"/>
        </w:rPr>
        <w:t>，</w:t>
      </w:r>
      <w:r>
        <w:rPr>
          <w:rFonts w:hint="eastAsia" w:ascii="Times New Roman" w:hAnsi="Times New Roman"/>
          <w:sz w:val="24"/>
        </w:rPr>
        <w:t>教学科研用房建筑面积（平米）118391.45实现了校园内无线网络全覆盖，生均占有资源位于同类院校前列。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sz w:val="24"/>
        </w:rPr>
      </w:pPr>
      <w:r>
        <w:rPr>
          <w:rFonts w:hint="eastAsia" w:ascii="Times New Roman" w:hAnsi="Times New Roman"/>
          <w:sz w:val="24"/>
        </w:rPr>
        <w:t>以工学为主，重点发展计算机、信息类及相关专业，</w:t>
      </w:r>
      <w:r>
        <w:rPr>
          <w:rFonts w:hint="eastAsia" w:ascii="Times New Roman" w:hAnsi="Times New Roman"/>
          <w:sz w:val="24"/>
          <w:lang w:val="en-US" w:eastAsia="zh-CN"/>
        </w:rPr>
        <w:t>电子商务</w:t>
      </w:r>
      <w:r>
        <w:rPr>
          <w:rFonts w:hint="eastAsia" w:ascii="Times New Roman" w:hAnsi="Times New Roman"/>
          <w:sz w:val="24"/>
        </w:rPr>
        <w:t>学、艺术学等多学科协调发展。其中，计算机类、信息类专业有20余年办学历史，规模大、实力强，在全国同类院校中处于领航地位。其中，软件类专业近年来招生人数占全省同类学校招生总数的50%以上。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sz w:val="24"/>
        </w:rPr>
      </w:pPr>
      <w:r>
        <w:rPr>
          <w:rFonts w:hint="eastAsia" w:ascii="Times New Roman" w:hAnsi="Times New Roman"/>
          <w:sz w:val="24"/>
        </w:rPr>
        <w:t>学院现设有软件学院、电子工程学院、艺术设计学院、商学院、基础教研部、继续教育学院等教学系部。开设了软件工程、计算机科学与技术、电子信息工程、环境设计、视觉传达设计、电子商务等共6个本科专业和以计算机类、信息类专业为主体的</w:t>
      </w:r>
      <w:r>
        <w:rPr>
          <w:rFonts w:hint="eastAsia" w:ascii="Times New Roman" w:hAnsi="Times New Roman"/>
          <w:sz w:val="24"/>
          <w:lang w:val="en-US" w:eastAsia="zh-CN"/>
        </w:rPr>
        <w:t>多</w:t>
      </w:r>
      <w:r>
        <w:rPr>
          <w:rFonts w:hint="eastAsia" w:ascii="Times New Roman" w:hAnsi="Times New Roman"/>
          <w:sz w:val="24"/>
        </w:rPr>
        <w:t>个高职专业。其中，“计算机网络技术”、“软件技术”是国家示范性软件学院重点建设专业；“计算机应用技术”、“广告设计与制作”专业是中央财政支持重点建设专业；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sz w:val="24"/>
        </w:rPr>
        <w:sectPr>
          <w:footerReference r:id="rId5" w:type="default"/>
          <w:pgSz w:w="11906" w:h="16838"/>
          <w:pgMar w:top="1440" w:right="1800" w:bottom="1440" w:left="1800" w:header="737" w:footer="680" w:gutter="0"/>
          <w:pgNumType w:fmt="decimal" w:start="1"/>
          <w:cols w:space="425" w:num="1"/>
          <w:docGrid w:type="lines" w:linePitch="312" w:charSpace="0"/>
        </w:sectPr>
      </w:pPr>
      <w:r>
        <w:rPr>
          <w:rFonts w:hint="eastAsia" w:ascii="Times New Roman" w:hAnsi="Times New Roman"/>
          <w:sz w:val="24"/>
        </w:rPr>
        <w:t>学院坚持国际化与校企深度合作的办学特色。采取国际上流行的小班额、讨论式教学，教师与学生在课堂上充分互动；采取书院制管理，实行跨专业住宿、跨界沟通，做到文理交融，拓展学生视野。此外，建立了与微软、联想、苹果等世界500强企业深度合作机制，共同建设支撑职业能力培养的实验实训室及校内外实践基地30个，实行“Learning in work”和“CDIO”培养模式，按照国际知名企业用人规格和标准，培养具有创新能力的毕业生，致力于将学院办成卓越工程师的摇篮。</w:t>
      </w:r>
    </w:p>
    <w:p>
      <w:pPr>
        <w:pStyle w:val="2"/>
        <w:bidi w:val="0"/>
        <w:jc w:val="center"/>
        <w:rPr>
          <w:rFonts w:hint="eastAsia"/>
        </w:rPr>
      </w:pPr>
      <w:bookmarkStart w:id="12" w:name="_Toc17735"/>
      <w:bookmarkStart w:id="13" w:name="_Toc29731"/>
      <w:bookmarkStart w:id="14" w:name="_Toc5052"/>
      <w:r>
        <w:rPr>
          <w:rFonts w:hint="eastAsia"/>
        </w:rPr>
        <w:t>报告说明</w:t>
      </w:r>
      <w:bookmarkEnd w:id="12"/>
      <w:bookmarkEnd w:id="13"/>
      <w:bookmarkEnd w:id="14"/>
    </w:p>
    <w:p>
      <w:pPr>
        <w:spacing w:line="360" w:lineRule="auto"/>
        <w:ind w:firstLine="480" w:firstLineChars="200"/>
        <w:jc w:val="both"/>
        <w:rPr>
          <w:rFonts w:ascii="Times New Roman" w:hAnsi="Times New Roman"/>
          <w:sz w:val="24"/>
        </w:rPr>
      </w:pPr>
      <w:r>
        <w:rPr>
          <w:rFonts w:hint="eastAsia" w:ascii="Times New Roman" w:hAnsi="Times New Roman"/>
          <w:sz w:val="24"/>
        </w:rPr>
        <w:t>为全面反映毕业生的就业状况，建立起就业与人才培养良性互动的长效机制学校根据《教育部办公厅关于编制发布高校毕业生就业质量年度报告的通知教学厅函[2013]25号》文件要求，编制和正式发布《哈尔滨信息工程学院20</w:t>
      </w:r>
      <w:r>
        <w:rPr>
          <w:rFonts w:hint="eastAsia" w:ascii="Times New Roman" w:hAnsi="Times New Roman"/>
          <w:sz w:val="24"/>
          <w:lang w:val="en-US" w:eastAsia="zh-CN"/>
        </w:rPr>
        <w:t>21</w:t>
      </w:r>
      <w:r>
        <w:rPr>
          <w:rFonts w:hint="eastAsia" w:ascii="Times New Roman" w:hAnsi="Times New Roman"/>
          <w:sz w:val="24"/>
        </w:rPr>
        <w:t>届毕业生就业质量年报》。本报告数据来源于</w:t>
      </w:r>
      <w:r>
        <w:rPr>
          <w:rFonts w:hint="eastAsia" w:ascii="Times New Roman" w:hAnsi="Times New Roman"/>
          <w:sz w:val="24"/>
          <w:lang w:eastAsia="zh-CN"/>
        </w:rPr>
        <w:t>：</w:t>
      </w:r>
      <w:r>
        <w:rPr>
          <w:rFonts w:hint="eastAsia" w:ascii="Times New Roman" w:hAnsi="Times New Roman"/>
          <w:sz w:val="24"/>
        </w:rPr>
        <w:t>哈尔滨信息工程学院学生处就业指导中心。数据统计截止日期为20</w:t>
      </w:r>
      <w:r>
        <w:rPr>
          <w:rFonts w:hint="eastAsia" w:ascii="Times New Roman" w:hAnsi="Times New Roman"/>
          <w:sz w:val="24"/>
          <w:lang w:val="en-US" w:eastAsia="zh-CN"/>
        </w:rPr>
        <w:t>21</w:t>
      </w:r>
      <w:r>
        <w:rPr>
          <w:rFonts w:hint="eastAsia" w:ascii="Times New Roman" w:hAnsi="Times New Roman"/>
          <w:sz w:val="24"/>
        </w:rPr>
        <w:t>年8月31日。使用数据主要涉及毕业生的规模和结构、就业率、毕业去向、就业流向等。</w:t>
      </w:r>
    </w:p>
    <w:p>
      <w:pPr>
        <w:sectPr>
          <w:pgSz w:w="11906" w:h="16838"/>
          <w:pgMar w:top="1440" w:right="1800" w:bottom="1440" w:left="1800" w:header="737" w:footer="680" w:gutter="0"/>
          <w:pgNumType w:fmt="decimal"/>
          <w:cols w:space="425" w:num="1"/>
          <w:docGrid w:type="lines" w:linePitch="312" w:charSpace="0"/>
        </w:sectPr>
      </w:pPr>
    </w:p>
    <w:p>
      <w:pPr>
        <w:outlineLvl w:val="0"/>
        <w:rPr>
          <w:sz w:val="44"/>
          <w:szCs w:val="44"/>
          <w:highlight w:val="none"/>
        </w:rPr>
      </w:pPr>
      <w:r>
        <w:rPr>
          <w:rFonts w:hint="eastAsia"/>
          <w:color w:val="FFFFFF" w:themeColor="background1"/>
          <w:sz w:val="44"/>
          <w:szCs w:val="44"/>
          <w:highlight w:val="none"/>
          <w14:textFill>
            <w14:solidFill>
              <w14:schemeClr w14:val="bg1"/>
            </w14:solidFill>
          </w14:textFill>
        </w:rPr>
        <w:t xml:space="preserve">      </w:t>
      </w:r>
      <w:bookmarkStart w:id="15" w:name="_Toc31970"/>
      <w:bookmarkStart w:id="16" w:name="_Toc26340"/>
      <w:r>
        <w:rPr>
          <w:rFonts w:hint="eastAsia" w:asciiTheme="minorHAnsi" w:hAnsiTheme="minorHAnsi" w:eastAsiaTheme="minorEastAsia" w:cstheme="minorBidi"/>
          <w:b/>
          <w:kern w:val="44"/>
          <w:sz w:val="44"/>
          <w:szCs w:val="24"/>
          <w:lang w:val="en-US" w:eastAsia="zh-CN" w:bidi="ar-SA"/>
        </w:rPr>
        <w:t>第一篇：毕业生就业基本情况</w:t>
      </w:r>
      <w:bookmarkEnd w:id="15"/>
      <w:bookmarkEnd w:id="16"/>
      <w:r>
        <w:rPr>
          <w:rFonts w:hint="eastAsia" w:asciiTheme="minorHAnsi" w:hAnsiTheme="minorHAnsi" w:eastAsiaTheme="minorEastAsia" w:cstheme="minorBidi"/>
          <w:b/>
          <w:kern w:val="44"/>
          <w:sz w:val="44"/>
          <w:szCs w:val="24"/>
          <w:lang w:val="en-US" w:eastAsia="zh-CN" w:bidi="ar-SA"/>
        </w:rPr>
        <w:t xml:space="preserve"> </w:t>
      </w:r>
      <w:r>
        <w:rPr>
          <w:rFonts w:hint="eastAsia"/>
          <w:color w:val="FFFFFF" w:themeColor="background1"/>
          <w:sz w:val="44"/>
          <w:szCs w:val="44"/>
          <w:highlight w:val="none"/>
          <w14:textFill>
            <w14:solidFill>
              <w14:schemeClr w14:val="bg1"/>
            </w14:solidFill>
          </w14:textFill>
        </w:rPr>
        <w:t xml:space="preserve">    </w:t>
      </w:r>
    </w:p>
    <w:p>
      <w:pPr>
        <w:pStyle w:val="3"/>
        <w:bidi w:val="0"/>
      </w:pPr>
      <w:bookmarkStart w:id="17" w:name="_Toc20311"/>
      <w:bookmarkStart w:id="18" w:name="_Toc18812"/>
      <w:bookmarkStart w:id="19" w:name="_Toc16150"/>
      <w:r>
        <w:rPr>
          <w:rFonts w:hint="eastAsia"/>
        </w:rPr>
        <w:t>一</w:t>
      </w:r>
      <w:r>
        <w:rPr>
          <w:rFonts w:hint="eastAsia"/>
          <w:lang w:eastAsia="zh-CN"/>
        </w:rPr>
        <w:t>、</w:t>
      </w:r>
      <w:r>
        <w:rPr>
          <w:rFonts w:hint="eastAsia"/>
        </w:rPr>
        <w:t>毕业生的规模和结构</w:t>
      </w:r>
      <w:bookmarkEnd w:id="17"/>
      <w:bookmarkEnd w:id="18"/>
      <w:bookmarkEnd w:id="19"/>
    </w:p>
    <w:p>
      <w:pPr>
        <w:pStyle w:val="4"/>
        <w:bidi w:val="0"/>
      </w:pPr>
      <w:bookmarkStart w:id="20" w:name="_Toc25944"/>
      <w:bookmarkStart w:id="21" w:name="_Toc12186"/>
      <w:r>
        <w:rPr>
          <w:rFonts w:hint="eastAsia"/>
        </w:rPr>
        <w:t>（一）总体规模</w:t>
      </w:r>
      <w:bookmarkEnd w:id="20"/>
      <w:bookmarkEnd w:id="21"/>
    </w:p>
    <w:p>
      <w:pPr>
        <w:spacing w:line="360" w:lineRule="auto"/>
        <w:ind w:firstLine="480" w:firstLineChars="200"/>
        <w:rPr>
          <w:rFonts w:ascii="Times New Roman" w:hAnsi="Times New Roman"/>
          <w:sz w:val="24"/>
        </w:rPr>
      </w:pPr>
      <w:r>
        <w:rPr>
          <w:rFonts w:hint="eastAsia" w:ascii="Times New Roman" w:hAnsi="Times New Roman"/>
          <w:sz w:val="24"/>
        </w:rPr>
        <w:t>哈尔滨信息工程学院</w:t>
      </w:r>
      <w:r>
        <w:rPr>
          <w:rFonts w:hint="eastAsia" w:ascii="Times New Roman" w:hAnsi="Times New Roman"/>
          <w:sz w:val="24"/>
          <w:lang w:val="en-US" w:eastAsia="zh-CN"/>
        </w:rPr>
        <w:t>2021</w:t>
      </w:r>
      <w:r>
        <w:rPr>
          <w:rFonts w:hint="eastAsia" w:ascii="Times New Roman" w:hAnsi="Times New Roman"/>
          <w:sz w:val="24"/>
        </w:rPr>
        <w:t>届毕业生共</w:t>
      </w:r>
      <w:r>
        <w:rPr>
          <w:rFonts w:hint="eastAsia" w:ascii="Times New Roman" w:hAnsi="Times New Roman"/>
          <w:sz w:val="24"/>
          <w:lang w:val="en-US" w:eastAsia="zh-CN"/>
        </w:rPr>
        <w:t>2051</w:t>
      </w:r>
      <w:r>
        <w:rPr>
          <w:rFonts w:hint="eastAsia" w:ascii="Times New Roman" w:hAnsi="Times New Roman"/>
          <w:sz w:val="24"/>
        </w:rPr>
        <w:t>名。其中，男生</w:t>
      </w:r>
      <w:r>
        <w:rPr>
          <w:rFonts w:hint="eastAsia" w:ascii="Times New Roman" w:hAnsi="Times New Roman"/>
          <w:sz w:val="24"/>
          <w:lang w:val="en-US" w:eastAsia="zh-CN"/>
        </w:rPr>
        <w:t>1461</w:t>
      </w:r>
      <w:r>
        <w:rPr>
          <w:rFonts w:hint="eastAsia" w:ascii="Times New Roman" w:hAnsi="Times New Roman"/>
          <w:sz w:val="24"/>
        </w:rPr>
        <w:t>名，女生</w:t>
      </w:r>
      <w:r>
        <w:rPr>
          <w:rFonts w:hint="eastAsia" w:ascii="Times New Roman" w:hAnsi="Times New Roman"/>
          <w:sz w:val="24"/>
          <w:lang w:val="en-US" w:eastAsia="zh-CN"/>
        </w:rPr>
        <w:t>590</w:t>
      </w:r>
      <w:r>
        <w:rPr>
          <w:rFonts w:hint="eastAsia" w:ascii="Times New Roman" w:hAnsi="Times New Roman"/>
          <w:sz w:val="24"/>
        </w:rPr>
        <w:t>名；毕业生男女性别比为2.</w:t>
      </w:r>
      <w:r>
        <w:rPr>
          <w:rFonts w:hint="eastAsia" w:ascii="Times New Roman" w:hAnsi="Times New Roman"/>
          <w:sz w:val="24"/>
          <w:lang w:val="en-US" w:eastAsia="zh-CN"/>
        </w:rPr>
        <w:t>48</w:t>
      </w:r>
      <w:r>
        <w:rPr>
          <w:rFonts w:hint="eastAsia" w:ascii="Times New Roman" w:hAnsi="Times New Roman"/>
          <w:sz w:val="24"/>
        </w:rPr>
        <w:t>:1，男生比例较高。在</w:t>
      </w:r>
      <w:r>
        <w:rPr>
          <w:rFonts w:hint="eastAsia" w:ascii="Times New Roman" w:hAnsi="Times New Roman"/>
          <w:sz w:val="24"/>
          <w:lang w:val="en-US" w:eastAsia="zh-CN"/>
        </w:rPr>
        <w:t>2051</w:t>
      </w:r>
      <w:r>
        <w:rPr>
          <w:rFonts w:hint="eastAsia" w:ascii="Times New Roman" w:hAnsi="Times New Roman"/>
          <w:sz w:val="24"/>
        </w:rPr>
        <w:t>名毕业生当中，男生所占比重为</w:t>
      </w:r>
      <w:r>
        <w:rPr>
          <w:rFonts w:hint="eastAsia" w:ascii="Times New Roman" w:hAnsi="Times New Roman"/>
          <w:sz w:val="24"/>
          <w:lang w:val="en-US" w:eastAsia="zh-CN"/>
        </w:rPr>
        <w:t>71.23</w:t>
      </w:r>
      <w:r>
        <w:rPr>
          <w:rFonts w:hint="eastAsia" w:ascii="Times New Roman" w:hAnsi="Times New Roman"/>
          <w:sz w:val="24"/>
        </w:rPr>
        <w:t>% ，女生所占比重为</w:t>
      </w:r>
      <w:r>
        <w:rPr>
          <w:rFonts w:hint="eastAsia" w:ascii="Times New Roman" w:hAnsi="Times New Roman"/>
          <w:sz w:val="24"/>
          <w:lang w:val="en-US" w:eastAsia="zh-CN"/>
        </w:rPr>
        <w:t>28.77</w:t>
      </w:r>
      <w:r>
        <w:rPr>
          <w:rFonts w:hint="eastAsia" w:ascii="Times New Roman" w:hAnsi="Times New Roman"/>
          <w:sz w:val="24"/>
        </w:rPr>
        <w:t>% ；省内生源1</w:t>
      </w:r>
      <w:r>
        <w:rPr>
          <w:rFonts w:hint="eastAsia" w:ascii="Times New Roman" w:hAnsi="Times New Roman"/>
          <w:sz w:val="24"/>
          <w:lang w:val="en-US" w:eastAsia="zh-CN"/>
        </w:rPr>
        <w:t>497</w:t>
      </w:r>
      <w:r>
        <w:rPr>
          <w:rFonts w:hint="eastAsia" w:ascii="Times New Roman" w:hAnsi="Times New Roman"/>
          <w:sz w:val="24"/>
        </w:rPr>
        <w:t>人，省外生源</w:t>
      </w:r>
      <w:r>
        <w:rPr>
          <w:rFonts w:hint="eastAsia" w:ascii="Times New Roman" w:hAnsi="Times New Roman"/>
          <w:sz w:val="24"/>
          <w:lang w:val="en-US" w:eastAsia="zh-CN"/>
        </w:rPr>
        <w:t>554</w:t>
      </w:r>
      <w:r>
        <w:rPr>
          <w:rFonts w:hint="eastAsia" w:ascii="Times New Roman" w:hAnsi="Times New Roman"/>
          <w:sz w:val="24"/>
        </w:rPr>
        <w:t>人，以省内生源为主。</w:t>
      </w:r>
    </w:p>
    <w:p>
      <w:pPr>
        <w:spacing w:line="360" w:lineRule="auto"/>
        <w:rPr>
          <w:rFonts w:ascii="Times New Roman" w:hAnsi="Times New Roman"/>
          <w:sz w:val="24"/>
        </w:rPr>
      </w:pPr>
      <w:r>
        <w:drawing>
          <wp:anchor distT="0" distB="0" distL="114300" distR="114300" simplePos="0" relativeHeight="251660288" behindDoc="0" locked="0" layoutInCell="1" allowOverlap="1">
            <wp:simplePos x="0" y="0"/>
            <wp:positionH relativeFrom="column">
              <wp:posOffset>2755265</wp:posOffset>
            </wp:positionH>
            <wp:positionV relativeFrom="paragraph">
              <wp:posOffset>119380</wp:posOffset>
            </wp:positionV>
            <wp:extent cx="2925445" cy="2110740"/>
            <wp:effectExtent l="4445" t="4445" r="11430" b="18415"/>
            <wp:wrapTopAndBottom/>
            <wp:docPr id="2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drawing>
          <wp:anchor distT="0" distB="0" distL="114300" distR="114300" simplePos="0" relativeHeight="251659264" behindDoc="0" locked="0" layoutInCell="1" allowOverlap="1">
            <wp:simplePos x="0" y="0"/>
            <wp:positionH relativeFrom="column">
              <wp:posOffset>-29845</wp:posOffset>
            </wp:positionH>
            <wp:positionV relativeFrom="paragraph">
              <wp:posOffset>118745</wp:posOffset>
            </wp:positionV>
            <wp:extent cx="2941320" cy="2103120"/>
            <wp:effectExtent l="4445" t="4445" r="10795" b="10795"/>
            <wp:wrapTopAndBottom/>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rPr>
        <w:t xml:space="preserve">     </w:t>
      </w:r>
    </w:p>
    <w:p>
      <w:pPr>
        <w:pStyle w:val="4"/>
        <w:bidi w:val="0"/>
        <w:rPr>
          <w:rFonts w:hint="eastAsia"/>
        </w:rPr>
      </w:pPr>
      <w:bookmarkStart w:id="22" w:name="_Toc3368"/>
      <w:bookmarkStart w:id="23" w:name="_Toc10812"/>
      <w:r>
        <w:rPr>
          <w:rFonts w:hint="eastAsia"/>
        </w:rPr>
        <w:t>（二）院系及专业结构</w:t>
      </w:r>
      <w:bookmarkEnd w:id="22"/>
      <w:bookmarkEnd w:id="23"/>
    </w:p>
    <w:p>
      <w:pPr>
        <w:spacing w:line="360" w:lineRule="auto"/>
        <w:ind w:firstLine="480" w:firstLineChars="200"/>
        <w:jc w:val="both"/>
        <w:rPr>
          <w:rFonts w:hint="eastAsia" w:ascii="Times New Roman" w:hAnsi="Times New Roman"/>
          <w:sz w:val="24"/>
          <w:lang w:eastAsia="zh-CN"/>
        </w:rPr>
      </w:pPr>
      <w:r>
        <w:rPr>
          <w:rFonts w:hint="eastAsia" w:ascii="Times New Roman" w:hAnsi="Times New Roman"/>
          <w:sz w:val="24"/>
        </w:rPr>
        <w:t>学院毕业生共分布在4个学院</w:t>
      </w:r>
      <w:r>
        <w:rPr>
          <w:rFonts w:hint="eastAsia" w:ascii="Times New Roman" w:hAnsi="Times New Roman"/>
          <w:sz w:val="24"/>
          <w:lang w:val="en-US" w:eastAsia="zh-CN"/>
        </w:rPr>
        <w:t>13</w:t>
      </w:r>
      <w:r>
        <w:rPr>
          <w:rFonts w:hint="eastAsia" w:ascii="Times New Roman" w:hAnsi="Times New Roman"/>
          <w:sz w:val="24"/>
        </w:rPr>
        <w:t>个专业</w:t>
      </w:r>
      <w:r>
        <w:rPr>
          <w:rFonts w:hint="eastAsia" w:ascii="Times New Roman" w:hAnsi="Times New Roman"/>
          <w:sz w:val="24"/>
          <w:lang w:val="en-US" w:eastAsia="zh-CN"/>
        </w:rPr>
        <w:t>。</w:t>
      </w:r>
      <w:r>
        <w:rPr>
          <w:rFonts w:hint="eastAsia" w:ascii="Times New Roman" w:hAnsi="Times New Roman"/>
          <w:sz w:val="24"/>
        </w:rPr>
        <w:t>其中，软件学院的毕业生人数最多，占比达</w:t>
      </w:r>
      <w:r>
        <w:rPr>
          <w:rFonts w:hint="eastAsia" w:ascii="Times New Roman" w:hAnsi="Times New Roman"/>
          <w:sz w:val="24"/>
          <w:lang w:val="en-US" w:eastAsia="zh-CN"/>
        </w:rPr>
        <w:t>63.38</w:t>
      </w:r>
      <w:r>
        <w:rPr>
          <w:rFonts w:hint="eastAsia" w:ascii="Times New Roman" w:hAnsi="Times New Roman"/>
          <w:sz w:val="24"/>
        </w:rPr>
        <w:t>%。软件</w:t>
      </w:r>
      <w:r>
        <w:rPr>
          <w:rFonts w:hint="eastAsia" w:ascii="Times New Roman" w:hAnsi="Times New Roman"/>
          <w:sz w:val="24"/>
          <w:lang w:val="en-US" w:eastAsia="zh-CN"/>
        </w:rPr>
        <w:t>工程</w:t>
      </w:r>
      <w:r>
        <w:rPr>
          <w:rFonts w:hint="eastAsia" w:ascii="Times New Roman" w:hAnsi="Times New Roman"/>
          <w:sz w:val="24"/>
        </w:rPr>
        <w:t>专业人数最多，占比为</w:t>
      </w:r>
      <w:r>
        <w:rPr>
          <w:rFonts w:hint="eastAsia" w:ascii="Times New Roman" w:hAnsi="Times New Roman"/>
          <w:sz w:val="24"/>
          <w:lang w:val="en-US" w:eastAsia="zh-CN"/>
        </w:rPr>
        <w:t>38.38</w:t>
      </w:r>
      <w:r>
        <w:rPr>
          <w:rFonts w:hint="eastAsia" w:ascii="Times New Roman" w:hAnsi="Times New Roman"/>
          <w:sz w:val="24"/>
        </w:rPr>
        <w:t>%</w:t>
      </w:r>
      <w:r>
        <w:rPr>
          <w:rFonts w:hint="eastAsia" w:ascii="Times New Roman" w:hAnsi="Times New Roman"/>
          <w:sz w:val="24"/>
          <w:lang w:eastAsia="zh-CN"/>
        </w:rPr>
        <w:t>。</w:t>
      </w:r>
    </w:p>
    <w:p>
      <w:pPr>
        <w:spacing w:line="360" w:lineRule="auto"/>
        <w:ind w:firstLine="480" w:firstLineChars="200"/>
        <w:jc w:val="both"/>
        <w:rPr>
          <w:rFonts w:hint="eastAsia" w:ascii="Times New Roman" w:hAnsi="Times New Roman"/>
          <w:sz w:val="24"/>
          <w:lang w:eastAsia="zh-CN"/>
        </w:rPr>
      </w:pPr>
    </w:p>
    <w:p>
      <w:pPr>
        <w:spacing w:line="360" w:lineRule="auto"/>
        <w:ind w:firstLine="480" w:firstLineChars="200"/>
        <w:jc w:val="both"/>
        <w:rPr>
          <w:rFonts w:hint="eastAsia" w:ascii="Times New Roman" w:hAnsi="Times New Roman"/>
          <w:sz w:val="24"/>
          <w:lang w:eastAsia="zh-CN"/>
        </w:rPr>
      </w:pPr>
    </w:p>
    <w:p>
      <w:pPr>
        <w:spacing w:line="360" w:lineRule="auto"/>
        <w:ind w:firstLine="480" w:firstLineChars="200"/>
        <w:jc w:val="both"/>
        <w:rPr>
          <w:rFonts w:hint="eastAsia" w:ascii="Times New Roman" w:hAnsi="Times New Roman"/>
          <w:sz w:val="24"/>
          <w:lang w:eastAsia="zh-CN"/>
        </w:rPr>
      </w:pPr>
    </w:p>
    <w:p>
      <w:pPr>
        <w:spacing w:line="360" w:lineRule="auto"/>
        <w:ind w:firstLine="480" w:firstLineChars="200"/>
        <w:jc w:val="both"/>
        <w:rPr>
          <w:rFonts w:hint="eastAsia" w:ascii="Times New Roman" w:hAnsi="Times New Roman"/>
          <w:sz w:val="24"/>
          <w:lang w:eastAsia="zh-CN"/>
        </w:rPr>
      </w:pPr>
    </w:p>
    <w:p>
      <w:pPr>
        <w:spacing w:line="360" w:lineRule="auto"/>
        <w:ind w:firstLine="480" w:firstLineChars="200"/>
        <w:jc w:val="both"/>
        <w:rPr>
          <w:rFonts w:hint="eastAsia" w:ascii="Times New Roman" w:hAnsi="Times New Roman"/>
          <w:sz w:val="24"/>
          <w:lang w:eastAsia="zh-CN"/>
        </w:rPr>
      </w:pPr>
    </w:p>
    <w:p>
      <w:pPr>
        <w:spacing w:line="360" w:lineRule="auto"/>
        <w:ind w:firstLine="480" w:firstLineChars="200"/>
        <w:jc w:val="both"/>
        <w:rPr>
          <w:rFonts w:hint="eastAsia" w:ascii="Times New Roman" w:hAnsi="Times New Roman"/>
          <w:sz w:val="24"/>
          <w:lang w:eastAsia="zh-CN"/>
        </w:rPr>
      </w:pPr>
    </w:p>
    <w:p>
      <w:pPr>
        <w:spacing w:line="360" w:lineRule="auto"/>
        <w:ind w:firstLine="480" w:firstLineChars="200"/>
        <w:jc w:val="both"/>
        <w:rPr>
          <w:rFonts w:hint="eastAsia" w:ascii="Times New Roman" w:hAnsi="Times New Roman"/>
          <w:sz w:val="24"/>
          <w:lang w:eastAsia="zh-CN"/>
        </w:rPr>
      </w:pPr>
    </w:p>
    <w:tbl>
      <w:tblPr>
        <w:tblStyle w:val="13"/>
        <w:tblW w:w="78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8"/>
        <w:gridCol w:w="960"/>
        <w:gridCol w:w="1392"/>
        <w:gridCol w:w="1976"/>
        <w:gridCol w:w="9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608"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学院</w:t>
            </w:r>
          </w:p>
        </w:tc>
        <w:tc>
          <w:tcPr>
            <w:tcW w:w="96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人数</w:t>
            </w:r>
          </w:p>
        </w:tc>
        <w:tc>
          <w:tcPr>
            <w:tcW w:w="1392"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比例</w:t>
            </w:r>
          </w:p>
        </w:tc>
        <w:tc>
          <w:tcPr>
            <w:tcW w:w="1956"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专业</w:t>
            </w:r>
          </w:p>
        </w:tc>
        <w:tc>
          <w:tcPr>
            <w:tcW w:w="96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人数</w:t>
            </w:r>
          </w:p>
        </w:tc>
        <w:tc>
          <w:tcPr>
            <w:tcW w:w="960"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restart"/>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软件学院</w:t>
            </w:r>
          </w:p>
        </w:tc>
        <w:tc>
          <w:tcPr>
            <w:tcW w:w="0" w:type="auto"/>
            <w:vMerge w:val="restart"/>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0" w:type="auto"/>
            <w:vMerge w:val="restart"/>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63.38%</w:t>
            </w:r>
          </w:p>
        </w:tc>
        <w:tc>
          <w:tcPr>
            <w:tcW w:w="0" w:type="auto"/>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0" w:type="auto"/>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计算机应用技术</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B8CCE4"/>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B8CCE4"/>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B8CCE4"/>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软件技术</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restart"/>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艺术设计学院</w:t>
            </w:r>
          </w:p>
        </w:tc>
        <w:tc>
          <w:tcPr>
            <w:tcW w:w="0" w:type="auto"/>
            <w:vMerge w:val="restart"/>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0" w:type="auto"/>
            <w:vMerge w:val="restart"/>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广告设计与制作</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环境设计</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B8CCE4"/>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B8CCE4"/>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B8CCE4"/>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建筑室内设计</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视觉传达设计</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restart"/>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商学院</w:t>
            </w:r>
          </w:p>
        </w:tc>
        <w:tc>
          <w:tcPr>
            <w:tcW w:w="0" w:type="auto"/>
            <w:vMerge w:val="restart"/>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0" w:type="auto"/>
            <w:vMerge w:val="restart"/>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B8CCE4"/>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B8CCE4"/>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DDEBF7" w:fill="B8CCE4"/>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市场营销</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restart"/>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电子工程学院</w:t>
            </w:r>
          </w:p>
        </w:tc>
        <w:tc>
          <w:tcPr>
            <w:tcW w:w="0" w:type="auto"/>
            <w:vMerge w:val="restart"/>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0" w:type="auto"/>
            <w:vMerge w:val="restart"/>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自动化</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48.04%</w:t>
            </w:r>
          </w:p>
        </w:tc>
      </w:tr>
    </w:tbl>
    <w:p>
      <w:pPr>
        <w:jc w:val="center"/>
      </w:pPr>
    </w:p>
    <w:p>
      <w:pPr>
        <w:spacing w:line="360" w:lineRule="auto"/>
      </w:pPr>
      <w:r>
        <w:rPr>
          <w:rFonts w:hint="eastAsia"/>
        </w:rPr>
        <w:t>注：由于四舍五入的原因，因此数据占比之和可能会出现不等于 100%的情况（误差为±0.01）。</w:t>
      </w:r>
    </w:p>
    <w:p>
      <w:pPr>
        <w:pStyle w:val="3"/>
        <w:bidi w:val="0"/>
        <w:rPr>
          <w:rFonts w:hint="eastAsia"/>
        </w:rPr>
      </w:pPr>
      <w:bookmarkStart w:id="24" w:name="_Toc31197"/>
      <w:bookmarkStart w:id="25" w:name="_Toc19559"/>
      <w:bookmarkStart w:id="26" w:name="_Toc16306"/>
      <w:r>
        <w:rPr>
          <w:rFonts w:hint="eastAsia"/>
        </w:rPr>
        <w:t>二、就业率及毕业去向</w:t>
      </w:r>
      <w:bookmarkEnd w:id="24"/>
      <w:bookmarkEnd w:id="25"/>
      <w:bookmarkEnd w:id="26"/>
    </w:p>
    <w:p>
      <w:pPr>
        <w:pStyle w:val="4"/>
        <w:bidi w:val="0"/>
        <w:rPr>
          <w:rFonts w:hint="eastAsia"/>
        </w:rPr>
      </w:pPr>
      <w:bookmarkStart w:id="27" w:name="_Toc20003"/>
      <w:bookmarkStart w:id="28" w:name="_Toc14591"/>
      <w:r>
        <w:rPr>
          <w:rFonts w:hint="eastAsia"/>
        </w:rPr>
        <w:t>（一）总体就业率及毕业去向</w:t>
      </w:r>
      <w:bookmarkEnd w:id="27"/>
      <w:bookmarkEnd w:id="28"/>
    </w:p>
    <w:p>
      <w:pPr>
        <w:spacing w:line="360" w:lineRule="auto"/>
        <w:ind w:firstLine="480" w:firstLineChars="200"/>
        <w:rPr>
          <w:rFonts w:ascii="Times New Roman" w:hAnsi="Times New Roman"/>
          <w:sz w:val="24"/>
        </w:rPr>
      </w:pPr>
      <w:r>
        <w:rPr>
          <w:rFonts w:hint="eastAsia" w:ascii="Times New Roman" w:hAnsi="Times New Roman"/>
          <w:sz w:val="24"/>
        </w:rPr>
        <w:t>学院</w:t>
      </w:r>
      <w:r>
        <w:rPr>
          <w:rFonts w:hint="eastAsia" w:ascii="Times New Roman" w:hAnsi="Times New Roman"/>
          <w:sz w:val="24"/>
          <w:lang w:val="en-US" w:eastAsia="zh-CN"/>
        </w:rPr>
        <w:t>2021</w:t>
      </w:r>
      <w:r>
        <w:rPr>
          <w:rFonts w:hint="eastAsia" w:ascii="Times New Roman" w:hAnsi="Times New Roman"/>
          <w:sz w:val="24"/>
        </w:rPr>
        <w:t>届毕业生就业率达9</w:t>
      </w:r>
      <w:r>
        <w:rPr>
          <w:rFonts w:hint="eastAsia" w:ascii="Times New Roman" w:hAnsi="Times New Roman"/>
          <w:sz w:val="24"/>
          <w:lang w:val="en-US" w:eastAsia="zh-CN"/>
        </w:rPr>
        <w:t>1.91</w:t>
      </w:r>
      <w:r>
        <w:rPr>
          <w:rFonts w:hint="eastAsia" w:ascii="Times New Roman" w:hAnsi="Times New Roman"/>
          <w:sz w:val="24"/>
        </w:rPr>
        <w:t>%，基本实现了全员就业。从具体来看，毕业生以签就业协议形式为主，达到了</w:t>
      </w:r>
      <w:r>
        <w:rPr>
          <w:rFonts w:hint="eastAsia" w:ascii="Times New Roman" w:hAnsi="Times New Roman"/>
          <w:sz w:val="24"/>
          <w:lang w:val="en-US" w:eastAsia="zh-CN"/>
        </w:rPr>
        <w:t>1650</w:t>
      </w:r>
      <w:r>
        <w:rPr>
          <w:rFonts w:hint="eastAsia" w:ascii="Times New Roman" w:hAnsi="Times New Roman"/>
          <w:sz w:val="24"/>
        </w:rPr>
        <w:t>人，占毕业总人数的</w:t>
      </w:r>
      <w:r>
        <w:rPr>
          <w:rFonts w:hint="eastAsia" w:ascii="Times New Roman" w:hAnsi="Times New Roman"/>
          <w:sz w:val="24"/>
          <w:lang w:val="en-US" w:eastAsia="zh-CN"/>
        </w:rPr>
        <w:t>80.45</w:t>
      </w:r>
      <w:r>
        <w:rPr>
          <w:rFonts w:hint="eastAsia" w:ascii="Times New Roman" w:hAnsi="Times New Roman"/>
          <w:sz w:val="24"/>
        </w:rPr>
        <w:t>%；其次是</w:t>
      </w:r>
      <w:r>
        <w:rPr>
          <w:rFonts w:hint="eastAsia" w:ascii="Times New Roman" w:hAnsi="Times New Roman"/>
          <w:sz w:val="24"/>
          <w:lang w:val="en-US" w:eastAsia="zh-CN"/>
        </w:rPr>
        <w:t>升学率</w:t>
      </w:r>
      <w:r>
        <w:rPr>
          <w:rFonts w:hint="eastAsia" w:ascii="Times New Roman" w:hAnsi="Times New Roman"/>
          <w:sz w:val="24"/>
        </w:rPr>
        <w:t>，占比达</w:t>
      </w:r>
      <w:r>
        <w:rPr>
          <w:rFonts w:hint="eastAsia" w:ascii="Times New Roman" w:hAnsi="Times New Roman"/>
          <w:sz w:val="24"/>
          <w:lang w:val="en-US" w:eastAsia="zh-CN"/>
        </w:rPr>
        <w:t>6.39</w:t>
      </w:r>
      <w:r>
        <w:rPr>
          <w:rFonts w:hint="eastAsia" w:ascii="Times New Roman" w:hAnsi="Times New Roman"/>
          <w:sz w:val="24"/>
        </w:rPr>
        <w:t>%。</w:t>
      </w:r>
    </w:p>
    <w:tbl>
      <w:tblPr>
        <w:tblStyle w:val="13"/>
        <w:tblpPr w:leftFromText="180" w:rightFromText="180" w:vertAnchor="text" w:horzAnchor="page" w:tblpX="1086" w:tblpY="604"/>
        <w:tblOverlap w:val="never"/>
        <w:tblW w:w="102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813"/>
        <w:gridCol w:w="826"/>
        <w:gridCol w:w="1247"/>
        <w:gridCol w:w="1212"/>
        <w:gridCol w:w="1140"/>
        <w:gridCol w:w="1116"/>
        <w:gridCol w:w="1200"/>
        <w:gridCol w:w="1044"/>
        <w:gridCol w:w="1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0224" w:type="dxa"/>
            <w:gridSpan w:val="10"/>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8"/>
                <w:szCs w:val="28"/>
                <w:u w:val="none"/>
              </w:rPr>
            </w:pPr>
            <w:r>
              <w:rPr>
                <w:rFonts w:hint="eastAsia" w:ascii="宋体" w:hAnsi="宋体" w:eastAsia="宋体" w:cs="宋体"/>
                <w:b/>
                <w:bCs/>
                <w:i w:val="0"/>
                <w:iCs w:val="0"/>
                <w:color w:val="FFFFFF"/>
                <w:kern w:val="0"/>
                <w:sz w:val="28"/>
                <w:szCs w:val="28"/>
                <w:u w:val="none"/>
                <w:lang w:val="en-US" w:eastAsia="zh-CN" w:bidi="ar"/>
              </w:rPr>
              <w:t>2021年全省普通高校毕业生初次就业状况统计汇总表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2113" w:type="dxa"/>
            <w:gridSpan w:val="3"/>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毕业生数</w:t>
            </w:r>
          </w:p>
        </w:tc>
        <w:tc>
          <w:tcPr>
            <w:tcW w:w="1247" w:type="dxa"/>
            <w:vMerge w:val="restart"/>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初次就业率</w:t>
            </w:r>
          </w:p>
        </w:tc>
        <w:tc>
          <w:tcPr>
            <w:tcW w:w="6864" w:type="dxa"/>
            <w:gridSpan w:val="6"/>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2113" w:type="dxa"/>
            <w:gridSpan w:val="3"/>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247" w:type="dxa"/>
            <w:vMerge w:val="continue"/>
            <w:tcBorders>
              <w:top w:val="single" w:color="4F81BD" w:sz="8" w:space="0"/>
              <w:left w:val="single" w:color="4F81BD" w:sz="8" w:space="0"/>
              <w:bottom w:val="single" w:color="4F81BD" w:sz="8" w:space="0"/>
              <w:right w:val="single" w:color="4F81BD" w:sz="8"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21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协议就业率</w:t>
            </w:r>
          </w:p>
        </w:tc>
        <w:tc>
          <w:tcPr>
            <w:tcW w:w="114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灵活就业率</w:t>
            </w:r>
          </w:p>
        </w:tc>
        <w:tc>
          <w:tcPr>
            <w:tcW w:w="11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自主创业率</w:t>
            </w:r>
          </w:p>
        </w:tc>
        <w:tc>
          <w:tcPr>
            <w:tcW w:w="120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应征入伍率</w:t>
            </w:r>
          </w:p>
        </w:tc>
        <w:tc>
          <w:tcPr>
            <w:tcW w:w="104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出国率</w:t>
            </w:r>
          </w:p>
        </w:tc>
        <w:tc>
          <w:tcPr>
            <w:tcW w:w="115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升学率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287" w:type="dxa"/>
            <w:gridSpan w:val="2"/>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总体情况</w:t>
            </w:r>
          </w:p>
        </w:tc>
        <w:tc>
          <w:tcPr>
            <w:tcW w:w="826"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2051</w:t>
            </w:r>
          </w:p>
        </w:tc>
        <w:tc>
          <w:tcPr>
            <w:tcW w:w="124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w:t>
            </w:r>
          </w:p>
        </w:tc>
        <w:tc>
          <w:tcPr>
            <w:tcW w:w="121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80.45%</w:t>
            </w:r>
          </w:p>
        </w:tc>
        <w:tc>
          <w:tcPr>
            <w:tcW w:w="114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116"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20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04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115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474"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w:t>
            </w:r>
          </w:p>
        </w:tc>
        <w:tc>
          <w:tcPr>
            <w:tcW w:w="81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82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w:t>
            </w:r>
          </w:p>
        </w:tc>
        <w:tc>
          <w:tcPr>
            <w:tcW w:w="1247"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89.02</w:t>
            </w:r>
            <w:r>
              <w:rPr>
                <w:rFonts w:hint="eastAsia" w:ascii="宋体" w:hAnsi="宋体" w:cs="宋体"/>
                <w:color w:val="000000"/>
                <w:kern w:val="0"/>
                <w:sz w:val="22"/>
                <w:szCs w:val="22"/>
                <w:lang w:bidi="ar"/>
              </w:rPr>
              <w:t>%</w:t>
            </w:r>
          </w:p>
        </w:tc>
        <w:tc>
          <w:tcPr>
            <w:tcW w:w="121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85.15%</w:t>
            </w:r>
          </w:p>
        </w:tc>
        <w:tc>
          <w:tcPr>
            <w:tcW w:w="114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1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1200"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04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15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474"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jc w:val="center"/>
              <w:rPr>
                <w:rFonts w:hint="eastAsia" w:ascii="宋体" w:hAnsi="宋体" w:eastAsia="宋体" w:cs="宋体"/>
                <w:i w:val="0"/>
                <w:iCs w:val="0"/>
                <w:color w:val="000000"/>
                <w:sz w:val="22"/>
                <w:szCs w:val="22"/>
                <w:u w:val="none"/>
              </w:rPr>
            </w:pPr>
          </w:p>
        </w:tc>
        <w:tc>
          <w:tcPr>
            <w:tcW w:w="813"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w:t>
            </w:r>
          </w:p>
        </w:tc>
        <w:tc>
          <w:tcPr>
            <w:tcW w:w="826"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1247"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lang w:val="en-US" w:eastAsia="zh-CN" w:bidi="ar"/>
              </w:rPr>
              <w:t>96.56</w:t>
            </w:r>
            <w:r>
              <w:rPr>
                <w:rFonts w:hint="eastAsia" w:ascii="宋体" w:hAnsi="宋体" w:cs="宋体"/>
                <w:color w:val="000000"/>
                <w:kern w:val="0"/>
                <w:sz w:val="22"/>
                <w:szCs w:val="22"/>
                <w:lang w:bidi="ar"/>
              </w:rPr>
              <w:t>%</w:t>
            </w:r>
          </w:p>
        </w:tc>
        <w:tc>
          <w:tcPr>
            <w:tcW w:w="121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72.87%</w:t>
            </w:r>
          </w:p>
        </w:tc>
        <w:tc>
          <w:tcPr>
            <w:tcW w:w="114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116"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1200"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1044"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52" w:type="dxa"/>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w:t>
            </w:r>
          </w:p>
        </w:tc>
      </w:tr>
    </w:tbl>
    <w:p>
      <w:pPr>
        <w:widowControl/>
        <w:jc w:val="left"/>
        <w:rPr>
          <w:rFonts w:ascii="宋体" w:hAnsi="宋体" w:eastAsia="宋体" w:cs="宋体"/>
          <w:kern w:val="0"/>
          <w:sz w:val="24"/>
        </w:rPr>
      </w:pPr>
    </w:p>
    <w:p>
      <w:pPr>
        <w:spacing w:line="360" w:lineRule="auto"/>
        <w:rPr>
          <w:rFonts w:hint="eastAsia"/>
        </w:rPr>
      </w:pPr>
    </w:p>
    <w:p>
      <w:pPr>
        <w:spacing w:line="360" w:lineRule="auto"/>
      </w:pPr>
      <w:r>
        <w:rPr>
          <w:rFonts w:hint="eastAsia"/>
        </w:rPr>
        <w:t>注：由于四舍五入的原因，因此数据占比之和可能会出现不等于 100%的情况（误差为±0.01）。</w:t>
      </w:r>
    </w:p>
    <w:p>
      <w:pPr>
        <w:pStyle w:val="4"/>
        <w:bidi w:val="0"/>
        <w:rPr>
          <w:rFonts w:hint="eastAsia"/>
        </w:rPr>
      </w:pPr>
      <w:bookmarkStart w:id="29" w:name="_Toc29942"/>
      <w:bookmarkStart w:id="30" w:name="_Toc5811"/>
      <w:r>
        <w:rPr>
          <w:rFonts w:hint="eastAsia"/>
        </w:rPr>
        <w:t>（二）各院系/专业的就业率</w:t>
      </w:r>
      <w:bookmarkEnd w:id="29"/>
      <w:bookmarkEnd w:id="30"/>
    </w:p>
    <w:p>
      <w:pPr>
        <w:pStyle w:val="5"/>
        <w:bidi w:val="0"/>
        <w:jc w:val="left"/>
        <w:rPr>
          <w:sz w:val="28"/>
          <w:szCs w:val="40"/>
        </w:rPr>
      </w:pPr>
      <w:r>
        <w:rPr>
          <w:rFonts w:hint="eastAsia"/>
          <w:sz w:val="28"/>
          <w:szCs w:val="40"/>
        </w:rPr>
        <w:t>1.各院系的就业率</w:t>
      </w:r>
    </w:p>
    <w:p>
      <w:pPr>
        <w:pStyle w:val="1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bottom"/>
        <w:rPr>
          <w:rFonts w:hint="default" w:ascii="Times New Roman" w:hAnsi="Times New Roman" w:eastAsiaTheme="minorEastAsia" w:cstheme="minorBidi"/>
          <w:kern w:val="2"/>
          <w:sz w:val="24"/>
          <w:szCs w:val="24"/>
          <w:lang w:val="en-US" w:eastAsia="zh-CN" w:bidi="ar-SA"/>
        </w:rPr>
      </w:pPr>
      <w:r>
        <w:rPr>
          <w:rFonts w:hint="eastAsia" w:ascii="Times New Roman" w:hAnsi="Times New Roman" w:eastAsiaTheme="minorEastAsia" w:cstheme="minorBidi"/>
          <w:kern w:val="2"/>
          <w:sz w:val="24"/>
          <w:szCs w:val="24"/>
          <w:lang w:val="en-US" w:eastAsia="zh-CN" w:bidi="ar-SA"/>
        </w:rPr>
        <w:t>各学院就业率如下：软件学院89.62%，电子工程学院96.65%，商学院97.22%艺术设计学院94.01%。</w:t>
      </w:r>
    </w:p>
    <w:p>
      <w:pPr>
        <w:pStyle w:val="12"/>
        <w:spacing w:before="0" w:beforeAutospacing="0" w:after="0" w:afterAutospacing="0"/>
        <w:ind w:firstLine="480" w:firstLineChars="200"/>
        <w:textAlignment w:val="bottom"/>
      </w:pPr>
    </w:p>
    <w:p>
      <w:pPr>
        <w:spacing w:line="360" w:lineRule="auto"/>
        <w:ind w:firstLine="420" w:firstLineChars="200"/>
        <w:rPr>
          <w:rFonts w:ascii="Times New Roman" w:hAnsi="Times New Roman"/>
          <w:sz w:val="24"/>
        </w:rPr>
      </w:pPr>
      <w:r>
        <w:drawing>
          <wp:inline distT="0" distB="0" distL="114300" distR="114300">
            <wp:extent cx="4457700" cy="2514600"/>
            <wp:effectExtent l="4445" t="5080" r="18415" b="10160"/>
            <wp:docPr id="4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hint="eastAsia"/>
        </w:rPr>
      </w:pPr>
    </w:p>
    <w:p>
      <w:pPr>
        <w:pStyle w:val="5"/>
        <w:bidi w:val="0"/>
        <w:jc w:val="left"/>
        <w:rPr>
          <w:rFonts w:hint="eastAsia"/>
          <w:sz w:val="28"/>
          <w:szCs w:val="40"/>
        </w:rPr>
      </w:pPr>
      <w:r>
        <w:rPr>
          <w:rFonts w:hint="eastAsia"/>
          <w:sz w:val="28"/>
          <w:szCs w:val="40"/>
        </w:rPr>
        <w:t>2.各专业就业率</w:t>
      </w:r>
    </w:p>
    <w:p>
      <w:pPr>
        <w:spacing w:line="360" w:lineRule="auto"/>
        <w:ind w:firstLine="480" w:firstLineChars="200"/>
        <w:rPr>
          <w:rFonts w:ascii="Times New Roman" w:hAnsi="Times New Roman"/>
          <w:sz w:val="24"/>
        </w:rPr>
      </w:pPr>
      <w:r>
        <w:rPr>
          <w:rFonts w:hint="eastAsia" w:ascii="Times New Roman" w:hAnsi="Times New Roman"/>
          <w:sz w:val="24"/>
        </w:rPr>
        <w:t>在</w:t>
      </w:r>
      <w:r>
        <w:rPr>
          <w:rFonts w:hint="eastAsia" w:ascii="Times New Roman" w:hAnsi="Times New Roman"/>
          <w:sz w:val="24"/>
          <w:lang w:val="en-US" w:eastAsia="zh-CN"/>
        </w:rPr>
        <w:t>13</w:t>
      </w:r>
      <w:r>
        <w:rPr>
          <w:rFonts w:hint="eastAsia" w:ascii="Times New Roman" w:hAnsi="Times New Roman"/>
          <w:sz w:val="24"/>
        </w:rPr>
        <w:t>个专业中，共有</w:t>
      </w:r>
      <w:r>
        <w:rPr>
          <w:rFonts w:hint="eastAsia" w:ascii="Times New Roman" w:hAnsi="Times New Roman"/>
          <w:sz w:val="24"/>
          <w:lang w:val="en-US" w:eastAsia="zh-CN"/>
        </w:rPr>
        <w:t>11</w:t>
      </w:r>
      <w:r>
        <w:rPr>
          <w:rFonts w:hint="eastAsia" w:ascii="Times New Roman" w:hAnsi="Times New Roman"/>
          <w:sz w:val="24"/>
        </w:rPr>
        <w:t>个专业的就业率超过了90%，其中</w:t>
      </w:r>
      <w:r>
        <w:rPr>
          <w:rFonts w:hint="eastAsia" w:ascii="Times New Roman" w:hAnsi="Times New Roman"/>
          <w:sz w:val="24"/>
          <w:lang w:val="en-US" w:eastAsia="zh-CN"/>
        </w:rPr>
        <w:t>市场营销</w:t>
      </w:r>
      <w:r>
        <w:rPr>
          <w:rFonts w:hint="eastAsia" w:ascii="Times New Roman" w:hAnsi="Times New Roman"/>
          <w:sz w:val="24"/>
        </w:rPr>
        <w:t>专业的就业率达到100%。</w:t>
      </w:r>
    </w:p>
    <w:tbl>
      <w:tblPr>
        <w:tblStyle w:val="13"/>
        <w:tblpPr w:leftFromText="180" w:rightFromText="180" w:vertAnchor="text" w:horzAnchor="page" w:tblpX="2161" w:tblpY="486"/>
        <w:tblOverlap w:val="never"/>
        <w:tblW w:w="7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37"/>
        <w:gridCol w:w="1972"/>
        <w:gridCol w:w="1648"/>
        <w:gridCol w:w="1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37" w:type="dxa"/>
            <w:tcBorders>
              <w:top w:val="single" w:color="4F81BD" w:sz="8" w:space="0"/>
              <w:left w:val="single" w:color="4F81BD" w:sz="8" w:space="0"/>
              <w:bottom w:val="single" w:color="FFFFFF" w:sz="18" w:space="0"/>
              <w:right w:val="single" w:color="4F81BD" w:sz="8" w:space="0"/>
            </w:tcBorders>
            <w:shd w:val="clear" w:color="5B9BD5" w:fill="4F81BD"/>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专业</w:t>
            </w:r>
          </w:p>
        </w:tc>
        <w:tc>
          <w:tcPr>
            <w:tcW w:w="1972" w:type="dxa"/>
            <w:tcBorders>
              <w:top w:val="single" w:color="4F81BD" w:sz="8" w:space="0"/>
              <w:left w:val="single" w:color="4F81BD" w:sz="8" w:space="0"/>
              <w:bottom w:val="single" w:color="FFFFFF" w:sz="18" w:space="0"/>
              <w:right w:val="single" w:color="4F81BD" w:sz="8" w:space="0"/>
            </w:tcBorders>
            <w:shd w:val="clear" w:color="5B9BD5" w:fill="4F81BD"/>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专业人数</w:t>
            </w:r>
          </w:p>
        </w:tc>
        <w:tc>
          <w:tcPr>
            <w:tcW w:w="1648" w:type="dxa"/>
            <w:tcBorders>
              <w:top w:val="single" w:color="4F81BD" w:sz="8" w:space="0"/>
              <w:left w:val="single" w:color="4F81BD" w:sz="8" w:space="0"/>
              <w:bottom w:val="single" w:color="FFFFFF" w:sz="18" w:space="0"/>
              <w:right w:val="single" w:color="4F81BD" w:sz="8" w:space="0"/>
            </w:tcBorders>
            <w:shd w:val="clear" w:color="5B9BD5" w:fill="4F81BD"/>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就业人数</w:t>
            </w:r>
          </w:p>
        </w:tc>
        <w:tc>
          <w:tcPr>
            <w:tcW w:w="1602" w:type="dxa"/>
            <w:tcBorders>
              <w:top w:val="single" w:color="4F81BD" w:sz="8" w:space="0"/>
              <w:left w:val="single" w:color="4F81BD" w:sz="8" w:space="0"/>
              <w:bottom w:val="single" w:color="FFFFFF" w:sz="18" w:space="0"/>
              <w:right w:val="single" w:color="4F81BD" w:sz="8" w:space="0"/>
            </w:tcBorders>
            <w:shd w:val="clear" w:color="5B9BD5" w:fill="4F81BD"/>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就业率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w:t>
            </w:r>
          </w:p>
        </w:tc>
        <w:tc>
          <w:tcPr>
            <w:tcW w:w="0" w:type="auto"/>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0" w:type="auto"/>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0" w:type="auto"/>
            <w:tcBorders>
              <w:top w:val="single" w:color="FFFFFF" w:sz="1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广告设计与制作</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环境设计</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计算机应用技术</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建筑室内设计</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软件技术</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市场营销</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视觉传达设计</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自动化</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4F81BD" w:sz="8" w:space="0"/>
              <w:left w:val="single" w:color="4F81BD" w:sz="8" w:space="0"/>
              <w:bottom w:val="single" w:color="4F81BD" w:sz="8" w:space="0"/>
              <w:right w:val="single" w:color="4F81BD" w:sz="8" w:space="0"/>
            </w:tcBorders>
            <w:shd w:val="clear" w:color="auto"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98.84%</w:t>
            </w:r>
          </w:p>
        </w:tc>
      </w:tr>
    </w:tbl>
    <w:p>
      <w:pPr>
        <w:spacing w:line="360" w:lineRule="auto"/>
        <w:rPr>
          <w:rFonts w:ascii="Times New Roman" w:hAnsi="Times New Roman"/>
          <w:sz w:val="24"/>
        </w:rPr>
      </w:pPr>
    </w:p>
    <w:p>
      <w:pPr>
        <w:rPr>
          <w:rFonts w:hint="eastAsia"/>
        </w:rPr>
      </w:pPr>
    </w:p>
    <w:p>
      <w:pPr>
        <w:pStyle w:val="4"/>
        <w:bidi w:val="0"/>
        <w:rPr>
          <w:rFonts w:hint="eastAsia"/>
        </w:rPr>
      </w:pPr>
      <w:bookmarkStart w:id="31" w:name="_Toc32021"/>
      <w:bookmarkStart w:id="32" w:name="_Toc31932"/>
      <w:r>
        <w:rPr>
          <w:rFonts w:hint="eastAsia"/>
        </w:rPr>
        <w:t>（三）各院系专业的毕业去向</w:t>
      </w:r>
      <w:bookmarkEnd w:id="31"/>
      <w:bookmarkEnd w:id="32"/>
    </w:p>
    <w:p>
      <w:pPr>
        <w:spacing w:line="360" w:lineRule="auto"/>
        <w:ind w:firstLine="480" w:firstLineChars="200"/>
        <w:rPr>
          <w:rFonts w:hint="eastAsia"/>
          <w:lang w:val="en-US" w:eastAsia="zh-CN"/>
        </w:rPr>
      </w:pPr>
      <w:r>
        <w:rPr>
          <w:rFonts w:hint="eastAsia" w:ascii="Times New Roman" w:hAnsi="Times New Roman"/>
          <w:sz w:val="24"/>
        </w:rPr>
        <w:t>各院系学生均以协议就业为主，</w:t>
      </w:r>
      <w:r>
        <w:rPr>
          <w:rFonts w:hint="eastAsia" w:ascii="Times New Roman" w:hAnsi="Times New Roman"/>
          <w:sz w:val="24"/>
          <w:lang w:val="en-US" w:eastAsia="zh-CN"/>
        </w:rPr>
        <w:t>市场营销</w:t>
      </w:r>
      <w:r>
        <w:rPr>
          <w:rFonts w:hint="eastAsia" w:ascii="Times New Roman" w:hAnsi="Times New Roman"/>
          <w:sz w:val="24"/>
        </w:rPr>
        <w:t>毕业生全部通过签就业协议就业</w:t>
      </w:r>
      <w:r>
        <w:rPr>
          <w:rFonts w:hint="eastAsia" w:ascii="Times New Roman" w:hAnsi="Times New Roman"/>
          <w:sz w:val="24"/>
          <w:lang w:eastAsia="zh-CN"/>
        </w:rPr>
        <w:t>，</w:t>
      </w:r>
      <w:r>
        <w:rPr>
          <w:rFonts w:hint="eastAsia" w:ascii="Times New Roman" w:hAnsi="Times New Roman"/>
          <w:sz w:val="24"/>
          <w:lang w:val="en-US" w:eastAsia="zh-CN"/>
        </w:rPr>
        <w:t>视觉传达设计、电子商务、电子信息工程、自动化签订就业协议就业率均已达到90%以上</w:t>
      </w:r>
      <w:r>
        <w:rPr>
          <w:rFonts w:hint="eastAsia" w:ascii="Times New Roman" w:hAnsi="Times New Roman"/>
          <w:sz w:val="24"/>
          <w:lang w:eastAsia="zh-CN"/>
        </w:rPr>
        <w:t>。</w:t>
      </w:r>
    </w:p>
    <w:tbl>
      <w:tblPr>
        <w:tblStyle w:val="13"/>
        <w:tblpPr w:leftFromText="180" w:rightFromText="180" w:vertAnchor="text" w:horzAnchor="page" w:tblpX="1129" w:tblpY="532"/>
        <w:tblOverlap w:val="never"/>
        <w:tblW w:w="102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6"/>
        <w:gridCol w:w="2083"/>
        <w:gridCol w:w="744"/>
        <w:gridCol w:w="1032"/>
        <w:gridCol w:w="1056"/>
        <w:gridCol w:w="948"/>
        <w:gridCol w:w="912"/>
        <w:gridCol w:w="816"/>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153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学院</w:t>
            </w:r>
          </w:p>
        </w:tc>
        <w:tc>
          <w:tcPr>
            <w:tcW w:w="208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专业</w:t>
            </w:r>
          </w:p>
        </w:tc>
        <w:tc>
          <w:tcPr>
            <w:tcW w:w="744"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专业人数</w:t>
            </w:r>
          </w:p>
        </w:tc>
        <w:tc>
          <w:tcPr>
            <w:tcW w:w="1032"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就业协议（人）</w:t>
            </w:r>
          </w:p>
        </w:tc>
        <w:tc>
          <w:tcPr>
            <w:tcW w:w="105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就业协议（率）</w:t>
            </w:r>
          </w:p>
        </w:tc>
        <w:tc>
          <w:tcPr>
            <w:tcW w:w="948"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应征义务兵（人）</w:t>
            </w:r>
          </w:p>
        </w:tc>
        <w:tc>
          <w:tcPr>
            <w:tcW w:w="912"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应征义务兵（率）</w:t>
            </w:r>
          </w:p>
        </w:tc>
        <w:tc>
          <w:tcPr>
            <w:tcW w:w="81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升学出国（人）</w:t>
            </w:r>
          </w:p>
        </w:tc>
        <w:tc>
          <w:tcPr>
            <w:tcW w:w="111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升学出国（率）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3" w:hRule="atLeast"/>
        </w:trPr>
        <w:tc>
          <w:tcPr>
            <w:tcW w:w="1536" w:type="dxa"/>
            <w:vMerge w:val="restart"/>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软件学院</w:t>
            </w:r>
          </w:p>
        </w:tc>
        <w:tc>
          <w:tcPr>
            <w:tcW w:w="2083" w:type="dxa"/>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计算机科学与技术</w:t>
            </w:r>
          </w:p>
        </w:tc>
        <w:tc>
          <w:tcPr>
            <w:tcW w:w="744" w:type="dxa"/>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032" w:type="dxa"/>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056" w:type="dxa"/>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82.02%</w:t>
            </w:r>
          </w:p>
        </w:tc>
        <w:tc>
          <w:tcPr>
            <w:tcW w:w="948" w:type="dxa"/>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2" w:type="dxa"/>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816" w:type="dxa"/>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6" w:type="dxa"/>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536" w:type="dxa"/>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208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计算机应用技术</w:t>
            </w:r>
          </w:p>
        </w:tc>
        <w:tc>
          <w:tcPr>
            <w:tcW w:w="74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03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5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70.45%</w:t>
            </w:r>
          </w:p>
        </w:tc>
        <w:tc>
          <w:tcPr>
            <w:tcW w:w="94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8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536" w:type="dxa"/>
            <w:vMerge w:val="continue"/>
            <w:tcBorders>
              <w:top w:val="single" w:color="4F81BD" w:sz="8" w:space="0"/>
              <w:left w:val="single" w:color="4F81BD" w:sz="8" w:space="0"/>
              <w:bottom w:val="single" w:color="4F81BD" w:sz="8" w:space="0"/>
              <w:right w:val="single" w:color="4F81BD" w:sz="8" w:space="0"/>
            </w:tcBorders>
            <w:shd w:val="clear" w:color="DDEBF7" w:fill="B8CCE4"/>
            <w:noWrap/>
            <w:vAlign w:val="center"/>
          </w:tcPr>
          <w:p>
            <w:pPr>
              <w:jc w:val="center"/>
              <w:rPr>
                <w:rFonts w:hint="eastAsia" w:ascii="宋体" w:hAnsi="宋体" w:eastAsia="宋体" w:cs="宋体"/>
                <w:i w:val="0"/>
                <w:iCs w:val="0"/>
                <w:color w:val="000000"/>
                <w:sz w:val="22"/>
                <w:szCs w:val="22"/>
                <w:u w:val="none"/>
              </w:rPr>
            </w:pPr>
          </w:p>
        </w:tc>
        <w:tc>
          <w:tcPr>
            <w:tcW w:w="2083"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软件工程</w:t>
            </w:r>
          </w:p>
        </w:tc>
        <w:tc>
          <w:tcPr>
            <w:tcW w:w="744"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1032"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05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81.76%</w:t>
            </w:r>
          </w:p>
        </w:tc>
        <w:tc>
          <w:tcPr>
            <w:tcW w:w="948"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12"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1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36" w:type="dxa"/>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208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软件技术</w:t>
            </w:r>
          </w:p>
        </w:tc>
        <w:tc>
          <w:tcPr>
            <w:tcW w:w="74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103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05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76.70%</w:t>
            </w:r>
          </w:p>
        </w:tc>
        <w:tc>
          <w:tcPr>
            <w:tcW w:w="94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1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8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1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36" w:type="dxa"/>
            <w:vMerge w:val="restart"/>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艺术设计学院</w:t>
            </w:r>
          </w:p>
        </w:tc>
        <w:tc>
          <w:tcPr>
            <w:tcW w:w="2083"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广告设计与制作</w:t>
            </w:r>
          </w:p>
        </w:tc>
        <w:tc>
          <w:tcPr>
            <w:tcW w:w="744"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32"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5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72.50%</w:t>
            </w:r>
          </w:p>
        </w:tc>
        <w:tc>
          <w:tcPr>
            <w:tcW w:w="948"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36" w:type="dxa"/>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208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环境设计</w:t>
            </w:r>
          </w:p>
        </w:tc>
        <w:tc>
          <w:tcPr>
            <w:tcW w:w="74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03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05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89.33%</w:t>
            </w:r>
          </w:p>
        </w:tc>
        <w:tc>
          <w:tcPr>
            <w:tcW w:w="94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8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36" w:type="dxa"/>
            <w:vMerge w:val="continue"/>
            <w:tcBorders>
              <w:top w:val="single" w:color="4F81BD" w:sz="8" w:space="0"/>
              <w:left w:val="single" w:color="4F81BD" w:sz="8" w:space="0"/>
              <w:bottom w:val="single" w:color="4F81BD" w:sz="8" w:space="0"/>
              <w:right w:val="single" w:color="4F81BD" w:sz="8" w:space="0"/>
            </w:tcBorders>
            <w:shd w:val="clear" w:color="DDEBF7" w:fill="B8CCE4"/>
            <w:noWrap/>
            <w:vAlign w:val="center"/>
          </w:tcPr>
          <w:p>
            <w:pPr>
              <w:jc w:val="center"/>
              <w:rPr>
                <w:rFonts w:hint="eastAsia" w:ascii="宋体" w:hAnsi="宋体" w:eastAsia="宋体" w:cs="宋体"/>
                <w:i w:val="0"/>
                <w:iCs w:val="0"/>
                <w:color w:val="000000"/>
                <w:sz w:val="22"/>
                <w:szCs w:val="22"/>
                <w:u w:val="none"/>
              </w:rPr>
            </w:pPr>
          </w:p>
        </w:tc>
        <w:tc>
          <w:tcPr>
            <w:tcW w:w="2083"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建筑室内设计</w:t>
            </w:r>
          </w:p>
        </w:tc>
        <w:tc>
          <w:tcPr>
            <w:tcW w:w="744"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032"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5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77.92%</w:t>
            </w:r>
          </w:p>
        </w:tc>
        <w:tc>
          <w:tcPr>
            <w:tcW w:w="948"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2"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81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6" w:type="dxa"/>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208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视觉传达设计</w:t>
            </w:r>
          </w:p>
        </w:tc>
        <w:tc>
          <w:tcPr>
            <w:tcW w:w="74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03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5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92.39%</w:t>
            </w:r>
          </w:p>
        </w:tc>
        <w:tc>
          <w:tcPr>
            <w:tcW w:w="94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8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6" w:type="dxa"/>
            <w:vMerge w:val="restart"/>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商学院</w:t>
            </w:r>
          </w:p>
        </w:tc>
        <w:tc>
          <w:tcPr>
            <w:tcW w:w="2083"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w:t>
            </w:r>
          </w:p>
        </w:tc>
        <w:tc>
          <w:tcPr>
            <w:tcW w:w="744"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032"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05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90.70%</w:t>
            </w:r>
          </w:p>
        </w:tc>
        <w:tc>
          <w:tcPr>
            <w:tcW w:w="948"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12"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81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6" w:type="dxa"/>
            <w:vMerge w:val="continue"/>
            <w:tcBorders>
              <w:top w:val="single" w:color="4F81BD" w:sz="8" w:space="0"/>
              <w:left w:val="single" w:color="4F81BD" w:sz="8" w:space="0"/>
              <w:bottom w:val="single" w:color="4F81BD" w:sz="8" w:space="0"/>
              <w:right w:val="single" w:color="4F81BD" w:sz="8" w:space="0"/>
            </w:tcBorders>
            <w:shd w:val="clear" w:color="DDEBF7" w:fill="FFFFFF"/>
            <w:noWrap/>
            <w:vAlign w:val="center"/>
          </w:tcPr>
          <w:p>
            <w:pPr>
              <w:jc w:val="center"/>
              <w:rPr>
                <w:rFonts w:hint="eastAsia" w:ascii="宋体" w:hAnsi="宋体" w:eastAsia="宋体" w:cs="宋体"/>
                <w:i w:val="0"/>
                <w:iCs w:val="0"/>
                <w:color w:val="000000"/>
                <w:sz w:val="22"/>
                <w:szCs w:val="22"/>
                <w:u w:val="none"/>
              </w:rPr>
            </w:pPr>
          </w:p>
        </w:tc>
        <w:tc>
          <w:tcPr>
            <w:tcW w:w="208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w:t>
            </w:r>
          </w:p>
        </w:tc>
        <w:tc>
          <w:tcPr>
            <w:tcW w:w="74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3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5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72.00%</w:t>
            </w:r>
          </w:p>
        </w:tc>
        <w:tc>
          <w:tcPr>
            <w:tcW w:w="94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6" w:type="dxa"/>
            <w:vMerge w:val="continue"/>
            <w:tcBorders>
              <w:top w:val="single" w:color="4F81BD" w:sz="8" w:space="0"/>
              <w:left w:val="single" w:color="4F81BD" w:sz="8" w:space="0"/>
              <w:bottom w:val="single" w:color="4F81BD" w:sz="8" w:space="0"/>
              <w:right w:val="single" w:color="4F81BD" w:sz="8" w:space="0"/>
            </w:tcBorders>
            <w:shd w:val="clear" w:color="DDEBF7" w:fill="B8CCE4"/>
            <w:noWrap/>
            <w:vAlign w:val="center"/>
          </w:tcPr>
          <w:p>
            <w:pPr>
              <w:jc w:val="center"/>
              <w:rPr>
                <w:rFonts w:hint="eastAsia" w:ascii="宋体" w:hAnsi="宋体" w:eastAsia="宋体" w:cs="宋体"/>
                <w:i w:val="0"/>
                <w:iCs w:val="0"/>
                <w:color w:val="000000"/>
                <w:sz w:val="22"/>
                <w:szCs w:val="22"/>
                <w:u w:val="none"/>
              </w:rPr>
            </w:pPr>
          </w:p>
        </w:tc>
        <w:tc>
          <w:tcPr>
            <w:tcW w:w="2083"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市场营销</w:t>
            </w:r>
          </w:p>
        </w:tc>
        <w:tc>
          <w:tcPr>
            <w:tcW w:w="744"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2"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948"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1536" w:type="dxa"/>
            <w:vMerge w:val="restart"/>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电子工程学院</w:t>
            </w:r>
          </w:p>
        </w:tc>
        <w:tc>
          <w:tcPr>
            <w:tcW w:w="2083"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电子信息工程</w:t>
            </w:r>
          </w:p>
        </w:tc>
        <w:tc>
          <w:tcPr>
            <w:tcW w:w="744"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03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05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92.47%</w:t>
            </w:r>
          </w:p>
        </w:tc>
        <w:tc>
          <w:tcPr>
            <w:tcW w:w="948"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2"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8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6" w:type="dxa"/>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36" w:type="dxa"/>
            <w:vMerge w:val="continue"/>
            <w:tcBorders>
              <w:top w:val="single" w:color="4F81BD" w:sz="8" w:space="0"/>
              <w:left w:val="single" w:color="4F81BD" w:sz="8" w:space="0"/>
              <w:bottom w:val="single" w:color="4F81BD" w:sz="8" w:space="0"/>
              <w:right w:val="single" w:color="4F81BD" w:sz="8" w:space="0"/>
            </w:tcBorders>
            <w:shd w:val="clear" w:color="auto" w:fill="B8CCE4"/>
            <w:noWrap/>
            <w:vAlign w:val="center"/>
          </w:tcPr>
          <w:p>
            <w:pPr>
              <w:jc w:val="center"/>
              <w:rPr>
                <w:rFonts w:hint="eastAsia" w:ascii="宋体" w:hAnsi="宋体" w:eastAsia="宋体" w:cs="宋体"/>
                <w:i w:val="0"/>
                <w:iCs w:val="0"/>
                <w:color w:val="000000"/>
                <w:sz w:val="22"/>
                <w:szCs w:val="22"/>
                <w:u w:val="none"/>
              </w:rPr>
            </w:pPr>
          </w:p>
        </w:tc>
        <w:tc>
          <w:tcPr>
            <w:tcW w:w="2083"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自动化</w:t>
            </w:r>
          </w:p>
        </w:tc>
        <w:tc>
          <w:tcPr>
            <w:tcW w:w="744"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032"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05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98.84%</w:t>
            </w:r>
          </w:p>
        </w:tc>
        <w:tc>
          <w:tcPr>
            <w:tcW w:w="948"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2"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1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16" w:type="dxa"/>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bl>
    <w:p>
      <w:pPr>
        <w:rPr>
          <w:rFonts w:hint="eastAsia"/>
        </w:rPr>
      </w:pPr>
    </w:p>
    <w:p>
      <w:pPr>
        <w:pStyle w:val="3"/>
        <w:bidi w:val="0"/>
        <w:rPr>
          <w:rFonts w:hint="eastAsia"/>
        </w:rPr>
      </w:pPr>
      <w:bookmarkStart w:id="33" w:name="_Toc7142"/>
      <w:bookmarkStart w:id="34" w:name="_Toc11490"/>
      <w:bookmarkStart w:id="35" w:name="_Toc26549"/>
      <w:r>
        <w:rPr>
          <w:rFonts w:hint="eastAsia"/>
        </w:rPr>
        <w:t>三</w:t>
      </w:r>
      <w:r>
        <w:rPr>
          <w:rFonts w:hint="eastAsia"/>
          <w:lang w:eastAsia="zh-CN"/>
        </w:rPr>
        <w:t>、</w:t>
      </w:r>
      <w:r>
        <w:rPr>
          <w:rFonts w:hint="eastAsia"/>
        </w:rPr>
        <w:t>就业流向</w:t>
      </w:r>
      <w:bookmarkEnd w:id="33"/>
      <w:bookmarkEnd w:id="34"/>
      <w:bookmarkEnd w:id="35"/>
    </w:p>
    <w:p>
      <w:pPr>
        <w:pStyle w:val="4"/>
        <w:bidi w:val="0"/>
        <w:rPr>
          <w:rFonts w:hint="eastAsia"/>
        </w:rPr>
      </w:pPr>
      <w:bookmarkStart w:id="36" w:name="_Toc19240"/>
      <w:bookmarkStart w:id="37" w:name="_Toc7819"/>
      <w:r>
        <w:rPr>
          <w:rFonts w:hint="eastAsia"/>
        </w:rPr>
        <w:t>（一）单位就业</w:t>
      </w:r>
      <w:bookmarkEnd w:id="36"/>
      <w:bookmarkEnd w:id="37"/>
    </w:p>
    <w:p>
      <w:pPr>
        <w:pStyle w:val="5"/>
        <w:bidi w:val="0"/>
        <w:jc w:val="left"/>
        <w:rPr>
          <w:rFonts w:hint="eastAsia"/>
          <w:sz w:val="28"/>
          <w:szCs w:val="40"/>
        </w:rPr>
      </w:pPr>
      <w:r>
        <w:rPr>
          <w:rFonts w:hint="eastAsia"/>
          <w:sz w:val="28"/>
          <w:szCs w:val="40"/>
        </w:rPr>
        <w:t xml:space="preserve"> 1.就业地区流向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Theme="minorEastAsia"/>
          <w:sz w:val="24"/>
          <w:lang w:eastAsia="zh-CN"/>
        </w:rPr>
      </w:pPr>
      <w:r>
        <w:rPr>
          <w:rFonts w:hint="eastAsia" w:ascii="Times New Roman" w:hAnsi="Times New Roman"/>
          <w:b w:val="0"/>
          <w:bCs/>
          <w:color w:val="auto"/>
          <w:sz w:val="24"/>
        </w:rPr>
        <w:t>我院</w:t>
      </w:r>
      <w:r>
        <w:rPr>
          <w:rFonts w:hint="eastAsia" w:ascii="Times New Roman" w:hAnsi="Times New Roman"/>
          <w:b w:val="0"/>
          <w:bCs/>
          <w:color w:val="auto"/>
          <w:sz w:val="24"/>
          <w:lang w:val="en-US" w:eastAsia="zh-CN"/>
        </w:rPr>
        <w:t>2021</w:t>
      </w:r>
      <w:r>
        <w:rPr>
          <w:rFonts w:hint="eastAsia" w:ascii="Times New Roman" w:hAnsi="Times New Roman"/>
          <w:b w:val="0"/>
          <w:bCs/>
          <w:color w:val="auto"/>
          <w:sz w:val="24"/>
        </w:rPr>
        <w:t>届选择单位就业的毕业生中，</w:t>
      </w:r>
      <w:r>
        <w:rPr>
          <w:rFonts w:hint="eastAsia" w:ascii="Times New Roman" w:hAnsi="Times New Roman"/>
          <w:b w:val="0"/>
          <w:bCs/>
          <w:color w:val="auto"/>
          <w:sz w:val="24"/>
          <w:lang w:val="en-US" w:eastAsia="zh-CN"/>
        </w:rPr>
        <w:t>36</w:t>
      </w:r>
      <w:r>
        <w:rPr>
          <w:rFonts w:hint="eastAsia" w:ascii="Times New Roman" w:hAnsi="Times New Roman"/>
          <w:b w:val="0"/>
          <w:bCs/>
          <w:color w:val="auto"/>
          <w:sz w:val="24"/>
        </w:rPr>
        <w:t>%</w:t>
      </w:r>
      <w:r>
        <w:rPr>
          <w:rFonts w:hint="eastAsia" w:ascii="Times New Roman" w:hAnsi="Times New Roman"/>
          <w:sz w:val="24"/>
        </w:rPr>
        <w:t>的学生选择在省内工作，服务地方经济发展；省内就业主要流向哈尔滨市、</w:t>
      </w:r>
      <w:r>
        <w:rPr>
          <w:rFonts w:hint="eastAsia" w:ascii="Times New Roman" w:hAnsi="Times New Roman"/>
          <w:sz w:val="24"/>
          <w:lang w:val="en-US" w:eastAsia="zh-CN"/>
        </w:rPr>
        <w:t>大庆市、</w:t>
      </w:r>
      <w:r>
        <w:rPr>
          <w:rFonts w:hint="eastAsia" w:ascii="Times New Roman" w:hAnsi="Times New Roman"/>
          <w:sz w:val="24"/>
        </w:rPr>
        <w:t>齐齐哈尔市和绥化市</w:t>
      </w:r>
      <w:r>
        <w:rPr>
          <w:rFonts w:hint="eastAsia" w:ascii="Times New Roman" w:hAnsi="Times New Roman"/>
          <w:sz w:val="24"/>
          <w:lang w:eastAsia="zh-CN"/>
        </w:rPr>
        <w:t>。</w:t>
      </w:r>
    </w:p>
    <w:p>
      <w:pPr>
        <w:ind w:firstLine="420" w:firstLineChars="200"/>
        <w:rPr>
          <w:rFonts w:ascii="Times New Roman" w:hAnsi="Times New Roman"/>
          <w:sz w:val="24"/>
        </w:rPr>
      </w:pPr>
      <w:r>
        <w:drawing>
          <wp:anchor distT="0" distB="0" distL="114300" distR="114300" simplePos="0" relativeHeight="251662336" behindDoc="0" locked="0" layoutInCell="1" allowOverlap="1">
            <wp:simplePos x="0" y="0"/>
            <wp:positionH relativeFrom="column">
              <wp:posOffset>2214245</wp:posOffset>
            </wp:positionH>
            <wp:positionV relativeFrom="paragraph">
              <wp:posOffset>176530</wp:posOffset>
            </wp:positionV>
            <wp:extent cx="3832860" cy="2521585"/>
            <wp:effectExtent l="4445" t="4445" r="18415" b="19050"/>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drawing>
          <wp:anchor distT="0" distB="0" distL="114300" distR="114300" simplePos="0" relativeHeight="251661312" behindDoc="0" locked="0" layoutInCell="1" allowOverlap="1">
            <wp:simplePos x="0" y="0"/>
            <wp:positionH relativeFrom="column">
              <wp:posOffset>-666115</wp:posOffset>
            </wp:positionH>
            <wp:positionV relativeFrom="paragraph">
              <wp:posOffset>179705</wp:posOffset>
            </wp:positionV>
            <wp:extent cx="3291840" cy="2514600"/>
            <wp:effectExtent l="4445" t="4445" r="10795" b="1079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注：由于四舍五入的原因，因此数据占比之和可能会出现不等于 100%的情况（误差为±0.01）。</w:t>
      </w:r>
    </w:p>
    <w:p>
      <w:pPr>
        <w:pStyle w:val="5"/>
        <w:bidi w:val="0"/>
        <w:jc w:val="left"/>
        <w:rPr>
          <w:rFonts w:hint="eastAsia"/>
          <w:sz w:val="28"/>
          <w:szCs w:val="40"/>
        </w:rPr>
      </w:pPr>
      <w:r>
        <w:rPr>
          <w:rFonts w:hint="eastAsia"/>
          <w:sz w:val="28"/>
          <w:szCs w:val="40"/>
        </w:rPr>
        <w:t>2.就业单位流向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毕业生主要流向单位类型为私营企业，比例高达</w:t>
      </w:r>
      <w:r>
        <w:rPr>
          <w:rFonts w:hint="eastAsia" w:ascii="宋体" w:hAnsi="宋体" w:eastAsia="宋体" w:cs="宋体"/>
          <w:sz w:val="24"/>
          <w:lang w:val="en-US" w:eastAsia="zh-CN"/>
        </w:rPr>
        <w:t>78.94</w:t>
      </w:r>
      <w:r>
        <w:rPr>
          <w:rFonts w:hint="eastAsia" w:ascii="宋体" w:hAnsi="宋体" w:eastAsia="宋体" w:cs="宋体"/>
          <w:sz w:val="24"/>
        </w:rPr>
        <w:t>%，其中绝大部分为中小企业</w:t>
      </w:r>
      <w:r>
        <w:rPr>
          <w:rFonts w:hint="eastAsia" w:ascii="宋体" w:hAnsi="宋体" w:eastAsia="宋体" w:cs="宋体"/>
          <w:sz w:val="24"/>
          <w:lang w:eastAsia="zh-CN"/>
        </w:rPr>
        <w:t>。</w:t>
      </w:r>
      <w:r>
        <w:rPr>
          <w:rFonts w:hint="eastAsia" w:ascii="宋体" w:hAnsi="宋体" w:eastAsia="宋体" w:cs="宋体"/>
          <w:sz w:val="24"/>
        </w:rPr>
        <w:t>其次为</w:t>
      </w:r>
      <w:r>
        <w:rPr>
          <w:rFonts w:hint="eastAsia" w:ascii="宋体" w:hAnsi="宋体" w:eastAsia="宋体" w:cs="宋体"/>
          <w:sz w:val="24"/>
          <w:lang w:val="en-US" w:eastAsia="zh-CN"/>
        </w:rPr>
        <w:t>升学（含出国深造）</w:t>
      </w:r>
      <w:r>
        <w:rPr>
          <w:rFonts w:hint="eastAsia" w:ascii="宋体" w:hAnsi="宋体" w:eastAsia="宋体" w:cs="宋体"/>
          <w:sz w:val="24"/>
        </w:rPr>
        <w:t>和国有企业，分别占7%与</w:t>
      </w:r>
      <w:r>
        <w:rPr>
          <w:rFonts w:hint="eastAsia" w:ascii="宋体" w:hAnsi="宋体" w:eastAsia="宋体" w:cs="宋体"/>
          <w:sz w:val="24"/>
          <w:lang w:val="en-US" w:eastAsia="zh-CN"/>
        </w:rPr>
        <w:t>3.55</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 w:val="24"/>
        </w:rPr>
      </w:pPr>
      <w:r>
        <w:drawing>
          <wp:inline distT="0" distB="0" distL="114300" distR="114300">
            <wp:extent cx="4967605" cy="3192145"/>
            <wp:effectExtent l="4445" t="4445" r="11430" b="1905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pPr>
      <w:r>
        <w:rPr>
          <w:rFonts w:hint="eastAsia"/>
        </w:rPr>
        <w:t>注：由于四舍五入的原因，因此数据占比之和可能会出现不等于 100%的情况（误差为±0.01）。</w:t>
      </w:r>
    </w:p>
    <w:p>
      <w:pPr>
        <w:pStyle w:val="5"/>
        <w:bidi w:val="0"/>
        <w:jc w:val="left"/>
        <w:rPr>
          <w:rFonts w:hint="eastAsia"/>
          <w:sz w:val="28"/>
          <w:szCs w:val="40"/>
        </w:rPr>
      </w:pPr>
      <w:r>
        <w:rPr>
          <w:rFonts w:hint="eastAsia"/>
          <w:sz w:val="28"/>
          <w:szCs w:val="40"/>
        </w:rPr>
        <w:t>3.就业行业流向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毕业生的就业行业主要集中在信息传输、软件和信息技术服务业（</w:t>
      </w:r>
      <w:r>
        <w:rPr>
          <w:rFonts w:hint="eastAsia" w:ascii="Times New Roman" w:hAnsi="Times New Roman"/>
          <w:sz w:val="24"/>
          <w:lang w:val="en-US" w:eastAsia="zh-CN"/>
        </w:rPr>
        <w:t>41.86</w:t>
      </w:r>
      <w:r>
        <w:rPr>
          <w:rFonts w:hint="eastAsia" w:ascii="Times New Roman" w:hAnsi="Times New Roman"/>
          <w:sz w:val="24"/>
        </w:rPr>
        <w:t>%）</w:t>
      </w:r>
      <w:r>
        <w:rPr>
          <w:rFonts w:hint="eastAsia" w:ascii="Times New Roman" w:hAnsi="Times New Roman"/>
          <w:sz w:val="24"/>
          <w:lang w:eastAsia="zh-CN"/>
        </w:rPr>
        <w:t>、</w:t>
      </w:r>
      <w:r>
        <w:rPr>
          <w:rFonts w:hint="eastAsia" w:ascii="Times New Roman" w:hAnsi="Times New Roman"/>
          <w:sz w:val="24"/>
          <w:lang w:val="en-US" w:eastAsia="zh-CN"/>
        </w:rPr>
        <w:t>批发和零售业</w:t>
      </w:r>
      <w:r>
        <w:rPr>
          <w:rFonts w:hint="eastAsia" w:ascii="Times New Roman" w:hAnsi="Times New Roman"/>
          <w:sz w:val="24"/>
        </w:rPr>
        <w:t>(</w:t>
      </w:r>
      <w:r>
        <w:rPr>
          <w:rFonts w:hint="eastAsia" w:ascii="Times New Roman" w:hAnsi="Times New Roman"/>
          <w:sz w:val="24"/>
          <w:lang w:val="en-US" w:eastAsia="zh-CN"/>
        </w:rPr>
        <w:t>7.11</w:t>
      </w:r>
      <w:r>
        <w:rPr>
          <w:rFonts w:hint="eastAsia" w:ascii="Times New Roman" w:hAnsi="Times New Roman"/>
          <w:sz w:val="24"/>
        </w:rPr>
        <w:t>%)以及建筑业(</w:t>
      </w:r>
      <w:r>
        <w:rPr>
          <w:rFonts w:hint="eastAsia" w:ascii="Times New Roman" w:hAnsi="Times New Roman"/>
          <w:sz w:val="24"/>
          <w:lang w:val="en-US" w:eastAsia="zh-CN"/>
        </w:rPr>
        <w:t>6.37</w:t>
      </w:r>
      <w:r>
        <w:rPr>
          <w:rFonts w:hint="eastAsia" w:ascii="Times New Roman" w:hAnsi="Times New Roman"/>
          <w:sz w:val="24"/>
        </w:rPr>
        <w:t>%)</w:t>
      </w:r>
      <w:r>
        <w:rPr>
          <w:rFonts w:hint="eastAsia" w:ascii="Times New Roman" w:hAnsi="Times New Roman"/>
          <w:sz w:val="24"/>
          <w:lang w:eastAsia="zh-CN"/>
        </w:rPr>
        <w:t>。</w:t>
      </w:r>
      <w:r>
        <w:rPr>
          <w:rFonts w:hint="eastAsia" w:ascii="Times New Roman" w:hAnsi="Times New Roman"/>
          <w:sz w:val="24"/>
        </w:rPr>
        <w:t>其中，在信息传输、软件和信息技术服务业从业的毕业生人数最多，所占比例为</w:t>
      </w:r>
      <w:r>
        <w:rPr>
          <w:rFonts w:hint="eastAsia" w:ascii="Times New Roman" w:hAnsi="Times New Roman"/>
          <w:sz w:val="24"/>
          <w:lang w:val="en-US" w:eastAsia="zh-CN"/>
        </w:rPr>
        <w:t>41.86</w:t>
      </w:r>
      <w:r>
        <w:rPr>
          <w:rFonts w:hint="eastAsia" w:ascii="Times New Roman" w:hAnsi="Times New Roman"/>
          <w:sz w:val="24"/>
        </w:rPr>
        <w:t>%。</w:t>
      </w:r>
    </w:p>
    <w:p>
      <w:pPr>
        <w:spacing w:line="360" w:lineRule="auto"/>
        <w:ind w:firstLine="420" w:firstLineChars="200"/>
        <w:rPr>
          <w:rFonts w:ascii="Times New Roman" w:hAnsi="Times New Roman"/>
          <w:sz w:val="24"/>
        </w:rPr>
      </w:pPr>
      <w:r>
        <w:drawing>
          <wp:inline distT="0" distB="0" distL="114300" distR="114300">
            <wp:extent cx="5301615" cy="3618230"/>
            <wp:effectExtent l="4445" t="4445" r="12700" b="19685"/>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5"/>
        <w:bidi w:val="0"/>
        <w:jc w:val="left"/>
        <w:rPr>
          <w:rFonts w:hint="eastAsia"/>
          <w:sz w:val="28"/>
          <w:szCs w:val="40"/>
        </w:rPr>
      </w:pPr>
      <w:r>
        <w:rPr>
          <w:rFonts w:hint="eastAsia"/>
          <w:sz w:val="28"/>
          <w:szCs w:val="40"/>
        </w:rPr>
        <w:t>4.就业职业流向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毕业生主要从事职业为</w:t>
      </w:r>
      <w:r>
        <w:rPr>
          <w:rFonts w:hint="eastAsia" w:ascii="Times New Roman" w:hAnsi="Times New Roman"/>
          <w:sz w:val="24"/>
          <w:lang w:val="en-US" w:eastAsia="zh-CN"/>
        </w:rPr>
        <w:t>其他人员</w:t>
      </w:r>
      <w:r>
        <w:rPr>
          <w:rFonts w:hint="eastAsia" w:ascii="Times New Roman" w:hAnsi="Times New Roman"/>
          <w:sz w:val="24"/>
          <w:lang w:eastAsia="zh-CN"/>
        </w:rPr>
        <w:t>，</w:t>
      </w:r>
      <w:r>
        <w:rPr>
          <w:rFonts w:hint="eastAsia" w:ascii="Times New Roman" w:hAnsi="Times New Roman"/>
          <w:sz w:val="24"/>
        </w:rPr>
        <w:t>所占比例</w:t>
      </w:r>
      <w:r>
        <w:rPr>
          <w:rFonts w:hint="eastAsia" w:ascii="Times New Roman" w:hAnsi="Times New Roman"/>
          <w:sz w:val="24"/>
          <w:lang w:val="en-US" w:eastAsia="zh-CN"/>
        </w:rPr>
        <w:t>约为28.54%</w:t>
      </w:r>
      <w:r>
        <w:rPr>
          <w:rFonts w:hint="eastAsia" w:ascii="Times New Roman" w:hAnsi="Times New Roman"/>
          <w:sz w:val="24"/>
          <w:lang w:eastAsia="zh-CN"/>
        </w:rPr>
        <w:t>。</w:t>
      </w:r>
      <w:r>
        <w:rPr>
          <w:rFonts w:hint="eastAsia" w:ascii="Times New Roman" w:hAnsi="Times New Roman"/>
          <w:sz w:val="24"/>
        </w:rPr>
        <w:t>其次为其他</w:t>
      </w:r>
      <w:r>
        <w:rPr>
          <w:rFonts w:hint="eastAsia" w:ascii="Times New Roman" w:hAnsi="Times New Roman"/>
          <w:sz w:val="24"/>
          <w:lang w:val="en-US" w:eastAsia="zh-CN"/>
        </w:rPr>
        <w:t>专业技术</w:t>
      </w:r>
      <w:r>
        <w:rPr>
          <w:rFonts w:hint="eastAsia" w:ascii="Times New Roman" w:hAnsi="Times New Roman"/>
          <w:sz w:val="24"/>
        </w:rPr>
        <w:t>人员、</w:t>
      </w:r>
      <w:r>
        <w:rPr>
          <w:rFonts w:hint="eastAsia" w:ascii="Times New Roman" w:hAnsi="Times New Roman"/>
          <w:sz w:val="24"/>
          <w:lang w:val="en-US" w:eastAsia="zh-CN"/>
        </w:rPr>
        <w:t>工程技术人员、</w:t>
      </w:r>
      <w:r>
        <w:rPr>
          <w:rFonts w:hint="eastAsia" w:ascii="Times New Roman" w:hAnsi="Times New Roman"/>
          <w:sz w:val="24"/>
        </w:rPr>
        <w:t>商业服务业人员</w:t>
      </w:r>
      <w:r>
        <w:rPr>
          <w:rFonts w:hint="eastAsia" w:ascii="Times New Roman" w:hAnsi="Times New Roman"/>
          <w:sz w:val="24"/>
          <w:lang w:val="en-US" w:eastAsia="zh-CN"/>
        </w:rPr>
        <w:t>、教学人员以及办事人员和有关人员</w:t>
      </w:r>
      <w:r>
        <w:rPr>
          <w:rFonts w:hint="eastAsia" w:ascii="Times New Roman" w:hAnsi="Times New Roman"/>
          <w:sz w:val="24"/>
        </w:rPr>
        <w:t>。</w:t>
      </w:r>
    </w:p>
    <w:p>
      <w:pPr>
        <w:jc w:val="center"/>
      </w:pPr>
      <w:r>
        <w:drawing>
          <wp:inline distT="0" distB="0" distL="114300" distR="114300">
            <wp:extent cx="4572000" cy="2743200"/>
            <wp:effectExtent l="4445" t="4445" r="10795" b="107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注：列举就业量最大的前六个职业。</w:t>
      </w:r>
    </w:p>
    <w:p>
      <w:pPr>
        <w:pStyle w:val="4"/>
        <w:bidi w:val="0"/>
        <w:rPr>
          <w:rFonts w:hint="eastAsia"/>
        </w:rPr>
      </w:pPr>
      <w:bookmarkStart w:id="38" w:name="_Toc5313"/>
      <w:bookmarkStart w:id="39" w:name="_Toc14947"/>
      <w:r>
        <w:rPr>
          <w:rFonts w:hint="eastAsia"/>
        </w:rPr>
        <w:t>（</w:t>
      </w:r>
      <w:r>
        <w:rPr>
          <w:rFonts w:hint="eastAsia"/>
          <w:lang w:val="en-US" w:eastAsia="zh-CN"/>
        </w:rPr>
        <w:t>二）升学</w:t>
      </w:r>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sz w:val="24"/>
        </w:rPr>
      </w:pPr>
      <w:r>
        <w:rPr>
          <w:rFonts w:hint="eastAsia" w:ascii="Times New Roman" w:hAnsi="Times New Roman"/>
          <w:sz w:val="24"/>
        </w:rPr>
        <w:t>我</w:t>
      </w:r>
      <w:r>
        <w:rPr>
          <w:rFonts w:hint="eastAsia" w:ascii="Times New Roman" w:hAnsi="Times New Roman"/>
          <w:sz w:val="24"/>
          <w:lang w:val="en-US" w:eastAsia="zh-CN"/>
        </w:rPr>
        <w:t>校</w:t>
      </w:r>
      <w:r>
        <w:rPr>
          <w:rFonts w:hint="eastAsia" w:ascii="Times New Roman" w:hAnsi="Times New Roman"/>
          <w:sz w:val="24"/>
        </w:rPr>
        <w:t>共有</w:t>
      </w:r>
      <w:r>
        <w:rPr>
          <w:rFonts w:hint="eastAsia" w:ascii="Times New Roman" w:hAnsi="Times New Roman"/>
          <w:sz w:val="24"/>
          <w:lang w:val="en-US" w:eastAsia="zh-CN"/>
        </w:rPr>
        <w:t>8</w:t>
      </w:r>
      <w:r>
        <w:rPr>
          <w:rFonts w:hint="eastAsia" w:ascii="Times New Roman" w:hAnsi="Times New Roman"/>
          <w:sz w:val="24"/>
        </w:rPr>
        <w:t>名毕业生选择升学深造</w:t>
      </w:r>
      <w:r>
        <w:rPr>
          <w:rFonts w:hint="eastAsia" w:ascii="Times New Roman" w:hAnsi="Times New Roman"/>
          <w:sz w:val="24"/>
          <w:lang w:eastAsia="zh-CN"/>
        </w:rPr>
        <w:t>，</w:t>
      </w:r>
      <w:r>
        <w:rPr>
          <w:rFonts w:hint="eastAsia" w:ascii="Times New Roman" w:hAnsi="Times New Roman"/>
          <w:sz w:val="24"/>
        </w:rPr>
        <w:t>具体深造去向如下表所示：</w:t>
      </w:r>
    </w:p>
    <w:tbl>
      <w:tblPr>
        <w:tblStyle w:val="13"/>
        <w:tblpPr w:leftFromText="180" w:rightFromText="180" w:vertAnchor="text" w:horzAnchor="page" w:tblpX="2413" w:tblpY="514"/>
        <w:tblOverlap w:val="never"/>
        <w:tblW w:w="74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3"/>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5913"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升学院校名称</w:t>
            </w:r>
          </w:p>
        </w:tc>
        <w:tc>
          <w:tcPr>
            <w:tcW w:w="1546" w:type="dxa"/>
            <w:tcBorders>
              <w:top w:val="single" w:color="4F81BD" w:sz="8" w:space="0"/>
              <w:left w:val="single" w:color="4F81BD" w:sz="8" w:space="0"/>
              <w:bottom w:val="single" w:color="FFFFFF" w:sz="18" w:space="0"/>
              <w:right w:val="single" w:color="4F81BD" w:sz="8" w:space="0"/>
            </w:tcBorders>
            <w:shd w:val="clear" w:color="auto" w:fill="4F81BD"/>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0" w:type="auto"/>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内蒙古农业大学</w:t>
            </w:r>
          </w:p>
        </w:tc>
        <w:tc>
          <w:tcPr>
            <w:tcW w:w="0" w:type="auto"/>
            <w:tcBorders>
              <w:top w:val="single" w:color="FFFFFF" w:sz="1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甘肃农业大学</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trPr>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哈尔滨工程大学</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辽宁工程技术大学</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北华大学</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江西理工大学</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西南石油大学法学院</w:t>
            </w:r>
          </w:p>
        </w:tc>
        <w:tc>
          <w:tcPr>
            <w:tcW w:w="0" w:type="auto"/>
            <w:tcBorders>
              <w:top w:val="single" w:color="4F81BD" w:sz="8" w:space="0"/>
              <w:left w:val="single" w:color="4F81BD" w:sz="8" w:space="0"/>
              <w:bottom w:val="single" w:color="4F81BD" w:sz="8" w:space="0"/>
              <w:right w:val="single" w:color="4F81BD" w:sz="8" w:space="0"/>
            </w:tcBorders>
            <w:shd w:val="clear" w:color="DDEBF7" w:fill="B8CCE4"/>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哈尔滨理工大学</w:t>
            </w:r>
          </w:p>
        </w:tc>
        <w:tc>
          <w:tcPr>
            <w:tcW w:w="0" w:type="auto"/>
            <w:tcBorders>
              <w:top w:val="single" w:color="4F81BD" w:sz="8" w:space="0"/>
              <w:left w:val="single" w:color="4F81BD" w:sz="8" w:space="0"/>
              <w:bottom w:val="single" w:color="4F81BD" w:sz="8" w:space="0"/>
              <w:right w:val="single" w:color="4F81BD"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rPr>
          <w:rFonts w:hint="eastAsia"/>
        </w:rPr>
      </w:pPr>
      <w:bookmarkStart w:id="40" w:name="_Toc28408"/>
      <w:bookmarkStart w:id="41" w:name="_Toc617"/>
      <w:r>
        <w:rPr>
          <w:rFonts w:hint="eastAsia"/>
        </w:rPr>
        <w:br w:type="page"/>
      </w:r>
    </w:p>
    <w:p>
      <w:pPr>
        <w:pStyle w:val="2"/>
        <w:bidi w:val="0"/>
        <w:jc w:val="center"/>
        <w:rPr>
          <w:rFonts w:hint="eastAsia"/>
        </w:rPr>
      </w:pPr>
      <w:bookmarkStart w:id="42" w:name="_Toc25044"/>
      <w:r>
        <w:rPr>
          <w:rFonts w:hint="eastAsia"/>
        </w:rPr>
        <w:t>第二篇：就业工作特色</w:t>
      </w:r>
      <w:bookmarkEnd w:id="40"/>
      <w:bookmarkEnd w:id="41"/>
      <w:bookmarkEnd w:id="42"/>
    </w:p>
    <w:p>
      <w:pPr>
        <w:pStyle w:val="3"/>
        <w:bidi w:val="0"/>
        <w:rPr>
          <w:rFonts w:hint="eastAsia"/>
        </w:rPr>
      </w:pPr>
      <w:bookmarkStart w:id="43" w:name="_Toc29453"/>
      <w:bookmarkStart w:id="44" w:name="_Toc7824"/>
      <w:bookmarkStart w:id="45" w:name="_Toc3570"/>
      <w:r>
        <w:rPr>
          <w:rFonts w:hint="eastAsia"/>
          <w:lang w:val="en-US" w:eastAsia="zh-CN"/>
        </w:rPr>
        <w:t>一、</w:t>
      </w:r>
      <w:r>
        <w:rPr>
          <w:rFonts w:hint="eastAsia"/>
        </w:rPr>
        <w:t>毕业生就业工作举措</w:t>
      </w:r>
      <w:bookmarkEnd w:id="43"/>
      <w:bookmarkEnd w:id="44"/>
      <w:bookmarkEnd w:id="45"/>
    </w:p>
    <w:p>
      <w:pPr>
        <w:pStyle w:val="4"/>
        <w:bidi w:val="0"/>
        <w:rPr>
          <w:rFonts w:hint="eastAsia"/>
        </w:rPr>
      </w:pPr>
      <w:bookmarkStart w:id="46" w:name="_Toc27005"/>
      <w:bookmarkStart w:id="47" w:name="_Toc14003"/>
      <w:r>
        <w:rPr>
          <w:rFonts w:hint="eastAsia"/>
        </w:rPr>
        <w:t>（一）坚持推行就业工作领导体制，努力营造就业工作良好氛围</w:t>
      </w:r>
      <w:bookmarkEnd w:id="46"/>
      <w:bookmarkEnd w:id="47"/>
    </w:p>
    <w:p>
      <w:pPr>
        <w:spacing w:line="360" w:lineRule="auto"/>
        <w:ind w:firstLine="480" w:firstLineChars="200"/>
        <w:rPr>
          <w:rFonts w:ascii="Times New Roman" w:hAnsi="Times New Roman"/>
          <w:sz w:val="24"/>
        </w:rPr>
      </w:pPr>
      <w:r>
        <w:rPr>
          <w:rFonts w:hint="eastAsia" w:ascii="Times New Roman" w:hAnsi="Times New Roman"/>
          <w:sz w:val="24"/>
        </w:rPr>
        <w:t>学院升本以来对毕业生就业工作更加重视，将毕业生就业工作纳入学院重点工程。</w:t>
      </w:r>
      <w:r>
        <w:rPr>
          <w:rFonts w:hint="eastAsia" w:ascii="Times New Roman" w:hAnsi="Times New Roman"/>
          <w:sz w:val="24"/>
          <w:lang w:val="en-US" w:eastAsia="zh-CN"/>
        </w:rPr>
        <w:t>2021</w:t>
      </w:r>
      <w:r>
        <w:rPr>
          <w:rFonts w:hint="eastAsia" w:ascii="Times New Roman" w:hAnsi="Times New Roman"/>
          <w:sz w:val="24"/>
        </w:rPr>
        <w:t>年毕业生就业工作在学院就业工作领导小组指导下，按照国家和教育厅要求顺利开展。通过毕业生就业工作启动大会、就业工作推进会、就业工作汇报会等会议落实学院就业目标与就业政策，并在会上对就业工作做出全面部署和指示。毕业生就业工作得到全体教职员工的有力支持。学院在逐年加大就业工作编制、经费、队伍保障的同时，学院院长负总责，全面落实就业工作“一把手”工程。</w:t>
      </w:r>
    </w:p>
    <w:p>
      <w:pPr>
        <w:pStyle w:val="4"/>
        <w:bidi w:val="0"/>
        <w:rPr>
          <w:rFonts w:hint="eastAsia"/>
        </w:rPr>
      </w:pPr>
      <w:bookmarkStart w:id="48" w:name="_Toc3255"/>
      <w:bookmarkStart w:id="49" w:name="_Toc3460"/>
      <w:r>
        <w:rPr>
          <w:rFonts w:hint="eastAsia"/>
        </w:rPr>
        <w:t>（二）坚持深化人才培养模式改革，不断增强毕业生就业适应性</w:t>
      </w:r>
      <w:bookmarkEnd w:id="48"/>
      <w:bookmarkEnd w:id="49"/>
    </w:p>
    <w:p>
      <w:pPr>
        <w:spacing w:line="360" w:lineRule="auto"/>
        <w:ind w:firstLine="480" w:firstLineChars="200"/>
        <w:rPr>
          <w:rFonts w:ascii="Times New Roman" w:hAnsi="Times New Roman"/>
          <w:sz w:val="24"/>
        </w:rPr>
      </w:pPr>
      <w:r>
        <w:rPr>
          <w:rFonts w:hint="eastAsia" w:ascii="Times New Roman" w:hAnsi="Times New Roman"/>
          <w:sz w:val="24"/>
        </w:rPr>
        <w:t>人才培养质量直接影响出口逐渐成为各院系的共识，各院系进一步加大了以市场为导向的人才培养模式改革力度，积极推进教学改革，优化人才培养方案，加强校企合作，不断增强毕业生的就业竞争力。</w:t>
      </w:r>
    </w:p>
    <w:p>
      <w:pPr>
        <w:pStyle w:val="4"/>
        <w:bidi w:val="0"/>
        <w:rPr>
          <w:rFonts w:hint="eastAsia"/>
        </w:rPr>
      </w:pPr>
      <w:bookmarkStart w:id="50" w:name="_Toc10775"/>
      <w:bookmarkStart w:id="51" w:name="_Toc13775"/>
      <w:r>
        <w:rPr>
          <w:rFonts w:hint="eastAsia"/>
        </w:rPr>
        <w:t>（三）坚持不断完善就业指导服务体系，全面提升毕业生就业服务水平</w:t>
      </w:r>
      <w:bookmarkEnd w:id="50"/>
      <w:bookmarkEnd w:id="51"/>
    </w:p>
    <w:p>
      <w:pPr>
        <w:spacing w:line="360" w:lineRule="auto"/>
        <w:ind w:firstLine="480" w:firstLineChars="200"/>
        <w:jc w:val="both"/>
        <w:rPr>
          <w:rFonts w:ascii="Times New Roman" w:hAnsi="Times New Roman"/>
          <w:sz w:val="24"/>
        </w:rPr>
      </w:pPr>
      <w:r>
        <w:rPr>
          <w:rFonts w:hint="eastAsia" w:ascii="Times New Roman" w:hAnsi="Times New Roman"/>
          <w:sz w:val="24"/>
        </w:rPr>
        <w:t>1、学院通过就业指导课，使学生全面了解最新的就业政策与形势，引导学生合理定位，保持诚信，确定正确的求职目标，并教授学生求职技巧，提升学生求职信心和求职主动性。学院重视课程质量与效果组织就业指导教师开展集体备课、听课、评课，课件竞赛，校外培训学习等活动，以此提高就业指导教师的业务水平；积极推进就业指导改革与创新，组织骨干教师参加校外高层次的就业指导课程培训，探索新形势下的我院大学生职业发展与毕业生就业指导课程体系，不断提高就业指导教学质量。在就业指导过程中注重加强毕业生就业技能的实训积极推动创业教育，增强毕业生创业意识。</w:t>
      </w:r>
    </w:p>
    <w:p>
      <w:pPr>
        <w:spacing w:line="360" w:lineRule="auto"/>
        <w:ind w:firstLine="480" w:firstLineChars="200"/>
        <w:rPr>
          <w:rFonts w:ascii="Times New Roman" w:hAnsi="Times New Roman"/>
          <w:sz w:val="24"/>
        </w:rPr>
      </w:pPr>
      <w:r>
        <w:rPr>
          <w:rFonts w:hint="eastAsia" w:ascii="Times New Roman" w:hAnsi="Times New Roman"/>
          <w:sz w:val="24"/>
        </w:rPr>
        <w:t>2、就业</w:t>
      </w:r>
      <w:r>
        <w:rPr>
          <w:rFonts w:hint="eastAsia" w:ascii="Times New Roman" w:hAnsi="Times New Roman"/>
          <w:sz w:val="24"/>
          <w:lang w:val="en-US" w:eastAsia="zh-CN"/>
        </w:rPr>
        <w:t>指导中心</w:t>
      </w:r>
      <w:r>
        <w:rPr>
          <w:rFonts w:hint="eastAsia" w:ascii="Times New Roman" w:hAnsi="Times New Roman"/>
          <w:sz w:val="24"/>
        </w:rPr>
        <w:t>联合</w:t>
      </w:r>
      <w:r>
        <w:rPr>
          <w:rFonts w:hint="eastAsia" w:ascii="Times New Roman" w:hAnsi="Times New Roman"/>
          <w:sz w:val="24"/>
          <w:lang w:val="en-US" w:eastAsia="zh-CN"/>
        </w:rPr>
        <w:t>各学院</w:t>
      </w:r>
      <w:r>
        <w:rPr>
          <w:rFonts w:hint="eastAsia" w:ascii="Times New Roman" w:hAnsi="Times New Roman"/>
          <w:sz w:val="24"/>
        </w:rPr>
        <w:t>共同推出“</w:t>
      </w:r>
      <w:r>
        <w:rPr>
          <w:rFonts w:hint="eastAsia" w:ascii="Times New Roman" w:hAnsi="Times New Roman"/>
          <w:sz w:val="24"/>
          <w:lang w:val="en-US" w:eastAsia="zh-CN"/>
        </w:rPr>
        <w:t>招聘月</w:t>
      </w:r>
      <w:r>
        <w:rPr>
          <w:rFonts w:hint="eastAsia" w:ascii="Times New Roman" w:hAnsi="Times New Roman"/>
          <w:sz w:val="24"/>
        </w:rPr>
        <w:t>”系列活动，为学生就业指导和职业技能实训搭建了优质的平台：如大学生职业生涯规划大赛</w:t>
      </w:r>
      <w:r>
        <w:rPr>
          <w:rFonts w:hint="eastAsia" w:ascii="Times New Roman" w:hAnsi="Times New Roman"/>
          <w:sz w:val="24"/>
          <w:lang w:eastAsia="zh-CN"/>
        </w:rPr>
        <w:t>、</w:t>
      </w:r>
      <w:r>
        <w:rPr>
          <w:rFonts w:hint="eastAsia" w:ascii="Times New Roman" w:hAnsi="Times New Roman"/>
          <w:sz w:val="24"/>
        </w:rPr>
        <w:t>校园模拟招聘大赛等以及系列就业指导讲座等。</w:t>
      </w:r>
    </w:p>
    <w:p>
      <w:pPr>
        <w:spacing w:line="360" w:lineRule="auto"/>
        <w:ind w:firstLine="480" w:firstLineChars="200"/>
        <w:rPr>
          <w:rFonts w:hint="eastAsia" w:ascii="Times New Roman" w:hAnsi="Times New Roman" w:eastAsiaTheme="minorEastAsia"/>
          <w:sz w:val="24"/>
          <w:highlight w:val="none"/>
          <w:lang w:eastAsia="zh-CN"/>
        </w:rPr>
      </w:pPr>
      <w:r>
        <w:rPr>
          <w:rFonts w:hint="eastAsia" w:ascii="Times New Roman" w:hAnsi="Times New Roman"/>
          <w:sz w:val="24"/>
        </w:rPr>
        <w:t>3、加强就业服务网络平台建设，保障就业信息发布渠道的畅通，同时依托就业信息网开展政策宣传、就业指导等服务。同时在网站上向企业提供毕业生信息，推荐优秀毕业生,通过网络进行面试等</w:t>
      </w:r>
      <w:r>
        <w:rPr>
          <w:rFonts w:hint="eastAsia" w:ascii="Times New Roman" w:hAnsi="Times New Roman"/>
          <w:sz w:val="24"/>
          <w:highlight w:val="none"/>
        </w:rPr>
        <w:t>等。统计自20</w:t>
      </w:r>
      <w:r>
        <w:rPr>
          <w:rFonts w:hint="eastAsia" w:ascii="Times New Roman" w:hAnsi="Times New Roman"/>
          <w:sz w:val="24"/>
          <w:highlight w:val="none"/>
          <w:lang w:val="en-US" w:eastAsia="zh-CN"/>
        </w:rPr>
        <w:t>20</w:t>
      </w:r>
      <w:r>
        <w:rPr>
          <w:rFonts w:hint="eastAsia" w:ascii="Times New Roman" w:hAnsi="Times New Roman"/>
          <w:sz w:val="24"/>
          <w:highlight w:val="none"/>
        </w:rPr>
        <w:t>年9月至</w:t>
      </w:r>
      <w:r>
        <w:rPr>
          <w:rFonts w:hint="eastAsia" w:ascii="Times New Roman" w:hAnsi="Times New Roman"/>
          <w:sz w:val="24"/>
          <w:highlight w:val="none"/>
          <w:lang w:val="en-US" w:eastAsia="zh-CN"/>
        </w:rPr>
        <w:t>2021</w:t>
      </w:r>
      <w:r>
        <w:rPr>
          <w:rFonts w:hint="eastAsia" w:ascii="Times New Roman" w:hAnsi="Times New Roman"/>
          <w:sz w:val="24"/>
          <w:highlight w:val="none"/>
        </w:rPr>
        <w:t>年</w:t>
      </w:r>
      <w:r>
        <w:rPr>
          <w:rFonts w:hint="eastAsia" w:ascii="Times New Roman" w:hAnsi="Times New Roman"/>
          <w:sz w:val="24"/>
          <w:highlight w:val="none"/>
          <w:lang w:val="en-US" w:eastAsia="zh-CN"/>
        </w:rPr>
        <w:t>8</w:t>
      </w:r>
      <w:r>
        <w:rPr>
          <w:rFonts w:hint="eastAsia" w:ascii="Times New Roman" w:hAnsi="Times New Roman"/>
          <w:sz w:val="24"/>
          <w:highlight w:val="none"/>
        </w:rPr>
        <w:t>月截止</w:t>
      </w:r>
      <w:r>
        <w:rPr>
          <w:rFonts w:hint="eastAsia" w:ascii="Times New Roman" w:hAnsi="Times New Roman"/>
          <w:sz w:val="24"/>
          <w:highlight w:val="none"/>
          <w:lang w:eastAsia="zh-CN"/>
        </w:rPr>
        <w:t>，</w:t>
      </w:r>
      <w:r>
        <w:rPr>
          <w:rFonts w:hint="eastAsia" w:ascii="Times New Roman" w:hAnsi="Times New Roman"/>
          <w:sz w:val="24"/>
          <w:highlight w:val="none"/>
        </w:rPr>
        <w:t>我院就业信息网共发布</w:t>
      </w:r>
      <w:r>
        <w:rPr>
          <w:rFonts w:hint="eastAsia" w:ascii="Times New Roman" w:hAnsi="Times New Roman"/>
          <w:sz w:val="24"/>
          <w:highlight w:val="none"/>
          <w:lang w:val="en-US" w:eastAsia="zh-CN"/>
        </w:rPr>
        <w:t>58场线上</w:t>
      </w:r>
      <w:r>
        <w:rPr>
          <w:rFonts w:hint="eastAsia" w:ascii="Times New Roman" w:hAnsi="Times New Roman"/>
          <w:sz w:val="24"/>
          <w:highlight w:val="none"/>
        </w:rPr>
        <w:t>招聘</w:t>
      </w:r>
      <w:r>
        <w:rPr>
          <w:rFonts w:hint="eastAsia" w:ascii="Times New Roman" w:hAnsi="Times New Roman"/>
          <w:sz w:val="24"/>
          <w:highlight w:val="none"/>
          <w:lang w:val="en-US" w:eastAsia="zh-CN"/>
        </w:rPr>
        <w:t>宣讲会</w:t>
      </w:r>
      <w:r>
        <w:rPr>
          <w:rFonts w:hint="eastAsia" w:ascii="Times New Roman" w:hAnsi="Times New Roman"/>
          <w:sz w:val="24"/>
          <w:highlight w:val="none"/>
        </w:rPr>
        <w:t>，提供岗位</w:t>
      </w:r>
      <w:r>
        <w:rPr>
          <w:rFonts w:hint="eastAsia" w:ascii="Times New Roman" w:hAnsi="Times New Roman"/>
          <w:sz w:val="24"/>
          <w:highlight w:val="none"/>
          <w:lang w:val="en-US" w:eastAsia="zh-CN"/>
        </w:rPr>
        <w:t>15397</w:t>
      </w:r>
      <w:r>
        <w:rPr>
          <w:rFonts w:hint="eastAsia" w:ascii="Times New Roman" w:hAnsi="Times New Roman"/>
          <w:sz w:val="24"/>
          <w:highlight w:val="none"/>
        </w:rPr>
        <w:t>个</w:t>
      </w:r>
      <w:r>
        <w:rPr>
          <w:rFonts w:hint="eastAsia" w:ascii="Times New Roman" w:hAnsi="Times New Roman"/>
          <w:sz w:val="24"/>
          <w:highlight w:val="none"/>
          <w:lang w:eastAsia="zh-CN"/>
        </w:rPr>
        <w:t>。</w:t>
      </w:r>
    </w:p>
    <w:p>
      <w:pPr>
        <w:spacing w:line="360" w:lineRule="auto"/>
        <w:ind w:firstLine="480" w:firstLineChars="200"/>
        <w:rPr>
          <w:rFonts w:hint="eastAsia" w:ascii="Times New Roman" w:hAnsi="Times New Roman" w:eastAsiaTheme="minorEastAsia"/>
          <w:sz w:val="24"/>
          <w:lang w:eastAsia="zh-CN"/>
        </w:rPr>
      </w:pPr>
      <w:r>
        <w:rPr>
          <w:rFonts w:hint="eastAsia" w:ascii="Times New Roman" w:hAnsi="Times New Roman"/>
          <w:sz w:val="24"/>
          <w:highlight w:val="none"/>
          <w:lang w:val="en-US" w:eastAsia="zh-CN"/>
        </w:rPr>
        <w:t xml:space="preserve"> 4、</w:t>
      </w:r>
      <w:r>
        <w:rPr>
          <w:rFonts w:hint="eastAsia" w:ascii="Times New Roman" w:hAnsi="Times New Roman"/>
          <w:sz w:val="24"/>
          <w:highlight w:val="none"/>
        </w:rPr>
        <w:t>我校将就业指导课纳入学校必修课教学计划，分三个大的模块进行开设：</w:t>
      </w:r>
      <w:r>
        <w:rPr>
          <w:rFonts w:hint="eastAsia" w:ascii="Times New Roman" w:hAnsi="Times New Roman"/>
          <w:sz w:val="24"/>
        </w:rPr>
        <w:t>在大一新生中结合各专业特点</w:t>
      </w:r>
      <w:r>
        <w:rPr>
          <w:rFonts w:hint="eastAsia" w:ascii="Times New Roman" w:hAnsi="Times New Roman"/>
          <w:sz w:val="24"/>
          <w:lang w:eastAsia="zh-CN"/>
        </w:rPr>
        <w:t>，</w:t>
      </w:r>
      <w:r>
        <w:rPr>
          <w:rFonts w:hint="eastAsia" w:ascii="Times New Roman" w:hAnsi="Times New Roman"/>
          <w:sz w:val="24"/>
        </w:rPr>
        <w:t>以就业指导教师为主</w:t>
      </w:r>
      <w:r>
        <w:rPr>
          <w:rFonts w:hint="eastAsia" w:ascii="Times New Roman" w:hAnsi="Times New Roman"/>
          <w:sz w:val="24"/>
          <w:lang w:eastAsia="zh-CN"/>
        </w:rPr>
        <w:t>。</w:t>
      </w:r>
    </w:p>
    <w:p>
      <w:pPr>
        <w:spacing w:line="360" w:lineRule="auto"/>
        <w:ind w:firstLine="480" w:firstLineChars="200"/>
        <w:rPr>
          <w:rFonts w:hint="eastAsia" w:ascii="Times New Roman" w:hAnsi="Times New Roman"/>
          <w:sz w:val="24"/>
        </w:rPr>
      </w:pPr>
      <w:r>
        <w:rPr>
          <w:rFonts w:hint="eastAsia" w:ascii="Times New Roman" w:hAnsi="Times New Roman"/>
          <w:sz w:val="24"/>
          <w:lang w:val="en-US" w:eastAsia="zh-CN"/>
        </w:rPr>
        <w:t>5、就业指导方面：</w:t>
      </w:r>
      <w:r>
        <w:rPr>
          <w:rFonts w:hint="eastAsia" w:ascii="Times New Roman" w:hAnsi="Times New Roman"/>
          <w:sz w:val="24"/>
        </w:rPr>
        <w:t>聘请和联合各学院专家、教授，开展职业生涯规划教育；在毕业生中开</w:t>
      </w:r>
      <w:r>
        <w:rPr>
          <w:rFonts w:hint="eastAsia" w:ascii="Times New Roman" w:hAnsi="Times New Roman"/>
          <w:sz w:val="24"/>
          <w:lang w:val="en-US" w:eastAsia="zh-CN"/>
        </w:rPr>
        <w:t>展</w:t>
      </w:r>
      <w:r>
        <w:rPr>
          <w:rFonts w:hint="eastAsia" w:ascii="Times New Roman" w:hAnsi="Times New Roman"/>
          <w:sz w:val="24"/>
        </w:rPr>
        <w:t>就业指导</w:t>
      </w:r>
      <w:r>
        <w:rPr>
          <w:rFonts w:hint="eastAsia" w:ascii="Times New Roman" w:hAnsi="Times New Roman"/>
          <w:sz w:val="24"/>
          <w:lang w:val="en-US" w:eastAsia="zh-CN"/>
        </w:rPr>
        <w:t>活动</w:t>
      </w:r>
      <w:r>
        <w:rPr>
          <w:rFonts w:hint="eastAsia" w:ascii="Times New Roman" w:hAnsi="Times New Roman"/>
          <w:sz w:val="24"/>
        </w:rPr>
        <w:t>，进行就业形势、就业政策、求职择业技巧、自主创业等方面的指导；在全校举办形式多样的就业讲座和宣传活动，邀请校内外专家、企业界人士和优秀校友来校做专题报告，为学生进行就业创业</w:t>
      </w:r>
      <w:r>
        <w:rPr>
          <w:rFonts w:hint="eastAsia" w:ascii="Times New Roman" w:hAnsi="Times New Roman"/>
          <w:sz w:val="24"/>
          <w:lang w:val="en-US" w:eastAsia="zh-CN"/>
        </w:rPr>
        <w:t>培训</w:t>
      </w:r>
      <w:r>
        <w:rPr>
          <w:rFonts w:hint="eastAsia" w:ascii="Times New Roman" w:hAnsi="Times New Roman"/>
          <w:sz w:val="24"/>
        </w:rPr>
        <w:t>，帮助学生提高求职技巧，做好就业准备。</w:t>
      </w:r>
    </w:p>
    <w:p>
      <w:pPr>
        <w:spacing w:line="360" w:lineRule="auto"/>
        <w:ind w:firstLine="480" w:firstLineChars="200"/>
        <w:rPr>
          <w:rFonts w:hint="eastAsia" w:ascii="Times New Roman" w:hAnsi="Times New Roman"/>
          <w:sz w:val="24"/>
        </w:rPr>
      </w:pPr>
      <w:r>
        <w:rPr>
          <w:rFonts w:hint="eastAsia" w:ascii="Times New Roman" w:hAnsi="Times New Roman"/>
          <w:sz w:val="24"/>
          <w:lang w:val="en-US" w:eastAsia="zh-CN"/>
        </w:rPr>
        <w:t>6、政策支持方面：鼓励毕业生升学深造。</w:t>
      </w:r>
      <w:r>
        <w:rPr>
          <w:rFonts w:hint="eastAsia" w:ascii="Times New Roman" w:hAnsi="Times New Roman"/>
          <w:sz w:val="24"/>
        </w:rPr>
        <w:t>2021年我校开设了24小时</w:t>
      </w:r>
      <w:r>
        <w:rPr>
          <w:rFonts w:hint="eastAsia" w:ascii="Times New Roman" w:hAnsi="Times New Roman"/>
          <w:sz w:val="24"/>
          <w:lang w:val="en-US" w:eastAsia="zh-CN"/>
        </w:rPr>
        <w:t>考研</w:t>
      </w:r>
      <w:r>
        <w:rPr>
          <w:rFonts w:hint="eastAsia" w:ascii="Times New Roman" w:hAnsi="Times New Roman"/>
          <w:sz w:val="24"/>
        </w:rPr>
        <w:t>自习室，为有升学需求的同学提供学习的场地，同时我校基础部开设免费考研英语</w:t>
      </w:r>
      <w:r>
        <w:rPr>
          <w:rFonts w:hint="eastAsia" w:ascii="Times New Roman" w:hAnsi="Times New Roman"/>
          <w:sz w:val="24"/>
          <w:lang w:eastAsia="zh-CN"/>
        </w:rPr>
        <w:t>、</w:t>
      </w:r>
      <w:r>
        <w:rPr>
          <w:rFonts w:hint="eastAsia" w:ascii="Times New Roman" w:hAnsi="Times New Roman"/>
          <w:sz w:val="24"/>
          <w:lang w:val="en-US" w:eastAsia="zh-CN"/>
        </w:rPr>
        <w:t>考研</w:t>
      </w:r>
      <w:r>
        <w:rPr>
          <w:rFonts w:hint="eastAsia" w:ascii="Times New Roman" w:hAnsi="Times New Roman"/>
          <w:sz w:val="24"/>
        </w:rPr>
        <w:t>数学辅导班，</w:t>
      </w:r>
      <w:r>
        <w:rPr>
          <w:rFonts w:hint="eastAsia" w:ascii="Times New Roman" w:hAnsi="Times New Roman"/>
          <w:sz w:val="24"/>
          <w:lang w:val="en-US" w:eastAsia="zh-CN"/>
        </w:rPr>
        <w:t>为</w:t>
      </w:r>
      <w:r>
        <w:rPr>
          <w:rFonts w:hint="eastAsia" w:ascii="Times New Roman" w:hAnsi="Times New Roman"/>
          <w:sz w:val="24"/>
        </w:rPr>
        <w:t>学生</w:t>
      </w:r>
      <w:r>
        <w:rPr>
          <w:rFonts w:hint="eastAsia" w:ascii="Times New Roman" w:hAnsi="Times New Roman"/>
          <w:sz w:val="24"/>
          <w:lang w:val="en-US" w:eastAsia="zh-CN"/>
        </w:rPr>
        <w:t>提供</w:t>
      </w:r>
      <w:r>
        <w:rPr>
          <w:rFonts w:hint="eastAsia" w:ascii="Times New Roman" w:hAnsi="Times New Roman"/>
          <w:sz w:val="24"/>
        </w:rPr>
        <w:t>全程</w:t>
      </w:r>
      <w:r>
        <w:rPr>
          <w:rFonts w:hint="eastAsia" w:ascii="Times New Roman" w:hAnsi="Times New Roman"/>
          <w:sz w:val="24"/>
          <w:lang w:val="en-US" w:eastAsia="zh-CN"/>
        </w:rPr>
        <w:t>全方位</w:t>
      </w:r>
      <w:r>
        <w:rPr>
          <w:rFonts w:hint="eastAsia" w:ascii="Times New Roman" w:hAnsi="Times New Roman"/>
          <w:sz w:val="24"/>
        </w:rPr>
        <w:t>的</w:t>
      </w:r>
      <w:r>
        <w:rPr>
          <w:rFonts w:hint="eastAsia" w:ascii="Times New Roman" w:hAnsi="Times New Roman"/>
          <w:sz w:val="24"/>
          <w:lang w:val="en-US" w:eastAsia="zh-CN"/>
        </w:rPr>
        <w:t>服务和支持</w:t>
      </w:r>
      <w:r>
        <w:rPr>
          <w:rFonts w:hint="eastAsia" w:ascii="Times New Roman" w:hAnsi="Times New Roman"/>
          <w:sz w:val="24"/>
        </w:rPr>
        <w:t>。　</w:t>
      </w:r>
    </w:p>
    <w:p>
      <w:pPr>
        <w:pStyle w:val="4"/>
        <w:bidi w:val="0"/>
        <w:rPr>
          <w:rFonts w:hint="eastAsia"/>
        </w:rPr>
      </w:pPr>
      <w:bookmarkStart w:id="52" w:name="_Toc7766"/>
      <w:bookmarkStart w:id="53" w:name="_Toc26060"/>
      <w:r>
        <w:rPr>
          <w:rFonts w:hint="eastAsia"/>
        </w:rPr>
        <w:t>（四）坚持加强对外联系与对内整合，固拓并进推进就业市场建设</w:t>
      </w:r>
      <w:bookmarkEnd w:id="52"/>
      <w:bookmarkEnd w:id="53"/>
    </w:p>
    <w:p>
      <w:pPr>
        <w:spacing w:line="360" w:lineRule="auto"/>
        <w:ind w:firstLine="480" w:firstLineChars="200"/>
        <w:rPr>
          <w:rFonts w:hint="eastAsia" w:ascii="Times New Roman" w:hAnsi="Times New Roman" w:eastAsiaTheme="minorEastAsia"/>
          <w:sz w:val="24"/>
          <w:lang w:eastAsia="zh-CN"/>
        </w:rPr>
      </w:pPr>
      <w:r>
        <w:rPr>
          <w:rFonts w:hint="eastAsia" w:ascii="Times New Roman" w:hAnsi="Times New Roman"/>
          <w:sz w:val="24"/>
        </w:rPr>
        <w:t>在学院的大力支持下，坚持“走出去，请进来”的工作方法，并通过进一步改革创新机制，充分调动各院系积极性，有力地推动毕业生就业市场的建设。一是抓住机会积极推介和邀请企事业单位来校招聘；</w:t>
      </w:r>
      <w:r>
        <w:rPr>
          <w:rFonts w:hint="eastAsia" w:ascii="Times New Roman" w:hAnsi="Times New Roman"/>
          <w:sz w:val="24"/>
          <w:lang w:val="en-US" w:eastAsia="zh-CN"/>
        </w:rPr>
        <w:t>二</w:t>
      </w:r>
      <w:r>
        <w:rPr>
          <w:rFonts w:hint="eastAsia" w:ascii="Times New Roman" w:hAnsi="Times New Roman"/>
          <w:sz w:val="24"/>
        </w:rPr>
        <w:t>是诚请各类型用人单位到我院召开</w:t>
      </w:r>
      <w:r>
        <w:rPr>
          <w:rFonts w:hint="eastAsia" w:ascii="Times New Roman" w:hAnsi="Times New Roman"/>
          <w:sz w:val="24"/>
          <w:lang w:val="en-US" w:eastAsia="zh-CN"/>
        </w:rPr>
        <w:t>线上、线下</w:t>
      </w:r>
      <w:r>
        <w:rPr>
          <w:rFonts w:hint="eastAsia" w:ascii="Times New Roman" w:hAnsi="Times New Roman"/>
          <w:sz w:val="24"/>
        </w:rPr>
        <w:t>招聘会；</w:t>
      </w:r>
      <w:r>
        <w:rPr>
          <w:rFonts w:hint="eastAsia" w:ascii="Times New Roman" w:hAnsi="Times New Roman"/>
          <w:sz w:val="24"/>
          <w:highlight w:val="none"/>
        </w:rPr>
        <w:t>一年来校内</w:t>
      </w:r>
      <w:r>
        <w:rPr>
          <w:rFonts w:hint="eastAsia" w:ascii="Times New Roman" w:hAnsi="Times New Roman"/>
          <w:sz w:val="24"/>
          <w:highlight w:val="none"/>
          <w:lang w:eastAsia="zh-CN"/>
        </w:rPr>
        <w:t>、</w:t>
      </w:r>
      <w:r>
        <w:rPr>
          <w:rFonts w:hint="eastAsia" w:ascii="Times New Roman" w:hAnsi="Times New Roman"/>
          <w:sz w:val="24"/>
          <w:highlight w:val="none"/>
          <w:lang w:val="en-US" w:eastAsia="zh-CN"/>
        </w:rPr>
        <w:t>校外共</w:t>
      </w:r>
      <w:r>
        <w:rPr>
          <w:rFonts w:hint="eastAsia" w:ascii="Times New Roman" w:hAnsi="Times New Roman"/>
          <w:sz w:val="24"/>
          <w:highlight w:val="none"/>
        </w:rPr>
        <w:t>举办招聘</w:t>
      </w:r>
      <w:r>
        <w:rPr>
          <w:rFonts w:hint="eastAsia" w:ascii="Times New Roman" w:hAnsi="Times New Roman"/>
          <w:sz w:val="24"/>
          <w:highlight w:val="none"/>
          <w:lang w:val="en-US" w:eastAsia="zh-CN"/>
        </w:rPr>
        <w:t>会、宣讲会833场</w:t>
      </w:r>
      <w:r>
        <w:rPr>
          <w:rFonts w:hint="eastAsia" w:ascii="Times New Roman" w:hAnsi="Times New Roman"/>
          <w:sz w:val="24"/>
          <w:highlight w:val="none"/>
        </w:rPr>
        <w:t>，共提供招聘岗位</w:t>
      </w:r>
      <w:r>
        <w:rPr>
          <w:rFonts w:hint="eastAsia" w:ascii="Times New Roman" w:hAnsi="Times New Roman"/>
          <w:sz w:val="24"/>
          <w:highlight w:val="none"/>
          <w:lang w:val="en-US" w:eastAsia="zh-CN"/>
        </w:rPr>
        <w:t>16187</w:t>
      </w:r>
      <w:r>
        <w:rPr>
          <w:rFonts w:hint="eastAsia" w:ascii="Times New Roman" w:hAnsi="Times New Roman"/>
          <w:sz w:val="24"/>
          <w:highlight w:val="none"/>
        </w:rPr>
        <w:t>个</w:t>
      </w:r>
      <w:r>
        <w:rPr>
          <w:rFonts w:hint="eastAsia" w:ascii="Times New Roman" w:hAnsi="Times New Roman"/>
          <w:sz w:val="24"/>
          <w:highlight w:val="none"/>
          <w:lang w:eastAsia="zh-CN"/>
        </w:rPr>
        <w:t>。</w:t>
      </w:r>
    </w:p>
    <w:p>
      <w:pPr>
        <w:pStyle w:val="4"/>
        <w:bidi w:val="0"/>
        <w:rPr>
          <w:rFonts w:hint="eastAsia"/>
        </w:rPr>
      </w:pPr>
      <w:bookmarkStart w:id="54" w:name="_Toc30690"/>
      <w:bookmarkStart w:id="55" w:name="_Toc3572"/>
      <w:r>
        <w:rPr>
          <w:rFonts w:hint="eastAsia"/>
        </w:rPr>
        <w:t>（五）学生上岗管理、企业回访等日常工作做到规范 、科学，保证学生顺利上岗、稳定在岗</w:t>
      </w:r>
      <w:bookmarkEnd w:id="54"/>
      <w:bookmarkEnd w:id="55"/>
    </w:p>
    <w:p>
      <w:pPr>
        <w:spacing w:line="360" w:lineRule="auto"/>
        <w:ind w:firstLine="480" w:firstLineChars="200"/>
        <w:rPr>
          <w:rFonts w:ascii="Times New Roman" w:hAnsi="Times New Roman"/>
          <w:sz w:val="24"/>
        </w:rPr>
      </w:pPr>
      <w:r>
        <w:rPr>
          <w:rFonts w:hint="eastAsia" w:ascii="Times New Roman" w:hAnsi="Times New Roman"/>
          <w:sz w:val="24"/>
        </w:rPr>
        <w:t>这几年来，我院上岗管理一直按照“面试辅导+结果反馈”的原则进行。学生上岗前参加集训，对学生求职面试的技巧及职场生涯进行了专项训练，帮助学生减轻面试压力，在面试临近时，指导老师再针对学生所面试的岗位进行有针对性辅导即可参加面试，在面试的过程中，为了更好的识别学生在面试过程中可能出现的问题，提升面试相关问题的指导能力，提高面试成功率。在面试结束后，我院也与用人单位积极沟通，了解学生在面试中存在的问题，然后与学生反馈，教学生以后如何改进。学生上岗后，指导老师并没有放下包袱，而是加大企业回访频度，学生出现情绪问题，及时做思想工作，在就业技能上出现问题，教学生如何自己寻找解决方案。通过一系列的做法，帮助学生平稳渡过“上岗不适应性”。</w:t>
      </w:r>
    </w:p>
    <w:p>
      <w:pPr>
        <w:pStyle w:val="3"/>
        <w:bidi w:val="0"/>
        <w:rPr>
          <w:rFonts w:hint="eastAsia"/>
        </w:rPr>
      </w:pPr>
      <w:bookmarkStart w:id="56" w:name="_Toc19409"/>
      <w:bookmarkStart w:id="57" w:name="_Toc32592"/>
      <w:bookmarkStart w:id="58" w:name="_Toc10074"/>
      <w:r>
        <w:rPr>
          <w:rFonts w:hint="eastAsia"/>
        </w:rPr>
        <w:t>二</w:t>
      </w:r>
      <w:r>
        <w:rPr>
          <w:rFonts w:hint="eastAsia"/>
          <w:lang w:eastAsia="zh-CN"/>
        </w:rPr>
        <w:t>、</w:t>
      </w:r>
      <w:r>
        <w:rPr>
          <w:rFonts w:hint="eastAsia"/>
        </w:rPr>
        <w:t>毕业生对就业指导服务的评价</w:t>
      </w:r>
      <w:bookmarkEnd w:id="56"/>
      <w:bookmarkEnd w:id="57"/>
      <w:bookmarkEnd w:id="58"/>
    </w:p>
    <w:p>
      <w:pPr>
        <w:spacing w:line="360" w:lineRule="auto"/>
        <w:ind w:firstLine="480" w:firstLineChars="200"/>
        <w:rPr>
          <w:rFonts w:ascii="Times New Roman" w:hAnsi="Times New Roman"/>
          <w:sz w:val="24"/>
        </w:rPr>
      </w:pPr>
      <w:r>
        <w:rPr>
          <w:rFonts w:hint="eastAsia" w:ascii="Times New Roman" w:hAnsi="Times New Roman"/>
          <w:sz w:val="24"/>
        </w:rPr>
        <w:t>毕业生对母校各项就业指导服务的参与度均在88%以上</w:t>
      </w:r>
      <w:r>
        <w:rPr>
          <w:rFonts w:hint="eastAsia" w:ascii="Times New Roman" w:hAnsi="Times New Roman"/>
          <w:sz w:val="24"/>
          <w:lang w:eastAsia="zh-CN"/>
        </w:rPr>
        <w:t>，</w:t>
      </w:r>
      <w:r>
        <w:rPr>
          <w:rFonts w:hint="eastAsia" w:ascii="Times New Roman" w:hAnsi="Times New Roman"/>
          <w:sz w:val="24"/>
        </w:rPr>
        <w:t>其中参与度最高的三方面是就业指导课</w:t>
      </w:r>
      <w:r>
        <w:rPr>
          <w:rFonts w:hint="eastAsia" w:ascii="Times New Roman" w:hAnsi="Times New Roman"/>
          <w:sz w:val="24"/>
          <w:lang w:eastAsia="zh-CN"/>
        </w:rPr>
        <w:t>、</w:t>
      </w:r>
      <w:r>
        <w:rPr>
          <w:rFonts w:hint="eastAsia" w:ascii="Times New Roman" w:hAnsi="Times New Roman"/>
          <w:sz w:val="24"/>
        </w:rPr>
        <w:t>就业实习/实践和职业咨询与辅导。</w:t>
      </w:r>
    </w:p>
    <w:p>
      <w:pPr>
        <w:spacing w:line="360" w:lineRule="auto"/>
        <w:ind w:firstLine="420" w:firstLineChars="200"/>
        <w:rPr>
          <w:rFonts w:ascii="Times New Roman" w:hAnsi="Times New Roman"/>
          <w:sz w:val="24"/>
        </w:rPr>
      </w:pPr>
      <w:r>
        <w:drawing>
          <wp:inline distT="0" distB="0" distL="114300" distR="114300">
            <wp:extent cx="4572000" cy="2743200"/>
            <wp:effectExtent l="4445" t="4445" r="10795" b="10795"/>
            <wp:docPr id="1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Theme="minorEastAsia"/>
          <w:sz w:val="24"/>
          <w:lang w:eastAsia="zh-CN"/>
        </w:rPr>
      </w:pPr>
      <w:r>
        <w:rPr>
          <w:rFonts w:hint="eastAsia" w:ascii="Times New Roman" w:hAnsi="Times New Roman"/>
          <w:sz w:val="24"/>
        </w:rPr>
        <w:t>毕业生对母校各项就业指导服务满意度均在86%以上，其中满意度最高的三方面是就业指导课、职业咨询与辅导以及就业手续办理，这三方面的满意度均在90%以上</w:t>
      </w:r>
      <w:r>
        <w:rPr>
          <w:rFonts w:hint="eastAsia" w:ascii="Times New Roman" w:hAnsi="Times New Roman"/>
          <w:sz w:val="24"/>
          <w:lang w:eastAsia="zh-CN"/>
        </w:rPr>
        <w:t>。</w:t>
      </w:r>
    </w:p>
    <w:p>
      <w:pPr>
        <w:spacing w:line="360" w:lineRule="auto"/>
        <w:ind w:firstLine="420" w:firstLineChars="200"/>
        <w:rPr>
          <w:rFonts w:ascii="Times New Roman" w:hAnsi="Times New Roman"/>
          <w:sz w:val="24"/>
        </w:rPr>
      </w:pPr>
      <w:r>
        <w:drawing>
          <wp:inline distT="0" distB="0" distL="114300" distR="114300">
            <wp:extent cx="4572000" cy="2743200"/>
            <wp:effectExtent l="4445" t="4445" r="10795" b="10795"/>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3"/>
        <w:bidi w:val="0"/>
        <w:rPr>
          <w:rFonts w:hint="eastAsia"/>
        </w:rPr>
      </w:pPr>
      <w:bookmarkStart w:id="59" w:name="_Toc25600"/>
      <w:bookmarkStart w:id="60" w:name="_Toc30513"/>
      <w:bookmarkStart w:id="61" w:name="_Toc31304"/>
      <w:r>
        <w:rPr>
          <w:rFonts w:hint="eastAsia"/>
        </w:rPr>
        <w:t>三</w:t>
      </w:r>
      <w:r>
        <w:rPr>
          <w:rFonts w:hint="eastAsia"/>
          <w:lang w:eastAsia="zh-CN"/>
        </w:rPr>
        <w:t>、</w:t>
      </w:r>
      <w:r>
        <w:rPr>
          <w:rFonts w:hint="eastAsia"/>
        </w:rPr>
        <w:t>毕业生对创业教育/指导服务的评价</w:t>
      </w:r>
      <w:bookmarkEnd w:id="59"/>
      <w:bookmarkEnd w:id="60"/>
      <w:bookmarkEnd w:id="61"/>
    </w:p>
    <w:p>
      <w:pPr>
        <w:spacing w:line="360" w:lineRule="auto"/>
        <w:ind w:firstLine="480" w:firstLineChars="200"/>
        <w:rPr>
          <w:rFonts w:hint="eastAsia" w:ascii="Times New Roman" w:hAnsi="Times New Roman" w:eastAsiaTheme="minorEastAsia"/>
          <w:sz w:val="24"/>
          <w:lang w:eastAsia="zh-CN"/>
        </w:rPr>
      </w:pPr>
      <w:r>
        <w:rPr>
          <w:rFonts w:hint="eastAsia" w:ascii="Times New Roman" w:hAnsi="Times New Roman"/>
          <w:sz w:val="24"/>
        </w:rPr>
        <w:t>毕业生对各项创业教育/指导服务的参与度均在80%以上</w:t>
      </w:r>
      <w:r>
        <w:rPr>
          <w:rFonts w:hint="eastAsia" w:ascii="Times New Roman" w:hAnsi="Times New Roman"/>
          <w:sz w:val="24"/>
          <w:lang w:eastAsia="zh-CN"/>
        </w:rPr>
        <w:t>，</w:t>
      </w:r>
      <w:r>
        <w:rPr>
          <w:rFonts w:hint="eastAsia" w:ascii="Times New Roman" w:hAnsi="Times New Roman"/>
          <w:sz w:val="24"/>
        </w:rPr>
        <w:t>其中创业相关课程的参与度最高，其次为创业实训与模拟、创业协会以及创业项目孵化</w:t>
      </w:r>
      <w:r>
        <w:rPr>
          <w:rFonts w:hint="eastAsia" w:ascii="Times New Roman" w:hAnsi="Times New Roman"/>
          <w:sz w:val="24"/>
          <w:lang w:eastAsia="zh-CN"/>
        </w:rPr>
        <w:t>。</w:t>
      </w:r>
    </w:p>
    <w:p>
      <w:pPr>
        <w:spacing w:line="360" w:lineRule="auto"/>
        <w:ind w:firstLine="420" w:firstLineChars="200"/>
        <w:rPr>
          <w:rFonts w:ascii="Times New Roman" w:hAnsi="Times New Roman"/>
          <w:sz w:val="24"/>
        </w:rPr>
      </w:pPr>
      <w:r>
        <w:drawing>
          <wp:inline distT="0" distB="0" distL="114300" distR="114300">
            <wp:extent cx="4572000" cy="2743200"/>
            <wp:effectExtent l="4445" t="4445" r="10795" b="10795"/>
            <wp:docPr id="4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毕业生对母校各项创业教育/指导服务整体满意度较高，各项课程与服务的满意度均在90%以上。</w:t>
      </w:r>
    </w:p>
    <w:p>
      <w:pPr>
        <w:spacing w:line="360" w:lineRule="auto"/>
        <w:ind w:firstLine="420" w:firstLineChars="200"/>
        <w:rPr>
          <w:rFonts w:ascii="Times New Roman" w:hAnsi="Times New Roman"/>
          <w:sz w:val="24"/>
        </w:rPr>
      </w:pPr>
      <w:r>
        <w:drawing>
          <wp:inline distT="0" distB="0" distL="114300" distR="114300">
            <wp:extent cx="4572000" cy="2743200"/>
            <wp:effectExtent l="4445" t="4445" r="10795" b="10795"/>
            <wp:docPr id="4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pStyle w:val="2"/>
        <w:bidi w:val="0"/>
        <w:jc w:val="center"/>
        <w:rPr>
          <w:rFonts w:hint="default"/>
          <w:lang w:val="en-US" w:eastAsia="zh-CN"/>
        </w:rPr>
      </w:pPr>
      <w:bookmarkStart w:id="62" w:name="_Toc32368"/>
      <w:bookmarkStart w:id="63" w:name="_Toc20320"/>
      <w:bookmarkStart w:id="64" w:name="_Toc31419"/>
      <w:r>
        <w:rPr>
          <w:rFonts w:hint="eastAsia"/>
        </w:rPr>
        <w:t>第三篇：就业相关分析</w:t>
      </w:r>
      <w:bookmarkEnd w:id="62"/>
      <w:bookmarkEnd w:id="63"/>
      <w:bookmarkEnd w:id="64"/>
      <w:bookmarkStart w:id="65" w:name="_Toc27569"/>
      <w:bookmarkStart w:id="66" w:name="_Toc14485"/>
    </w:p>
    <w:p>
      <w:pPr>
        <w:pStyle w:val="3"/>
        <w:bidi w:val="0"/>
        <w:rPr>
          <w:rFonts w:hint="eastAsia"/>
        </w:rPr>
      </w:pPr>
      <w:bookmarkStart w:id="67" w:name="_Toc18839"/>
      <w:r>
        <w:rPr>
          <w:rFonts w:hint="eastAsia"/>
          <w:lang w:val="en-US" w:eastAsia="zh-CN"/>
        </w:rPr>
        <w:t>一</w:t>
      </w:r>
      <w:r>
        <w:rPr>
          <w:rFonts w:hint="eastAsia"/>
        </w:rPr>
        <w:t>、专业对口度</w:t>
      </w:r>
      <w:bookmarkEnd w:id="65"/>
      <w:bookmarkEnd w:id="66"/>
      <w:bookmarkEnd w:id="67"/>
    </w:p>
    <w:p>
      <w:pPr>
        <w:spacing w:line="360" w:lineRule="auto"/>
        <w:ind w:firstLine="480" w:firstLineChars="200"/>
        <w:rPr>
          <w:rFonts w:ascii="Times New Roman" w:hAnsi="Times New Roman"/>
          <w:sz w:val="24"/>
        </w:rPr>
      </w:pPr>
      <w:r>
        <w:rPr>
          <w:rFonts w:hint="eastAsia" w:ascii="Times New Roman" w:hAnsi="Times New Roman"/>
          <w:sz w:val="24"/>
        </w:rPr>
        <w:t>20</w:t>
      </w:r>
      <w:r>
        <w:rPr>
          <w:rFonts w:hint="eastAsia" w:ascii="Times New Roman" w:hAnsi="Times New Roman"/>
          <w:sz w:val="24"/>
          <w:lang w:val="en-US" w:eastAsia="zh-CN"/>
        </w:rPr>
        <w:t>21届</w:t>
      </w:r>
      <w:r>
        <w:rPr>
          <w:rFonts w:hint="eastAsia" w:ascii="Times New Roman" w:hAnsi="Times New Roman"/>
          <w:sz w:val="24"/>
        </w:rPr>
        <w:t>毕业生专业对口度为80.40%，整体对口度水平较高。大部分学生都在自己所学专业或者相关专业就职。</w:t>
      </w:r>
    </w:p>
    <w:p>
      <w:pPr>
        <w:spacing w:line="360" w:lineRule="auto"/>
        <w:ind w:firstLine="420" w:firstLineChars="200"/>
        <w:rPr>
          <w:rFonts w:ascii="Times New Roman" w:hAnsi="Times New Roman"/>
          <w:sz w:val="24"/>
        </w:rPr>
      </w:pPr>
      <w:r>
        <w:drawing>
          <wp:inline distT="0" distB="0" distL="114300" distR="114300">
            <wp:extent cx="4572000" cy="2743200"/>
            <wp:effectExtent l="4445" t="4445" r="10795" b="10795"/>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注：1.对口度=“很对口+比较对口+一般”占比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2.由于四舍五入的原因，因此数据占比之和可能会出现不等于 100%的情况（误差为±0.01）。</w:t>
      </w:r>
    </w:p>
    <w:p>
      <w:pPr>
        <w:pStyle w:val="3"/>
        <w:bidi w:val="0"/>
        <w:rPr>
          <w:rFonts w:hint="eastAsia"/>
        </w:rPr>
      </w:pPr>
      <w:bookmarkStart w:id="68" w:name="_Toc17466"/>
      <w:bookmarkStart w:id="69" w:name="_Toc15326"/>
      <w:bookmarkStart w:id="70" w:name="_Toc30867"/>
      <w:r>
        <w:rPr>
          <w:rFonts w:hint="eastAsia"/>
          <w:lang w:val="en-US" w:eastAsia="zh-CN"/>
        </w:rPr>
        <w:t>二</w:t>
      </w:r>
      <w:r>
        <w:rPr>
          <w:rFonts w:hint="eastAsia"/>
        </w:rPr>
        <w:t>、就业满意度</w:t>
      </w:r>
      <w:bookmarkEnd w:id="68"/>
      <w:bookmarkEnd w:id="69"/>
      <w:bookmarkEnd w:id="70"/>
    </w:p>
    <w:p>
      <w:pPr>
        <w:spacing w:line="360" w:lineRule="auto"/>
        <w:ind w:firstLine="480" w:firstLineChars="200"/>
        <w:rPr>
          <w:sz w:val="24"/>
        </w:rPr>
      </w:pPr>
      <w:r>
        <w:rPr>
          <w:rFonts w:hint="eastAsia"/>
          <w:sz w:val="24"/>
        </w:rPr>
        <w:t>20</w:t>
      </w:r>
      <w:r>
        <w:rPr>
          <w:rFonts w:hint="eastAsia"/>
          <w:sz w:val="24"/>
          <w:lang w:val="en-US" w:eastAsia="zh-CN"/>
        </w:rPr>
        <w:t>21届</w:t>
      </w:r>
      <w:r>
        <w:rPr>
          <w:rFonts w:hint="eastAsia"/>
          <w:sz w:val="24"/>
        </w:rPr>
        <w:t>毕业生总体对就业情况表示满意，就业满意度达</w:t>
      </w:r>
      <w:r>
        <w:rPr>
          <w:rFonts w:hint="eastAsia"/>
          <w:sz w:val="24"/>
          <w:lang w:val="en-US" w:eastAsia="zh-CN"/>
        </w:rPr>
        <w:t>95.14</w:t>
      </w:r>
      <w:r>
        <w:rPr>
          <w:rFonts w:hint="eastAsia"/>
          <w:sz w:val="24"/>
        </w:rPr>
        <w:t>%。</w:t>
      </w:r>
    </w:p>
    <w:p>
      <w:r>
        <w:rPr>
          <w:rFonts w:hint="eastAsia"/>
        </w:rPr>
        <w:t xml:space="preserve">    </w:t>
      </w:r>
      <w:r>
        <w:drawing>
          <wp:inline distT="0" distB="0" distL="114300" distR="114300">
            <wp:extent cx="4534535" cy="2249170"/>
            <wp:effectExtent l="4445" t="4445" r="17780" b="17145"/>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注：1.满意度=“很满意+比较满意+一般”占比。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2.由于四舍五入的原因，因此数据占比之和可能会出现不等于 100%的情况（误差为±0.01）。</w:t>
      </w:r>
    </w:p>
    <w:p>
      <w:r>
        <w:rPr>
          <w:rFonts w:hint="eastAsia"/>
        </w:rPr>
        <w:br w:type="page"/>
      </w:r>
    </w:p>
    <w:p>
      <w:pPr>
        <w:pStyle w:val="2"/>
        <w:bidi w:val="0"/>
        <w:jc w:val="center"/>
        <w:rPr>
          <w:rFonts w:hint="eastAsia"/>
        </w:rPr>
      </w:pPr>
      <w:bookmarkStart w:id="71" w:name="_Toc3136"/>
      <w:bookmarkStart w:id="72" w:name="_Toc23325"/>
      <w:bookmarkStart w:id="73" w:name="_Toc13407"/>
      <w:r>
        <w:rPr>
          <w:rFonts w:hint="eastAsia"/>
        </w:rPr>
        <w:t>第四篇</w:t>
      </w:r>
      <w:r>
        <w:rPr>
          <w:rFonts w:hint="eastAsia"/>
          <w:lang w:eastAsia="zh-CN"/>
        </w:rPr>
        <w:t>：</w:t>
      </w:r>
      <w:r>
        <w:rPr>
          <w:rFonts w:hint="eastAsia"/>
        </w:rPr>
        <w:t>就业发展趋势分析</w:t>
      </w:r>
      <w:bookmarkEnd w:id="71"/>
      <w:bookmarkEnd w:id="72"/>
      <w:bookmarkEnd w:id="73"/>
    </w:p>
    <w:p>
      <w:pPr>
        <w:pStyle w:val="3"/>
        <w:bidi w:val="0"/>
        <w:rPr>
          <w:rFonts w:hint="eastAsia"/>
        </w:rPr>
      </w:pPr>
      <w:bookmarkStart w:id="74" w:name="_Toc19469"/>
      <w:bookmarkStart w:id="75" w:name="_Toc18544"/>
      <w:bookmarkStart w:id="76" w:name="_Toc5229"/>
      <w:r>
        <w:rPr>
          <w:rFonts w:hint="eastAsia"/>
        </w:rPr>
        <w:t>一</w:t>
      </w:r>
      <w:r>
        <w:rPr>
          <w:rFonts w:hint="eastAsia"/>
          <w:lang w:eastAsia="zh-CN"/>
        </w:rPr>
        <w:t>、</w:t>
      </w:r>
      <w:r>
        <w:rPr>
          <w:rFonts w:hint="eastAsia"/>
        </w:rPr>
        <w:t>就业率增长较快，上升趋势明显</w:t>
      </w:r>
      <w:bookmarkEnd w:id="74"/>
      <w:bookmarkEnd w:id="75"/>
      <w:bookmarkEnd w:id="76"/>
    </w:p>
    <w:p>
      <w:pPr>
        <w:spacing w:line="360" w:lineRule="auto"/>
        <w:ind w:firstLine="480" w:firstLineChars="200"/>
        <w:rPr>
          <w:rFonts w:ascii="Times New Roman" w:hAnsi="Times New Roman"/>
          <w:sz w:val="24"/>
        </w:rPr>
      </w:pPr>
      <w:r>
        <w:rPr>
          <w:rFonts w:hint="eastAsia" w:ascii="Times New Roman" w:hAnsi="Times New Roman"/>
          <w:sz w:val="24"/>
        </w:rPr>
        <w:t>我</w:t>
      </w:r>
      <w:r>
        <w:rPr>
          <w:rFonts w:hint="eastAsia" w:ascii="Times New Roman" w:hAnsi="Times New Roman"/>
          <w:sz w:val="24"/>
          <w:lang w:val="en-US" w:eastAsia="zh-CN"/>
        </w:rPr>
        <w:t>校2021届</w:t>
      </w:r>
      <w:r>
        <w:rPr>
          <w:rFonts w:hint="eastAsia" w:ascii="Times New Roman" w:hAnsi="Times New Roman"/>
          <w:sz w:val="24"/>
        </w:rPr>
        <w:t>毕业生就业率显著提高，较</w:t>
      </w:r>
      <w:r>
        <w:rPr>
          <w:rFonts w:hint="eastAsia" w:ascii="Times New Roman" w:hAnsi="Times New Roman"/>
          <w:sz w:val="24"/>
          <w:lang w:val="en-US" w:eastAsia="zh-CN"/>
        </w:rPr>
        <w:t>2020届毕业生就业率</w:t>
      </w:r>
      <w:r>
        <w:rPr>
          <w:rFonts w:hint="eastAsia" w:ascii="Times New Roman" w:hAnsi="Times New Roman"/>
          <w:sz w:val="24"/>
        </w:rPr>
        <w:t>提高约</w:t>
      </w:r>
      <w:r>
        <w:rPr>
          <w:rFonts w:hint="eastAsia" w:ascii="Times New Roman" w:hAnsi="Times New Roman"/>
          <w:sz w:val="24"/>
          <w:highlight w:val="none"/>
        </w:rPr>
        <w:t>1</w:t>
      </w:r>
      <w:r>
        <w:rPr>
          <w:rFonts w:hint="eastAsia" w:ascii="Times New Roman" w:hAnsi="Times New Roman"/>
          <w:sz w:val="24"/>
          <w:highlight w:val="none"/>
          <w:lang w:val="en-US" w:eastAsia="zh-CN"/>
        </w:rPr>
        <w:t>4</w:t>
      </w:r>
      <w:r>
        <w:rPr>
          <w:rFonts w:hint="eastAsia" w:ascii="Times New Roman" w:hAnsi="Times New Roman"/>
          <w:sz w:val="24"/>
          <w:highlight w:val="none"/>
        </w:rPr>
        <w:t>个百分点，</w:t>
      </w:r>
      <w:r>
        <w:rPr>
          <w:rFonts w:hint="eastAsia" w:ascii="Times New Roman" w:hAnsi="Times New Roman"/>
          <w:sz w:val="24"/>
        </w:rPr>
        <w:t>达到了</w:t>
      </w:r>
      <w:r>
        <w:rPr>
          <w:rFonts w:hint="eastAsia" w:ascii="Times New Roman" w:hAnsi="Times New Roman"/>
          <w:sz w:val="24"/>
          <w:lang w:val="en-US" w:eastAsia="zh-CN"/>
        </w:rPr>
        <w:t>91.91</w:t>
      </w:r>
      <w:r>
        <w:rPr>
          <w:rFonts w:hint="eastAsia" w:ascii="Times New Roman" w:hAnsi="Times New Roman"/>
          <w:sz w:val="24"/>
        </w:rPr>
        <w:t>%。这与我</w:t>
      </w:r>
      <w:r>
        <w:rPr>
          <w:rFonts w:hint="eastAsia" w:ascii="Times New Roman" w:hAnsi="Times New Roman"/>
          <w:sz w:val="24"/>
          <w:lang w:val="en-US" w:eastAsia="zh-CN"/>
        </w:rPr>
        <w:t>校</w:t>
      </w:r>
      <w:r>
        <w:rPr>
          <w:rFonts w:hint="eastAsia" w:ascii="Times New Roman" w:hAnsi="Times New Roman"/>
          <w:sz w:val="24"/>
        </w:rPr>
        <w:t>重视毕业生就业，深化完善就业相关工作的领导体制和制度建设，以及各方面相关配套服务的不断完备息息相关。在日渐完善的教学体制下，毕业生的整体素质也不断提高，预计在未来将为社会提供大量的应用性技术型人才。</w:t>
      </w:r>
    </w:p>
    <w:p>
      <w:pPr>
        <w:spacing w:line="360" w:lineRule="auto"/>
        <w:ind w:firstLine="420" w:firstLineChars="200"/>
        <w:rPr>
          <w:rFonts w:ascii="Times New Roman" w:hAnsi="Times New Roman"/>
          <w:sz w:val="24"/>
        </w:rPr>
      </w:pPr>
      <w:r>
        <w:drawing>
          <wp:inline distT="0" distB="0" distL="114300" distR="114300">
            <wp:extent cx="4572000" cy="2743200"/>
            <wp:effectExtent l="4445" t="4445" r="1079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3"/>
        <w:bidi w:val="0"/>
        <w:rPr>
          <w:rFonts w:hint="eastAsia"/>
        </w:rPr>
      </w:pPr>
      <w:bookmarkStart w:id="77" w:name="_Toc24248"/>
      <w:bookmarkStart w:id="78" w:name="_Toc3120"/>
      <w:bookmarkStart w:id="79" w:name="_Toc12513"/>
      <w:r>
        <w:rPr>
          <w:rFonts w:hint="eastAsia"/>
        </w:rPr>
        <w:t>二</w:t>
      </w:r>
      <w:r>
        <w:rPr>
          <w:rFonts w:hint="eastAsia"/>
          <w:lang w:eastAsia="zh-CN"/>
        </w:rPr>
        <w:t>、</w:t>
      </w:r>
      <w:r>
        <w:rPr>
          <w:rFonts w:hint="eastAsia"/>
        </w:rPr>
        <w:t>服务地方经济发展是主旋律</w:t>
      </w:r>
      <w:bookmarkEnd w:id="77"/>
      <w:bookmarkEnd w:id="78"/>
      <w:bookmarkEnd w:id="79"/>
    </w:p>
    <w:p>
      <w:pPr>
        <w:spacing w:line="360" w:lineRule="auto"/>
        <w:ind w:firstLine="480" w:firstLineChars="200"/>
        <w:rPr>
          <w:rFonts w:ascii="Times New Roman" w:hAnsi="Times New Roman"/>
          <w:sz w:val="24"/>
        </w:rPr>
      </w:pPr>
      <w:r>
        <w:rPr>
          <w:rFonts w:hint="eastAsia" w:ascii="Times New Roman" w:hAnsi="Times New Roman"/>
          <w:sz w:val="24"/>
        </w:rPr>
        <w:t>今年，我</w:t>
      </w:r>
      <w:r>
        <w:rPr>
          <w:rFonts w:hint="eastAsia" w:ascii="Times New Roman" w:hAnsi="Times New Roman"/>
          <w:sz w:val="24"/>
          <w:lang w:val="en-US" w:eastAsia="zh-CN"/>
        </w:rPr>
        <w:t>校</w:t>
      </w:r>
      <w:r>
        <w:rPr>
          <w:rFonts w:hint="eastAsia" w:ascii="Times New Roman" w:hAnsi="Times New Roman"/>
          <w:sz w:val="24"/>
        </w:rPr>
        <w:t>在省内就业的毕业生</w:t>
      </w:r>
      <w:r>
        <w:rPr>
          <w:rFonts w:hint="eastAsia" w:ascii="Times New Roman" w:hAnsi="Times New Roman"/>
          <w:sz w:val="24"/>
          <w:lang w:val="en-US" w:eastAsia="zh-CN"/>
        </w:rPr>
        <w:t>有685名，</w:t>
      </w:r>
      <w:r>
        <w:rPr>
          <w:rFonts w:hint="eastAsia" w:ascii="Times New Roman" w:hAnsi="Times New Roman"/>
          <w:sz w:val="24"/>
        </w:rPr>
        <w:t>就业分布一方面与我</w:t>
      </w:r>
      <w:r>
        <w:rPr>
          <w:rFonts w:hint="eastAsia" w:ascii="Times New Roman" w:hAnsi="Times New Roman"/>
          <w:sz w:val="24"/>
          <w:lang w:val="en-US" w:eastAsia="zh-CN"/>
        </w:rPr>
        <w:t>校</w:t>
      </w:r>
      <w:r>
        <w:rPr>
          <w:rFonts w:hint="eastAsia" w:ascii="Times New Roman" w:hAnsi="Times New Roman"/>
          <w:sz w:val="24"/>
        </w:rPr>
        <w:t>服务地方经济发展，培养高级应用性技能型人才的办学目标和定位相符合；另一方面也体现出我院学生“立足地方，服务龙江”的志向。</w:t>
      </w:r>
    </w:p>
    <w:p>
      <w:pPr>
        <w:spacing w:line="360" w:lineRule="auto"/>
        <w:rPr>
          <w:rFonts w:ascii="Times New Roman" w:hAnsi="Times New Roman"/>
          <w:sz w:val="24"/>
        </w:rPr>
      </w:pPr>
      <w:r>
        <w:drawing>
          <wp:inline distT="0" distB="0" distL="114300" distR="114300">
            <wp:extent cx="4572000" cy="2743200"/>
            <wp:effectExtent l="4445" t="4445" r="10795" b="10795"/>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3"/>
        <w:bidi w:val="0"/>
        <w:rPr>
          <w:rFonts w:hint="eastAsia"/>
        </w:rPr>
      </w:pPr>
      <w:bookmarkStart w:id="80" w:name="_Toc16817"/>
      <w:bookmarkStart w:id="81" w:name="_Toc30898"/>
      <w:bookmarkStart w:id="82" w:name="_Toc221"/>
      <w:r>
        <w:rPr>
          <w:rFonts w:hint="eastAsia"/>
        </w:rPr>
        <w:t>三</w:t>
      </w:r>
      <w:r>
        <w:rPr>
          <w:rFonts w:hint="eastAsia"/>
          <w:lang w:eastAsia="zh-CN"/>
        </w:rPr>
        <w:t>、</w:t>
      </w:r>
      <w:r>
        <w:rPr>
          <w:rFonts w:hint="eastAsia"/>
        </w:rPr>
        <w:t>单位就业是主流</w:t>
      </w:r>
      <w:bookmarkEnd w:id="80"/>
      <w:bookmarkEnd w:id="81"/>
      <w:bookmarkEnd w:id="82"/>
    </w:p>
    <w:p>
      <w:pPr>
        <w:spacing w:line="360" w:lineRule="auto"/>
        <w:ind w:firstLine="480" w:firstLineChars="200"/>
        <w:rPr>
          <w:rFonts w:ascii="Times New Roman" w:hAnsi="Times New Roman"/>
          <w:sz w:val="24"/>
        </w:rPr>
      </w:pPr>
      <w:r>
        <w:rPr>
          <w:rFonts w:hint="eastAsia" w:ascii="Times New Roman" w:hAnsi="Times New Roman"/>
          <w:sz w:val="24"/>
        </w:rPr>
        <w:t>从就业形式变化趋势来看，我</w:t>
      </w:r>
      <w:r>
        <w:rPr>
          <w:rFonts w:hint="eastAsia" w:ascii="Times New Roman" w:hAnsi="Times New Roman"/>
          <w:sz w:val="24"/>
          <w:lang w:val="en-US" w:eastAsia="zh-CN"/>
        </w:rPr>
        <w:t>校</w:t>
      </w:r>
      <w:r>
        <w:rPr>
          <w:rFonts w:hint="eastAsia" w:ascii="Times New Roman" w:hAnsi="Times New Roman"/>
          <w:sz w:val="24"/>
        </w:rPr>
        <w:t>毕业生单位就业率持续保持较高水平。</w:t>
      </w:r>
    </w:p>
    <w:p>
      <w:pPr>
        <w:spacing w:line="360" w:lineRule="auto"/>
        <w:ind w:firstLine="480" w:firstLineChars="200"/>
        <w:rPr>
          <w:rFonts w:hint="eastAsia" w:ascii="Times New Roman" w:hAnsi="Times New Roman" w:eastAsiaTheme="minorEastAsia"/>
          <w:sz w:val="24"/>
          <w:lang w:val="en-US" w:eastAsia="zh-CN"/>
        </w:rPr>
      </w:pPr>
      <w:r>
        <w:rPr>
          <w:rFonts w:hint="eastAsia" w:ascii="Times New Roman" w:hAnsi="Times New Roman"/>
          <w:sz w:val="24"/>
          <w:highlight w:val="none"/>
          <w:lang w:val="en-US" w:eastAsia="zh-CN"/>
        </w:rPr>
        <w:t>2021</w:t>
      </w:r>
      <w:r>
        <w:rPr>
          <w:rFonts w:hint="eastAsia" w:ascii="Times New Roman" w:hAnsi="Times New Roman"/>
          <w:sz w:val="24"/>
          <w:highlight w:val="none"/>
        </w:rPr>
        <w:t>届毕业生单位就业人数比例占总就业人数比例均达9</w:t>
      </w:r>
      <w:r>
        <w:rPr>
          <w:rFonts w:hint="eastAsia" w:ascii="Times New Roman" w:hAnsi="Times New Roman"/>
          <w:sz w:val="24"/>
          <w:highlight w:val="none"/>
          <w:lang w:val="en-US" w:eastAsia="zh-CN"/>
        </w:rPr>
        <w:t>3</w:t>
      </w:r>
      <w:r>
        <w:rPr>
          <w:rFonts w:hint="eastAsia" w:ascii="Times New Roman" w:hAnsi="Times New Roman"/>
          <w:sz w:val="24"/>
          <w:highlight w:val="none"/>
        </w:rPr>
        <w:t>%以上，可</w:t>
      </w:r>
      <w:r>
        <w:rPr>
          <w:rFonts w:hint="eastAsia" w:ascii="Times New Roman" w:hAnsi="Times New Roman"/>
          <w:sz w:val="24"/>
        </w:rPr>
        <w:t>见单位就业已成为毕业生的主要去向选择。这得益于我院近年来积极开展校企沟通，通过“走出去，请进来”的方式，为我院毕业生提供了高质量的就业平台</w:t>
      </w:r>
      <w:r>
        <w:rPr>
          <w:rFonts w:hint="eastAsia" w:ascii="Times New Roman" w:hAnsi="Times New Roman"/>
          <w:sz w:val="24"/>
          <w:lang w:eastAsia="zh-CN"/>
        </w:rPr>
        <w:t>。</w:t>
      </w:r>
    </w:p>
    <w:p>
      <w:pPr>
        <w:spacing w:line="360" w:lineRule="auto"/>
        <w:rPr>
          <w:rFonts w:ascii="Times New Roman" w:hAnsi="Times New Roman"/>
          <w:sz w:val="24"/>
        </w:rPr>
      </w:pPr>
      <w:r>
        <w:drawing>
          <wp:inline distT="0" distB="0" distL="114300" distR="114300">
            <wp:extent cx="4572000" cy="2743200"/>
            <wp:effectExtent l="4445" t="4445" r="10795" b="10795"/>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
    <w:p>
      <w:pPr>
        <w:jc w:val="center"/>
        <w:rPr>
          <w:rStyle w:val="16"/>
          <w:rFonts w:hint="eastAsia"/>
          <w:color w:val="auto"/>
          <w:highlight w:val="none"/>
        </w:rPr>
      </w:pPr>
    </w:p>
    <w:p>
      <w:pPr>
        <w:pStyle w:val="2"/>
        <w:bidi w:val="0"/>
        <w:jc w:val="center"/>
        <w:rPr>
          <w:rFonts w:hint="eastAsia"/>
        </w:rPr>
      </w:pPr>
      <w:bookmarkStart w:id="83" w:name="_Toc21580"/>
      <w:bookmarkStart w:id="84" w:name="_Toc15127"/>
      <w:bookmarkStart w:id="85" w:name="_Toc20303"/>
      <w:r>
        <w:rPr>
          <w:rFonts w:hint="eastAsia"/>
        </w:rPr>
        <w:t>第五篇</w:t>
      </w:r>
      <w:r>
        <w:rPr>
          <w:rFonts w:hint="eastAsia"/>
          <w:lang w:eastAsia="zh-CN"/>
        </w:rPr>
        <w:t>：</w:t>
      </w:r>
      <w:r>
        <w:rPr>
          <w:rFonts w:hint="eastAsia"/>
        </w:rPr>
        <w:t>对教育教学的反馈</w:t>
      </w:r>
      <w:bookmarkEnd w:id="83"/>
      <w:bookmarkEnd w:id="84"/>
      <w:bookmarkEnd w:id="85"/>
    </w:p>
    <w:p>
      <w:pPr>
        <w:pStyle w:val="3"/>
        <w:bidi w:val="0"/>
        <w:rPr>
          <w:rFonts w:hint="eastAsia"/>
        </w:rPr>
      </w:pPr>
      <w:bookmarkStart w:id="86" w:name="_Toc3740"/>
      <w:bookmarkStart w:id="87" w:name="_Toc1175"/>
      <w:bookmarkStart w:id="88" w:name="_Toc23928"/>
      <w:r>
        <w:rPr>
          <w:rFonts w:hint="eastAsia"/>
        </w:rPr>
        <w:t>一、对母校的满意度</w:t>
      </w:r>
      <w:bookmarkEnd w:id="86"/>
      <w:bookmarkEnd w:id="87"/>
      <w:bookmarkEnd w:id="88"/>
    </w:p>
    <w:p>
      <w:pPr>
        <w:spacing w:line="360" w:lineRule="auto"/>
        <w:ind w:firstLine="480" w:firstLineChars="200"/>
        <w:rPr>
          <w:rFonts w:ascii="Times New Roman" w:hAnsi="Times New Roman"/>
          <w:sz w:val="24"/>
        </w:rPr>
      </w:pPr>
      <w:r>
        <w:rPr>
          <w:rFonts w:hint="eastAsia" w:ascii="Times New Roman" w:hAnsi="Times New Roman"/>
          <w:sz w:val="24"/>
        </w:rPr>
        <w:t>20</w:t>
      </w:r>
      <w:r>
        <w:rPr>
          <w:rFonts w:hint="eastAsia" w:ascii="Times New Roman" w:hAnsi="Times New Roman"/>
          <w:sz w:val="24"/>
          <w:lang w:val="en-US" w:eastAsia="zh-CN"/>
        </w:rPr>
        <w:t>21届</w:t>
      </w:r>
      <w:r>
        <w:rPr>
          <w:rFonts w:hint="eastAsia" w:ascii="Times New Roman" w:hAnsi="Times New Roman"/>
          <w:sz w:val="24"/>
        </w:rPr>
        <w:t>毕业生对母校比较满意，总体满意度为</w:t>
      </w:r>
      <w:r>
        <w:rPr>
          <w:rFonts w:hint="eastAsia" w:ascii="Times New Roman" w:hAnsi="Times New Roman"/>
          <w:sz w:val="24"/>
          <w:lang w:val="en-US" w:eastAsia="zh-CN"/>
        </w:rPr>
        <w:t>89.84</w:t>
      </w:r>
      <w:r>
        <w:rPr>
          <w:rFonts w:hint="eastAsia" w:ascii="Times New Roman" w:hAnsi="Times New Roman"/>
          <w:sz w:val="24"/>
        </w:rPr>
        <w:t>%</w:t>
      </w:r>
      <w:r>
        <w:rPr>
          <w:rFonts w:hint="eastAsia" w:ascii="Times New Roman" w:hAnsi="Times New Roman"/>
          <w:sz w:val="24"/>
          <w:lang w:eastAsia="zh-CN"/>
        </w:rPr>
        <w:t>。</w:t>
      </w:r>
    </w:p>
    <w:p>
      <w:pPr>
        <w:spacing w:line="360" w:lineRule="auto"/>
        <w:ind w:firstLine="420" w:firstLineChars="200"/>
        <w:rPr>
          <w:rFonts w:ascii="Times New Roman" w:hAnsi="Times New Roman"/>
          <w:sz w:val="24"/>
        </w:rPr>
      </w:pPr>
      <w:r>
        <w:rPr>
          <w:rFonts w:hint="eastAsia"/>
        </w:rPr>
        <w:t xml:space="preserve">      </w:t>
      </w:r>
      <w:r>
        <w:drawing>
          <wp:inline distT="0" distB="0" distL="114300" distR="114300">
            <wp:extent cx="4572000" cy="2743200"/>
            <wp:effectExtent l="4445" t="4445" r="10795" b="10795"/>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w:t>
      </w:r>
      <w:r>
        <w:rPr>
          <w:rFonts w:hint="eastAsia"/>
          <w:lang w:val="en-US" w:eastAsia="zh-CN"/>
        </w:rPr>
        <w:t>1</w:t>
      </w:r>
      <w:r>
        <w:rPr>
          <w:rFonts w:hint="eastAsia"/>
        </w:rPr>
        <w:t>.满意度=“很满意+比较满意+一般”占比。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2</w:t>
      </w:r>
      <w:r>
        <w:rPr>
          <w:rFonts w:hint="eastAsia"/>
        </w:rPr>
        <w:t>.由于四舍五入的原因，因此数据占比之和可能会出现不等于 100%的情况（误差为±0.01）。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Theme="minorEastAsia"/>
          <w:sz w:val="24"/>
          <w:lang w:eastAsia="zh-CN"/>
        </w:rPr>
      </w:pPr>
      <w:r>
        <w:rPr>
          <w:rFonts w:hint="eastAsia" w:ascii="Times New Roman" w:hAnsi="Times New Roman"/>
          <w:sz w:val="24"/>
        </w:rPr>
        <w:t>毕业生对在母校学习期间获得的知识和能力表现出了极大的关注度，同时对校园学风以及学校管理也反映出了一定程度上的诉求。</w:t>
      </w:r>
    </w:p>
    <w:p>
      <w:pPr>
        <w:spacing w:line="360" w:lineRule="auto"/>
        <w:ind w:firstLine="420" w:firstLineChars="200"/>
        <w:rPr>
          <w:rFonts w:ascii="Times New Roman" w:hAnsi="Times New Roman"/>
          <w:sz w:val="24"/>
        </w:rPr>
      </w:pPr>
      <w:r>
        <w:drawing>
          <wp:inline distT="0" distB="0" distL="114300" distR="114300">
            <wp:extent cx="4712335" cy="2670810"/>
            <wp:effectExtent l="0" t="0" r="12065" b="1143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5"/>
                    <a:stretch>
                      <a:fillRect/>
                    </a:stretch>
                  </pic:blipFill>
                  <pic:spPr>
                    <a:xfrm>
                      <a:off x="0" y="0"/>
                      <a:ext cx="4712335" cy="26708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注：该题目为多选题，因此选项的百分比之和不是 100%。</w:t>
      </w:r>
    </w:p>
    <w:p>
      <w:pPr>
        <w:pStyle w:val="3"/>
        <w:bidi w:val="0"/>
        <w:rPr>
          <w:rFonts w:hint="eastAsia"/>
        </w:rPr>
      </w:pPr>
      <w:bookmarkStart w:id="89" w:name="_Toc11090"/>
      <w:bookmarkStart w:id="90" w:name="_Toc27812"/>
      <w:bookmarkStart w:id="91" w:name="_Toc26736"/>
      <w:r>
        <w:rPr>
          <w:rFonts w:hint="eastAsia"/>
        </w:rPr>
        <w:t>二</w:t>
      </w:r>
      <w:r>
        <w:rPr>
          <w:rFonts w:hint="eastAsia"/>
          <w:lang w:eastAsia="zh-CN"/>
        </w:rPr>
        <w:t>、</w:t>
      </w:r>
      <w:r>
        <w:rPr>
          <w:rFonts w:hint="eastAsia"/>
        </w:rPr>
        <w:t>对母校教育教学的评价</w:t>
      </w:r>
      <w:bookmarkEnd w:id="89"/>
      <w:bookmarkEnd w:id="90"/>
      <w:bookmarkEnd w:id="91"/>
    </w:p>
    <w:p>
      <w:pPr>
        <w:pStyle w:val="4"/>
        <w:bidi w:val="0"/>
        <w:rPr>
          <w:rFonts w:hint="eastAsia"/>
        </w:rPr>
      </w:pPr>
      <w:bookmarkStart w:id="92" w:name="_Toc119"/>
      <w:bookmarkStart w:id="93" w:name="_Toc3761"/>
      <w:r>
        <w:rPr>
          <w:rFonts w:hint="eastAsia"/>
        </w:rPr>
        <w:t>（一）专业课评价</w:t>
      </w:r>
      <w:bookmarkEnd w:id="92"/>
      <w:bookmarkEnd w:id="93"/>
    </w:p>
    <w:p>
      <w:pPr>
        <w:spacing w:line="360" w:lineRule="auto"/>
        <w:ind w:firstLine="480" w:firstLineChars="200"/>
        <w:rPr>
          <w:rFonts w:ascii="Times New Roman" w:hAnsi="Times New Roman"/>
          <w:sz w:val="24"/>
        </w:rPr>
      </w:pPr>
      <w:r>
        <w:rPr>
          <w:rFonts w:hint="eastAsia" w:ascii="Times New Roman" w:hAnsi="Times New Roman"/>
          <w:sz w:val="24"/>
        </w:rPr>
        <w:t>毕业生对专业课教学有效性评较高，</w:t>
      </w:r>
      <w:r>
        <w:rPr>
          <w:rFonts w:hint="eastAsia" w:ascii="Times New Roman" w:hAnsi="Times New Roman"/>
          <w:sz w:val="24"/>
          <w:lang w:val="en-US" w:eastAsia="zh-CN"/>
        </w:rPr>
        <w:t>有90.87</w:t>
      </w:r>
      <w:r>
        <w:rPr>
          <w:rFonts w:hint="eastAsia" w:ascii="Times New Roman" w:hAnsi="Times New Roman"/>
          <w:sz w:val="24"/>
        </w:rPr>
        <w:t>%的毕业生</w:t>
      </w:r>
      <w:r>
        <w:rPr>
          <w:rFonts w:hint="eastAsia" w:ascii="Times New Roman" w:hAnsi="Times New Roman"/>
          <w:sz w:val="24"/>
          <w:lang w:val="en-US" w:eastAsia="zh-CN"/>
        </w:rPr>
        <w:t>对我校的教学评价为满意</w:t>
      </w:r>
      <w:r>
        <w:rPr>
          <w:rFonts w:hint="eastAsia" w:ascii="Times New Roman" w:hAnsi="Times New Roman"/>
          <w:sz w:val="24"/>
        </w:rPr>
        <w:t>。</w:t>
      </w:r>
    </w:p>
    <w:p>
      <w:pPr>
        <w:spacing w:line="360" w:lineRule="auto"/>
        <w:ind w:firstLine="420" w:firstLineChars="200"/>
        <w:rPr>
          <w:rFonts w:ascii="Times New Roman" w:hAnsi="Times New Roman"/>
          <w:sz w:val="24"/>
        </w:rPr>
      </w:pPr>
      <w:r>
        <w:rPr>
          <w:rFonts w:hint="eastAsia"/>
        </w:rPr>
        <w:t xml:space="preserve">      </w:t>
      </w:r>
      <w:r>
        <w:drawing>
          <wp:inline distT="0" distB="0" distL="114300" distR="114300">
            <wp:extent cx="4509770" cy="2555875"/>
            <wp:effectExtent l="0" t="0" r="1270" b="4445"/>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pic:cNvPicPr>
                      <a:picLocks noChangeAspect="1"/>
                    </pic:cNvPicPr>
                  </pic:nvPicPr>
                  <pic:blipFill>
                    <a:blip r:embed="rId26"/>
                    <a:stretch>
                      <a:fillRect/>
                    </a:stretch>
                  </pic:blipFill>
                  <pic:spPr>
                    <a:xfrm>
                      <a:off x="0" y="0"/>
                      <a:ext cx="4509770" cy="25558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注：由于四舍五入的原因，因此数据占比之和可能会出现不等于100%的情况（误差为±0.01）。</w:t>
      </w:r>
    </w:p>
    <w:p>
      <w:pPr>
        <w:pStyle w:val="4"/>
        <w:bidi w:val="0"/>
        <w:rPr>
          <w:rFonts w:hint="eastAsia"/>
        </w:rPr>
      </w:pPr>
      <w:bookmarkStart w:id="94" w:name="_Toc25161"/>
      <w:bookmarkStart w:id="95" w:name="_Toc5241"/>
      <w:r>
        <w:rPr>
          <w:rFonts w:hint="eastAsia"/>
        </w:rPr>
        <w:t>（二）实践教学环节评价</w:t>
      </w:r>
      <w:bookmarkEnd w:id="94"/>
      <w:bookmarkEnd w:id="95"/>
    </w:p>
    <w:p>
      <w:pPr>
        <w:spacing w:line="360" w:lineRule="auto"/>
        <w:ind w:firstLine="480" w:firstLineChars="200"/>
        <w:rPr>
          <w:rFonts w:ascii="Times New Roman" w:hAnsi="Times New Roman"/>
          <w:sz w:val="24"/>
        </w:rPr>
      </w:pPr>
      <w:r>
        <w:rPr>
          <w:rFonts w:hint="eastAsia" w:ascii="Times New Roman" w:hAnsi="Times New Roman"/>
          <w:sz w:val="24"/>
        </w:rPr>
        <w:t>毕业生对实践教学环节评价较高，9</w:t>
      </w:r>
      <w:r>
        <w:rPr>
          <w:rFonts w:hint="eastAsia" w:ascii="Times New Roman" w:hAnsi="Times New Roman"/>
          <w:sz w:val="24"/>
          <w:lang w:val="en-US" w:eastAsia="zh-CN"/>
        </w:rPr>
        <w:t>6.81</w:t>
      </w:r>
      <w:r>
        <w:rPr>
          <w:rFonts w:hint="eastAsia" w:ascii="Times New Roman" w:hAnsi="Times New Roman"/>
          <w:sz w:val="24"/>
        </w:rPr>
        <w:t>%的毕业生认为母校实践教学环节</w:t>
      </w:r>
    </w:p>
    <w:p>
      <w:pPr>
        <w:spacing w:line="360" w:lineRule="auto"/>
        <w:rPr>
          <w:rFonts w:ascii="Times New Roman" w:hAnsi="Times New Roman"/>
          <w:sz w:val="24"/>
        </w:rPr>
      </w:pPr>
      <w:r>
        <w:rPr>
          <w:rFonts w:hint="eastAsia" w:ascii="Times New Roman" w:hAnsi="Times New Roman"/>
          <w:sz w:val="24"/>
        </w:rPr>
        <w:t>有效果。</w:t>
      </w:r>
    </w:p>
    <w:p>
      <w:pPr>
        <w:spacing w:line="360" w:lineRule="auto"/>
        <w:jc w:val="center"/>
        <w:rPr>
          <w:rFonts w:ascii="Times New Roman" w:hAnsi="Times New Roman"/>
          <w:sz w:val="24"/>
        </w:rPr>
      </w:pPr>
      <w:r>
        <w:drawing>
          <wp:inline distT="0" distB="0" distL="114300" distR="114300">
            <wp:extent cx="4572000" cy="2743200"/>
            <wp:effectExtent l="4445" t="4445" r="10795" b="10795"/>
            <wp:docPr id="1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注：由于四舍五入的原因，因此数据占比之和可能会出现不等于 100%的情况（误差为±0.01）。</w:t>
      </w:r>
    </w:p>
    <w:p>
      <w:pPr>
        <w:pStyle w:val="4"/>
        <w:bidi w:val="0"/>
        <w:rPr>
          <w:rFonts w:hint="eastAsia"/>
        </w:rPr>
      </w:pPr>
      <w:bookmarkStart w:id="96" w:name="_Toc12213"/>
      <w:bookmarkStart w:id="97" w:name="_Toc4049"/>
      <w:r>
        <w:rPr>
          <w:rFonts w:hint="eastAsia"/>
        </w:rPr>
        <w:t>（三）任课教师评价</w:t>
      </w:r>
      <w:bookmarkEnd w:id="96"/>
      <w:bookmarkEnd w:id="97"/>
    </w:p>
    <w:p>
      <w:pPr>
        <w:spacing w:line="360" w:lineRule="auto"/>
        <w:ind w:firstLine="480" w:firstLineChars="200"/>
        <w:rPr>
          <w:rFonts w:ascii="Times New Roman" w:hAnsi="Times New Roman"/>
          <w:sz w:val="24"/>
        </w:rPr>
      </w:pPr>
      <w:r>
        <w:rPr>
          <w:rFonts w:hint="eastAsia" w:ascii="Times New Roman" w:hAnsi="Times New Roman"/>
          <w:sz w:val="24"/>
        </w:rPr>
        <w:t>毕业生对母校任课教师的满意度很高</w:t>
      </w:r>
      <w:r>
        <w:rPr>
          <w:rFonts w:hint="eastAsia" w:ascii="Times New Roman" w:hAnsi="Times New Roman"/>
          <w:sz w:val="24"/>
          <w:lang w:val="en-US" w:eastAsia="zh-CN"/>
        </w:rPr>
        <w:t>98.13</w:t>
      </w:r>
      <w:r>
        <w:rPr>
          <w:rFonts w:hint="eastAsia" w:ascii="Times New Roman" w:hAnsi="Times New Roman"/>
          <w:sz w:val="24"/>
        </w:rPr>
        <w:t>% 的毕业生对任课教师满意。</w:t>
      </w:r>
    </w:p>
    <w:p>
      <w:pPr>
        <w:spacing w:line="360" w:lineRule="auto"/>
        <w:ind w:firstLine="420" w:firstLineChars="200"/>
        <w:jc w:val="center"/>
        <w:rPr>
          <w:rFonts w:ascii="Times New Roman" w:hAnsi="Times New Roman"/>
          <w:sz w:val="24"/>
        </w:rPr>
      </w:pPr>
      <w:r>
        <w:drawing>
          <wp:inline distT="0" distB="0" distL="114300" distR="114300">
            <wp:extent cx="4572000" cy="2743200"/>
            <wp:effectExtent l="4445" t="4445" r="10795" b="10795"/>
            <wp:docPr id="2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注：1.满意度=“很满意+比较满意+一般”占比。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2.四舍五入的原因，因此数据占比之和可能会出现不等于 100%的情况（误差为±0.01）。</w:t>
      </w:r>
    </w:p>
    <w:p>
      <w:pPr>
        <w:pStyle w:val="3"/>
        <w:bidi w:val="0"/>
        <w:rPr>
          <w:rFonts w:hint="eastAsia"/>
        </w:rPr>
      </w:pPr>
      <w:bookmarkStart w:id="98" w:name="_Toc25247"/>
      <w:bookmarkStart w:id="99" w:name="_Toc20102"/>
      <w:bookmarkStart w:id="100" w:name="_Toc357"/>
      <w:r>
        <w:rPr>
          <w:rFonts w:hint="eastAsia"/>
        </w:rPr>
        <w:t>三</w:t>
      </w:r>
      <w:r>
        <w:rPr>
          <w:rFonts w:hint="eastAsia"/>
          <w:lang w:eastAsia="zh-CN"/>
        </w:rPr>
        <w:t>、</w:t>
      </w:r>
      <w:r>
        <w:rPr>
          <w:rFonts w:hint="eastAsia"/>
        </w:rPr>
        <w:t>毕业生就业能力的反馈</w:t>
      </w:r>
      <w:bookmarkEnd w:id="98"/>
      <w:bookmarkEnd w:id="99"/>
      <w:bookmarkEnd w:id="100"/>
    </w:p>
    <w:p>
      <w:pPr>
        <w:spacing w:line="360" w:lineRule="auto"/>
        <w:ind w:firstLine="480" w:firstLineChars="200"/>
        <w:rPr>
          <w:rFonts w:ascii="Times New Roman" w:hAnsi="Times New Roman"/>
          <w:sz w:val="24"/>
        </w:rPr>
      </w:pPr>
      <w:r>
        <w:rPr>
          <w:rFonts w:hint="eastAsia" w:ascii="Times New Roman" w:hAnsi="Times New Roman"/>
          <w:sz w:val="24"/>
        </w:rPr>
        <w:t>毕业生整体对自身的能力评价较高，</w:t>
      </w:r>
      <w:r>
        <w:rPr>
          <w:rFonts w:hint="eastAsia" w:ascii="Times New Roman" w:hAnsi="Times New Roman"/>
          <w:sz w:val="24"/>
        </w:rPr>
        <w:t>其中对</w:t>
      </w:r>
      <w:r>
        <w:rPr>
          <w:rFonts w:hint="eastAsia" w:ascii="Times New Roman" w:hAnsi="Times New Roman"/>
          <w:sz w:val="24"/>
          <w:lang w:val="en-US" w:eastAsia="zh-CN"/>
        </w:rPr>
        <w:t>问题解决</w:t>
      </w:r>
      <w:r>
        <w:rPr>
          <w:rFonts w:hint="eastAsia" w:ascii="Times New Roman" w:hAnsi="Times New Roman"/>
          <w:sz w:val="24"/>
        </w:rPr>
        <w:t>能力、</w:t>
      </w:r>
      <w:r>
        <w:rPr>
          <w:rFonts w:hint="eastAsia" w:ascii="Times New Roman" w:hAnsi="Times New Roman"/>
          <w:sz w:val="24"/>
          <w:lang w:val="en-US" w:eastAsia="zh-CN"/>
        </w:rPr>
        <w:t>团队协作</w:t>
      </w:r>
      <w:r>
        <w:rPr>
          <w:rFonts w:hint="eastAsia" w:ascii="Times New Roman" w:hAnsi="Times New Roman"/>
          <w:sz w:val="24"/>
        </w:rPr>
        <w:t>能力、实干与执行能力的评价最高。</w:t>
      </w:r>
    </w:p>
    <w:p>
      <w:pPr>
        <w:spacing w:line="360" w:lineRule="auto"/>
        <w:ind w:firstLine="480" w:firstLineChars="200"/>
        <w:rPr>
          <w:rFonts w:ascii="Times New Roman" w:hAnsi="Times New Roman"/>
          <w:sz w:val="24"/>
        </w:rPr>
      </w:pPr>
    </w:p>
    <w:p>
      <w:pPr>
        <w:spacing w:line="360" w:lineRule="auto"/>
        <w:ind w:firstLine="420" w:firstLineChars="200"/>
        <w:rPr>
          <w:rFonts w:ascii="Times New Roman" w:hAnsi="Times New Roman"/>
          <w:sz w:val="24"/>
        </w:rPr>
      </w:pPr>
      <w:r>
        <w:drawing>
          <wp:inline distT="0" distB="0" distL="114300" distR="114300">
            <wp:extent cx="4382770" cy="4411345"/>
            <wp:effectExtent l="4445" t="4445" r="17145" b="19050"/>
            <wp:docPr id="2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注：请毕业生对自身团队协作能力、实干与执行能力等18项能力进行自评，1分代表自身水平最低，10分代表自身水平最高，计算其评价结果均值。</w:t>
      </w:r>
    </w:p>
    <w:p>
      <w:pPr>
        <w:pStyle w:val="3"/>
        <w:bidi w:val="0"/>
        <w:rPr>
          <w:rFonts w:hint="eastAsia"/>
        </w:rPr>
      </w:pPr>
      <w:bookmarkStart w:id="101" w:name="_Toc6885"/>
      <w:bookmarkStart w:id="102" w:name="_Toc32199"/>
      <w:bookmarkStart w:id="103" w:name="_Toc14941"/>
      <w:r>
        <w:rPr>
          <w:rFonts w:hint="eastAsia"/>
        </w:rPr>
        <w:t>四</w:t>
      </w:r>
      <w:r>
        <w:rPr>
          <w:rFonts w:hint="eastAsia"/>
          <w:lang w:eastAsia="zh-CN"/>
        </w:rPr>
        <w:t>、</w:t>
      </w:r>
      <w:r>
        <w:rPr>
          <w:rFonts w:hint="eastAsia"/>
        </w:rPr>
        <w:t>对教育教学的反馈建议</w:t>
      </w:r>
      <w:bookmarkEnd w:id="101"/>
      <w:bookmarkEnd w:id="102"/>
      <w:bookmarkEnd w:id="103"/>
    </w:p>
    <w:p>
      <w:pPr>
        <w:spacing w:line="360" w:lineRule="auto"/>
        <w:ind w:firstLine="480" w:firstLineChars="200"/>
        <w:rPr>
          <w:rFonts w:ascii="Times New Roman" w:hAnsi="Times New Roman"/>
          <w:sz w:val="24"/>
        </w:rPr>
      </w:pPr>
      <w:r>
        <w:rPr>
          <w:rFonts w:hint="eastAsia" w:ascii="Times New Roman" w:hAnsi="Times New Roman"/>
          <w:sz w:val="24"/>
        </w:rPr>
        <w:t>哈尔滨信息工程学院在坚持自身发展定位和办学思路的同时，非常注意根据</w:t>
      </w:r>
    </w:p>
    <w:p>
      <w:pPr>
        <w:spacing w:line="360" w:lineRule="auto"/>
        <w:rPr>
          <w:rFonts w:ascii="Times New Roman" w:hAnsi="Times New Roman"/>
          <w:sz w:val="24"/>
        </w:rPr>
      </w:pPr>
      <w:r>
        <w:rPr>
          <w:rFonts w:hint="eastAsia" w:ascii="Times New Roman" w:hAnsi="Times New Roman"/>
          <w:sz w:val="24"/>
        </w:rPr>
        <w:t>就业市场的需求状况和用人单位的反馈意见来调整教育教学方针。为建立和不断</w:t>
      </w:r>
    </w:p>
    <w:p>
      <w:pPr>
        <w:spacing w:line="360" w:lineRule="auto"/>
        <w:rPr>
          <w:rFonts w:ascii="Times New Roman" w:hAnsi="Times New Roman"/>
          <w:sz w:val="24"/>
        </w:rPr>
      </w:pPr>
      <w:r>
        <w:rPr>
          <w:rFonts w:hint="eastAsia" w:ascii="Times New Roman" w:hAnsi="Times New Roman"/>
          <w:sz w:val="24"/>
        </w:rPr>
        <w:t>完善毕业生就业对人才培养的反馈机制，学校每年组织对应届毕业生和用人单位</w:t>
      </w:r>
    </w:p>
    <w:p>
      <w:pPr>
        <w:spacing w:line="360" w:lineRule="auto"/>
        <w:rPr>
          <w:rFonts w:ascii="Times New Roman" w:hAnsi="Times New Roman"/>
          <w:sz w:val="24"/>
        </w:rPr>
      </w:pPr>
      <w:r>
        <w:rPr>
          <w:rFonts w:hint="eastAsia" w:ascii="Times New Roman" w:hAnsi="Times New Roman"/>
          <w:sz w:val="24"/>
        </w:rPr>
        <w:t>进行抽样调查和访谈调研，听取学生和单位对人才培养和就业指导服务工作的意</w:t>
      </w:r>
    </w:p>
    <w:p>
      <w:pPr>
        <w:spacing w:line="360" w:lineRule="auto"/>
        <w:rPr>
          <w:rFonts w:ascii="Times New Roman" w:hAnsi="Times New Roman"/>
          <w:sz w:val="24"/>
        </w:rPr>
      </w:pPr>
      <w:r>
        <w:rPr>
          <w:rFonts w:hint="eastAsia" w:ascii="Times New Roman" w:hAnsi="Times New Roman"/>
          <w:sz w:val="24"/>
        </w:rPr>
        <w:t>见和建议。以这些调查为参考，学校不断完善招生与就业的联动机制，为学校教</w:t>
      </w:r>
    </w:p>
    <w:p>
      <w:pPr>
        <w:spacing w:line="360" w:lineRule="auto"/>
        <w:rPr>
          <w:rFonts w:ascii="Times New Roman" w:hAnsi="Times New Roman"/>
          <w:sz w:val="24"/>
        </w:rPr>
      </w:pPr>
      <w:r>
        <w:rPr>
          <w:rFonts w:hint="eastAsia" w:ascii="Times New Roman" w:hAnsi="Times New Roman"/>
          <w:sz w:val="24"/>
        </w:rPr>
        <w:t>育教学改革、人才培养等方面提供数据支持。同时，为学校毕业生就业指导工作</w:t>
      </w:r>
    </w:p>
    <w:p>
      <w:pPr>
        <w:spacing w:line="360" w:lineRule="auto"/>
        <w:rPr>
          <w:rFonts w:ascii="Times New Roman" w:hAnsi="Times New Roman"/>
          <w:sz w:val="24"/>
        </w:rPr>
      </w:pPr>
      <w:r>
        <w:rPr>
          <w:rFonts w:hint="eastAsia" w:ascii="Times New Roman" w:hAnsi="Times New Roman"/>
          <w:sz w:val="24"/>
        </w:rPr>
        <w:t>提供参考依据。</w:t>
      </w:r>
    </w:p>
    <w:p>
      <w:pPr>
        <w:pStyle w:val="3"/>
        <w:bidi w:val="0"/>
        <w:rPr>
          <w:rFonts w:hint="eastAsia"/>
        </w:rPr>
      </w:pPr>
      <w:bookmarkStart w:id="104" w:name="_Toc10771"/>
      <w:bookmarkStart w:id="105" w:name="_Toc8825"/>
      <w:bookmarkStart w:id="106" w:name="_Toc12190"/>
      <w:r>
        <w:rPr>
          <w:rFonts w:hint="eastAsia"/>
          <w:lang w:val="en-US" w:eastAsia="zh-CN"/>
        </w:rPr>
        <w:t>五</w:t>
      </w:r>
      <w:r>
        <w:rPr>
          <w:rFonts w:hint="eastAsia"/>
        </w:rPr>
        <w:t>、对招生、专业设置和人才培养的反馈</w:t>
      </w:r>
      <w:bookmarkEnd w:id="104"/>
      <w:bookmarkEnd w:id="105"/>
      <w:bookmarkEnd w:id="106"/>
    </w:p>
    <w:p>
      <w:pPr>
        <w:spacing w:line="360" w:lineRule="auto"/>
        <w:ind w:firstLine="480" w:firstLineChars="200"/>
        <w:rPr>
          <w:rFonts w:ascii="Times New Roman" w:hAnsi="Times New Roman"/>
          <w:sz w:val="24"/>
          <w:highlight w:val="yellow"/>
        </w:rPr>
      </w:pPr>
      <w:r>
        <w:rPr>
          <w:rFonts w:hint="eastAsia" w:ascii="Times New Roman" w:hAnsi="Times New Roman"/>
          <w:sz w:val="24"/>
        </w:rPr>
        <w:t>毕业生的就业率相对直观地反映专业社会需求和社会认可度。同时也逐渐发展成为考生及考生家长了解报考学校办学水平的重要参考指标，尤其是在专业志愿填报上尤为明显，就业率高低直接影响着专业填报的热度。生源选拔作为人才培养的首要环节，学校在每年各专业的招生计划的制定过程中，与专业就业率和就业结构挂钩；且实施专业预警和动态调整机制，学科专业设置与学生就业率挂钩，形成就业与招生的联动发展格局。</w:t>
      </w:r>
    </w:p>
    <w:p>
      <w:pPr>
        <w:pStyle w:val="3"/>
        <w:bidi w:val="0"/>
        <w:rPr>
          <w:rFonts w:hint="eastAsia"/>
        </w:rPr>
      </w:pPr>
      <w:bookmarkStart w:id="107" w:name="_Toc29498"/>
      <w:bookmarkStart w:id="108" w:name="_Toc8049"/>
      <w:bookmarkStart w:id="109" w:name="_Toc11341"/>
      <w:r>
        <w:rPr>
          <w:rFonts w:hint="eastAsia"/>
          <w:lang w:val="en-US" w:eastAsia="zh-CN"/>
        </w:rPr>
        <w:t>六</w:t>
      </w:r>
      <w:r>
        <w:rPr>
          <w:rFonts w:hint="eastAsia"/>
        </w:rPr>
        <w:t>、对学校就业指导工作的反馈</w:t>
      </w:r>
      <w:bookmarkEnd w:id="107"/>
      <w:bookmarkEnd w:id="108"/>
      <w:bookmarkEnd w:id="10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学校注重就业指导服务水平的提升，每年根据毕业生和用人单位问卷调查的反馈，聚焦问题实施改善。根据调查</w:t>
      </w:r>
      <w:r>
        <w:rPr>
          <w:rFonts w:hint="eastAsia" w:ascii="Times New Roman" w:hAnsi="Times New Roman"/>
          <w:sz w:val="24"/>
          <w:lang w:val="en-US" w:eastAsia="zh-CN"/>
        </w:rPr>
        <w:t>报告</w:t>
      </w:r>
      <w:r>
        <w:rPr>
          <w:rFonts w:hint="eastAsia" w:ascii="Times New Roman" w:hAnsi="Times New Roman"/>
          <w:sz w:val="24"/>
        </w:rPr>
        <w:t>在未来的工作中，我院将重视以下几方面的工作：</w:t>
      </w:r>
    </w:p>
    <w:p>
      <w:pPr>
        <w:pStyle w:val="5"/>
        <w:bidi w:val="0"/>
        <w:jc w:val="left"/>
        <w:outlineLvl w:val="2"/>
        <w:rPr>
          <w:rFonts w:hint="eastAsia"/>
          <w:sz w:val="28"/>
          <w:szCs w:val="40"/>
        </w:rPr>
      </w:pPr>
      <w:bookmarkStart w:id="110" w:name="_Toc5953"/>
      <w:r>
        <w:rPr>
          <w:rFonts w:hint="eastAsia"/>
          <w:sz w:val="28"/>
          <w:szCs w:val="40"/>
        </w:rPr>
        <w:t>1</w:t>
      </w:r>
      <w:r>
        <w:rPr>
          <w:rFonts w:hint="eastAsia"/>
          <w:sz w:val="28"/>
          <w:szCs w:val="40"/>
          <w:lang w:val="en-US" w:eastAsia="zh-CN"/>
        </w:rPr>
        <w:t>.</w:t>
      </w:r>
      <w:r>
        <w:rPr>
          <w:rFonts w:hint="eastAsia"/>
          <w:sz w:val="28"/>
          <w:szCs w:val="40"/>
        </w:rPr>
        <w:t>加大保障力度，建构全员参与就业工作长效机制</w:t>
      </w:r>
      <w:bookmarkEnd w:id="1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与目前国内及省内同类院校的就业工作保障情况相比、与学生就业工作的需要相比，我院就业工作的保障力度仍有待进一步加强。除了努力按国家及省厅有关文件要求要增强就业工作“一把手”工程的实效性，不断推动全员参与就业工作长效机制的建设和完善。</w:t>
      </w:r>
    </w:p>
    <w:p>
      <w:pPr>
        <w:pStyle w:val="5"/>
        <w:bidi w:val="0"/>
        <w:jc w:val="left"/>
        <w:outlineLvl w:val="2"/>
        <w:rPr>
          <w:rFonts w:hint="eastAsia"/>
          <w:sz w:val="28"/>
          <w:szCs w:val="40"/>
        </w:rPr>
      </w:pPr>
      <w:bookmarkStart w:id="111" w:name="_Toc5123"/>
      <w:r>
        <w:rPr>
          <w:rFonts w:hint="eastAsia"/>
          <w:sz w:val="28"/>
          <w:szCs w:val="40"/>
        </w:rPr>
        <w:t>2</w:t>
      </w:r>
      <w:r>
        <w:rPr>
          <w:rFonts w:hint="eastAsia"/>
          <w:sz w:val="28"/>
          <w:szCs w:val="40"/>
          <w:lang w:val="en-US" w:eastAsia="zh-CN"/>
        </w:rPr>
        <w:t>.</w:t>
      </w:r>
      <w:r>
        <w:rPr>
          <w:rFonts w:hint="eastAsia"/>
          <w:sz w:val="28"/>
          <w:szCs w:val="40"/>
        </w:rPr>
        <w:t>强化市场导向，增强人才培养与就业市场的适配度</w:t>
      </w:r>
      <w:bookmarkEnd w:id="1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通过就业市场调研反馈及相关数据分析结果表明，当前我院毕业生竞争力仍需进一步提高。建立和完善就业与招生、培养联动机制、全员参与就业工作机制，不断深化校企合作；配合学院的本科工作，下大力气培养适销对路的应用型人才；同时要全面加强实习、就业基地的建设，充分利用顶岗实习等活动，强化就业技能培训，提高学生实践操作能力；结合专业特点，以各种竞赛为载体，全面提升学生综合素质。</w:t>
      </w:r>
    </w:p>
    <w:p>
      <w:pPr>
        <w:pStyle w:val="5"/>
        <w:bidi w:val="0"/>
        <w:jc w:val="left"/>
        <w:outlineLvl w:val="2"/>
        <w:rPr>
          <w:rFonts w:hint="eastAsia"/>
          <w:sz w:val="28"/>
          <w:szCs w:val="40"/>
        </w:rPr>
      </w:pPr>
      <w:bookmarkStart w:id="112" w:name="_Toc27994"/>
      <w:r>
        <w:rPr>
          <w:rFonts w:hint="eastAsia"/>
          <w:sz w:val="28"/>
          <w:szCs w:val="40"/>
        </w:rPr>
        <w:t>3</w:t>
      </w:r>
      <w:r>
        <w:rPr>
          <w:rFonts w:hint="eastAsia"/>
          <w:sz w:val="28"/>
          <w:szCs w:val="40"/>
          <w:lang w:val="en-US" w:eastAsia="zh-CN"/>
        </w:rPr>
        <w:t>.</w:t>
      </w:r>
      <w:r>
        <w:rPr>
          <w:rFonts w:hint="eastAsia"/>
          <w:sz w:val="28"/>
          <w:szCs w:val="40"/>
        </w:rPr>
        <w:t>加强就业指导教师队伍建设，保证就业管理 与指导的工作效率和质量</w:t>
      </w:r>
      <w:bookmarkEnd w:id="11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严格控制就业管理教师师生比数量在1：50内，使老师能够有精力充分指导学生、管理学生、服务学生。同时加强教师的培训，让老师有更高的视野和敏锐的动察力分析判断就业市场变化，同时提高老师心理辅导能力，帮助“双困生”调整就业心态，推荐就业。从学院角度将出台就业奖励制度，对就业成绩优秀的教师进行表彰，带动后进</w:t>
      </w:r>
      <w:r>
        <w:rPr>
          <w:rFonts w:hint="eastAsia" w:ascii="Times New Roman" w:hAnsi="Times New Roman"/>
          <w:sz w:val="24"/>
          <w:lang w:eastAsia="zh-CN"/>
        </w:rPr>
        <w:t>，</w:t>
      </w:r>
      <w:r>
        <w:rPr>
          <w:rFonts w:hint="eastAsia" w:ascii="Times New Roman" w:hAnsi="Times New Roman"/>
          <w:sz w:val="24"/>
        </w:rPr>
        <w:t>共同提升。</w:t>
      </w:r>
    </w:p>
    <w:p>
      <w:pPr>
        <w:pStyle w:val="5"/>
        <w:bidi w:val="0"/>
        <w:jc w:val="left"/>
        <w:outlineLvl w:val="2"/>
        <w:rPr>
          <w:rFonts w:hint="eastAsia"/>
          <w:sz w:val="28"/>
          <w:szCs w:val="40"/>
        </w:rPr>
      </w:pPr>
      <w:bookmarkStart w:id="113" w:name="_Toc15856"/>
      <w:r>
        <w:rPr>
          <w:rFonts w:hint="eastAsia"/>
          <w:sz w:val="28"/>
          <w:szCs w:val="40"/>
        </w:rPr>
        <w:t>4</w:t>
      </w:r>
      <w:r>
        <w:rPr>
          <w:rFonts w:hint="eastAsia"/>
          <w:sz w:val="28"/>
          <w:szCs w:val="40"/>
          <w:lang w:val="en-US" w:eastAsia="zh-CN"/>
        </w:rPr>
        <w:t>.</w:t>
      </w:r>
      <w:r>
        <w:rPr>
          <w:rFonts w:hint="eastAsia"/>
          <w:sz w:val="28"/>
          <w:szCs w:val="40"/>
        </w:rPr>
        <w:t>创新市场开拓，岗位数量增加与质量提高并重</w:t>
      </w:r>
      <w:bookmarkEnd w:id="1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sz w:val="24"/>
        </w:rPr>
      </w:pPr>
      <w:r>
        <w:rPr>
          <w:rFonts w:hint="eastAsia" w:ascii="Times New Roman" w:hAnsi="Times New Roman"/>
          <w:sz w:val="24"/>
        </w:rPr>
        <w:t>尽管我院每年为毕业生提供的就业岗位无论是数量还是质量都在不断提升</w:t>
      </w:r>
      <w:r>
        <w:rPr>
          <w:rFonts w:hint="eastAsia" w:ascii="Times New Roman" w:hAnsi="Times New Roman"/>
          <w:sz w:val="24"/>
          <w:lang w:eastAsia="zh-CN"/>
        </w:rPr>
        <w:t>，</w:t>
      </w:r>
      <w:r>
        <w:rPr>
          <w:rFonts w:hint="eastAsia" w:ascii="Times New Roman" w:hAnsi="Times New Roman"/>
          <w:sz w:val="24"/>
        </w:rPr>
        <w:t>但与毕业生的就业意愿相比，我院就业市场的开拓力度仍需加大。学院要在目前粗线条的市场开发基础上，针对各专业的就业状况，调动全院教职工的积极性，增加各具体专业岗位就业信息量的供给。专业教师与社会相关行业的联系非常密切，而且对本专业学生的情况也比较了解，要充分调动广大专业教师、专家教授的积极性，为毕业生提供更多更好的就业岗位。另外，在各行各业的历届校友也是我院就业市场的一笔宝贵财富，也要利用各种方式争取获得他们的支持，为我院毕业生充分就业提供坚实的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Times New Roman" w:hAnsi="Times New Roman"/>
          <w:sz w:val="24"/>
        </w:rPr>
        <w:t>根据教育部和黑龙江省教委的相关文件精神，以对毕业生高度负责的态度，进一步强化就业创业服务体系建设，健全鼓励毕业生到基层就业的服务保障机制建立健全职业发展和就业指导服务体系，把思想教育作为促进就业创业的先导工作，引导毕业生把个人梦想融入中国梦的伟大实践，努力实现毕业生更加充分更高质量就业，实现学校毕业生就业工作高水平发展。</w:t>
      </w:r>
    </w:p>
    <w:sectPr>
      <w:pgSz w:w="11906" w:h="16838"/>
      <w:pgMar w:top="1440" w:right="1800" w:bottom="1440" w:left="1800" w:header="737"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rPr>
                              <w:rFonts w:hint="eastAsia"/>
                              <w:lang w:val="en-US" w:eastAsia="zh-CN"/>
                            </w:rPr>
                            <w:t>4</w:t>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rPr>
                        <w:rFonts w:hint="eastAsia"/>
                        <w:lang w:val="en-US" w:eastAsia="zh-CN"/>
                      </w:rPr>
                      <w:t>4</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pPr>
    <w:r>
      <w:rPr>
        <w:rFonts w:hint="eastAsia"/>
        <w:sz w:val="30"/>
        <w:szCs w:val="30"/>
      </w:rPr>
      <w:t>哈尔滨信息工程学院20</w:t>
    </w:r>
    <w:r>
      <w:rPr>
        <w:rFonts w:hint="eastAsia"/>
        <w:sz w:val="30"/>
        <w:szCs w:val="30"/>
        <w:lang w:val="en-US" w:eastAsia="zh-CN"/>
      </w:rPr>
      <w:t>21</w:t>
    </w:r>
    <w:r>
      <w:rPr>
        <w:rFonts w:hint="eastAsia"/>
        <w:sz w:val="30"/>
        <w:szCs w:val="30"/>
      </w:rPr>
      <w:t>届毕业生就业质量年度报告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2C"/>
    <w:rsid w:val="0010046F"/>
    <w:rsid w:val="001374AE"/>
    <w:rsid w:val="00383D35"/>
    <w:rsid w:val="003B042C"/>
    <w:rsid w:val="003C5810"/>
    <w:rsid w:val="0040770D"/>
    <w:rsid w:val="00517FA2"/>
    <w:rsid w:val="005C2AB6"/>
    <w:rsid w:val="00672F40"/>
    <w:rsid w:val="006C794F"/>
    <w:rsid w:val="007E5299"/>
    <w:rsid w:val="00910DAE"/>
    <w:rsid w:val="00AC6EEA"/>
    <w:rsid w:val="00AF2E82"/>
    <w:rsid w:val="00BE3071"/>
    <w:rsid w:val="00CF2846"/>
    <w:rsid w:val="00F1386C"/>
    <w:rsid w:val="00F8558C"/>
    <w:rsid w:val="012355AE"/>
    <w:rsid w:val="013558BC"/>
    <w:rsid w:val="04110B22"/>
    <w:rsid w:val="04986555"/>
    <w:rsid w:val="062C0CFF"/>
    <w:rsid w:val="081C6080"/>
    <w:rsid w:val="09290A37"/>
    <w:rsid w:val="0C3F4DDE"/>
    <w:rsid w:val="0C5E015E"/>
    <w:rsid w:val="0CAC4D2E"/>
    <w:rsid w:val="0CB414CA"/>
    <w:rsid w:val="0D051CD8"/>
    <w:rsid w:val="0DC7152F"/>
    <w:rsid w:val="0E036482"/>
    <w:rsid w:val="0F4D78DB"/>
    <w:rsid w:val="114E76E2"/>
    <w:rsid w:val="11900BC7"/>
    <w:rsid w:val="11E8010E"/>
    <w:rsid w:val="12D91620"/>
    <w:rsid w:val="131461FB"/>
    <w:rsid w:val="131F5E13"/>
    <w:rsid w:val="14766DE7"/>
    <w:rsid w:val="147E5144"/>
    <w:rsid w:val="1658169C"/>
    <w:rsid w:val="1B3302ED"/>
    <w:rsid w:val="1B6F4D9F"/>
    <w:rsid w:val="1C84144B"/>
    <w:rsid w:val="1DC02164"/>
    <w:rsid w:val="1E1823CB"/>
    <w:rsid w:val="1F574B0F"/>
    <w:rsid w:val="1FE85338"/>
    <w:rsid w:val="20D81A2F"/>
    <w:rsid w:val="21086B99"/>
    <w:rsid w:val="21CF467B"/>
    <w:rsid w:val="235021D1"/>
    <w:rsid w:val="24134E54"/>
    <w:rsid w:val="25EA2B0D"/>
    <w:rsid w:val="26355721"/>
    <w:rsid w:val="26EB6F18"/>
    <w:rsid w:val="289B06F5"/>
    <w:rsid w:val="2DBB13A9"/>
    <w:rsid w:val="2E6E514B"/>
    <w:rsid w:val="2E73424D"/>
    <w:rsid w:val="300732EA"/>
    <w:rsid w:val="308448AF"/>
    <w:rsid w:val="31CD17B2"/>
    <w:rsid w:val="32753581"/>
    <w:rsid w:val="34705C6E"/>
    <w:rsid w:val="38AA2E7F"/>
    <w:rsid w:val="3B756EBE"/>
    <w:rsid w:val="3C955F16"/>
    <w:rsid w:val="3CCD42E3"/>
    <w:rsid w:val="3CDC74C1"/>
    <w:rsid w:val="3E0F7055"/>
    <w:rsid w:val="3F0C1354"/>
    <w:rsid w:val="3FB701D5"/>
    <w:rsid w:val="40813618"/>
    <w:rsid w:val="42333372"/>
    <w:rsid w:val="42AD50EE"/>
    <w:rsid w:val="43DA1AE8"/>
    <w:rsid w:val="45290BB4"/>
    <w:rsid w:val="45340461"/>
    <w:rsid w:val="47322DE0"/>
    <w:rsid w:val="473A2575"/>
    <w:rsid w:val="487F61C7"/>
    <w:rsid w:val="488F430F"/>
    <w:rsid w:val="49897AB9"/>
    <w:rsid w:val="49D969E3"/>
    <w:rsid w:val="4AB64608"/>
    <w:rsid w:val="4AC0346C"/>
    <w:rsid w:val="4CFE423B"/>
    <w:rsid w:val="4EE476A8"/>
    <w:rsid w:val="55967510"/>
    <w:rsid w:val="55F00B3C"/>
    <w:rsid w:val="56FD7708"/>
    <w:rsid w:val="5A2174C5"/>
    <w:rsid w:val="5A3E07A1"/>
    <w:rsid w:val="5BB66216"/>
    <w:rsid w:val="5C182A2D"/>
    <w:rsid w:val="5CCC6A7D"/>
    <w:rsid w:val="5CDE42CB"/>
    <w:rsid w:val="5D0631CD"/>
    <w:rsid w:val="5E8442B7"/>
    <w:rsid w:val="5EAC1B42"/>
    <w:rsid w:val="5FDF108A"/>
    <w:rsid w:val="61A7500C"/>
    <w:rsid w:val="63247F09"/>
    <w:rsid w:val="63762FE4"/>
    <w:rsid w:val="63AD6FE5"/>
    <w:rsid w:val="63D336DD"/>
    <w:rsid w:val="67332E10"/>
    <w:rsid w:val="67B65CC6"/>
    <w:rsid w:val="681A3573"/>
    <w:rsid w:val="6BA77929"/>
    <w:rsid w:val="6BB35245"/>
    <w:rsid w:val="710B3D09"/>
    <w:rsid w:val="72C62D8B"/>
    <w:rsid w:val="731B22B0"/>
    <w:rsid w:val="752913AF"/>
    <w:rsid w:val="780E5D20"/>
    <w:rsid w:val="78F169BC"/>
    <w:rsid w:val="79D63AE0"/>
    <w:rsid w:val="7A122DE1"/>
    <w:rsid w:val="7B6A7CA1"/>
    <w:rsid w:val="7B8F5FC8"/>
    <w:rsid w:val="7BB37C24"/>
    <w:rsid w:val="7CFF348E"/>
    <w:rsid w:val="7E460A43"/>
    <w:rsid w:val="7EE6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5"/>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line="360" w:lineRule="auto"/>
      <w:ind w:firstLine="0" w:firstLineChars="0"/>
      <w:jc w:val="center"/>
      <w:outlineLvl w:val="3"/>
    </w:pPr>
    <w:rPr>
      <w:rFonts w:ascii="Arial" w:hAnsi="Arial" w:eastAsia="宋体" w:cs="Times New Roman"/>
      <w:b/>
      <w:bCs/>
      <w:sz w:val="21"/>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iPriority w:val="0"/>
  </w:style>
  <w:style w:type="paragraph" w:styleId="11">
    <w:name w:val="toc 2"/>
    <w:basedOn w:val="1"/>
    <w:next w:val="1"/>
    <w:uiPriority w:val="0"/>
    <w:pPr>
      <w:ind w:left="420" w:leftChars="200"/>
    </w:p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customStyle="1" w:styleId="15">
    <w:name w:val="标题 3 Char"/>
    <w:link w:val="4"/>
    <w:uiPriority w:val="0"/>
    <w:rPr>
      <w:b/>
      <w:sz w:val="32"/>
    </w:rPr>
  </w:style>
  <w:style w:type="character" w:customStyle="1" w:styleId="16">
    <w:name w:val="标题 1 Char"/>
    <w:link w:val="2"/>
    <w:qFormat/>
    <w:uiPriority w:val="0"/>
    <w:rPr>
      <w:b/>
      <w:kern w:val="44"/>
      <w:sz w:val="44"/>
    </w:rPr>
  </w:style>
  <w:style w:type="character" w:customStyle="1" w:styleId="17">
    <w:name w:val="批注框文本 Char"/>
    <w:basedOn w:val="14"/>
    <w:link w:val="7"/>
    <w:qFormat/>
    <w:uiPriority w:val="0"/>
    <w:rPr>
      <w:rFonts w:asciiTheme="minorHAnsi" w:hAnsiTheme="minorHAnsi" w:eastAsiaTheme="minorEastAsia" w:cstheme="minorBidi"/>
      <w:kern w:val="2"/>
      <w:sz w:val="18"/>
      <w:szCs w:val="18"/>
    </w:rPr>
  </w:style>
  <w:style w:type="paragraph" w:customStyle="1" w:styleId="18">
    <w:name w:val="WPSOffice手动目录 1"/>
    <w:uiPriority w:val="0"/>
    <w:pPr>
      <w:ind w:leftChars="0"/>
    </w:pPr>
    <w:rPr>
      <w:rFonts w:ascii="Times New Roman" w:hAnsi="Times New Roman" w:eastAsia="宋体" w:cs="Times New Roman"/>
      <w:sz w:val="20"/>
      <w:szCs w:val="20"/>
    </w:rPr>
  </w:style>
  <w:style w:type="paragraph" w:customStyle="1" w:styleId="19">
    <w:name w:val="WPSOffice手动目录 2"/>
    <w:uiPriority w:val="0"/>
    <w:pPr>
      <w:ind w:leftChars="200"/>
    </w:pPr>
    <w:rPr>
      <w:rFonts w:ascii="Times New Roman" w:hAnsi="Times New Roman" w:eastAsia="宋体" w:cs="Times New Roman"/>
      <w:sz w:val="20"/>
      <w:szCs w:val="20"/>
    </w:rPr>
  </w:style>
  <w:style w:type="paragraph" w:customStyle="1" w:styleId="20">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chart" Target="charts/chart21.xml"/><Relationship Id="rId28" Type="http://schemas.openxmlformats.org/officeDocument/2006/relationships/chart" Target="charts/chart20.xml"/><Relationship Id="rId27" Type="http://schemas.openxmlformats.org/officeDocument/2006/relationships/chart" Target="charts/chart19.xml"/><Relationship Id="rId26" Type="http://schemas.openxmlformats.org/officeDocument/2006/relationships/image" Target="media/image2.png"/><Relationship Id="rId25" Type="http://schemas.openxmlformats.org/officeDocument/2006/relationships/image" Target="media/image1.png"/><Relationship Id="rId24" Type="http://schemas.openxmlformats.org/officeDocument/2006/relationships/chart" Target="charts/chart18.xml"/><Relationship Id="rId23" Type="http://schemas.openxmlformats.org/officeDocument/2006/relationships/chart" Target="charts/chart17.xml"/><Relationship Id="rId22" Type="http://schemas.openxmlformats.org/officeDocument/2006/relationships/chart" Target="charts/chart16.xml"/><Relationship Id="rId21" Type="http://schemas.openxmlformats.org/officeDocument/2006/relationships/chart" Target="charts/chart15.xml"/><Relationship Id="rId20" Type="http://schemas.openxmlformats.org/officeDocument/2006/relationships/chart" Target="charts/chart14.xml"/><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3398;&#29983;&#22788;\&#26723;&#26696;&#27966;&#36963;\21&#32423;&#27605;&#19994;&#29983;&#20449;&#24687;.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D:\&#23398;&#29983;&#22788;\&#21512;&#26684;&#35780;&#20272;\&#21512;&#26684;&#35780;&#20272;&#30456;&#20851;&#25991;&#20214;\2019&#23601;&#19994;&#29575;(&#32456;).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oleObject" Target="file:///D:\&#23398;&#29983;&#22788;\&#21512;&#26684;&#35780;&#20272;\&#21512;&#26684;&#35780;&#20272;&#30456;&#20851;&#25991;&#20214;\2019&#23601;&#19994;&#29575;(&#32456;).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D:\&#23398;&#29983;&#22788;\&#21512;&#26684;&#35780;&#20272;\&#21512;&#26684;&#35780;&#20272;&#30456;&#20851;&#25991;&#20214;\2019&#23601;&#19994;&#29575;(&#32456;).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D:\&#23398;&#29983;&#22788;\&#26723;&#26696;&#27966;&#36963;\21&#32423;&#30465;&#24211;.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D:\&#23398;&#29983;&#22788;\&#21512;&#26684;&#35780;&#20272;\2021&#23601;&#19994;&#29575;&#65288;&#26412;&#12289;&#32456;&#65289;.xls"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D:\&#23398;&#29983;&#22788;\&#26723;&#26696;&#27966;&#36963;\21&#32423;&#27605;&#19994;&#29983;&#20449;&#24687;.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3398;&#29983;&#22788;\&#26723;&#26696;&#27966;&#36963;\21&#32423;&#27605;&#19994;&#29983;&#20449;&#24687;.XLSX"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3398;&#29983;&#22788;\&#26723;&#26696;&#27966;&#36963;\21&#32423;&#27605;&#19994;&#29983;&#20449;&#24687;.XLSX"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D:\&#23398;&#29983;&#22788;\&#21512;&#26684;&#35780;&#20272;\2021&#23601;&#19994;&#29575;&#65288;&#26412;&#12289;&#32456;&#65289;.xls"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file:///D:\&#23398;&#29983;&#22788;\&#21512;&#26684;&#35780;&#20272;\2021&#23601;&#19994;&#29575;&#65288;&#26412;&#12289;&#32456;&#65289;.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D:\&#23398;&#29983;&#22788;\&#26723;&#26696;&#27966;&#36963;\21&#32423;&#27605;&#19994;&#29983;&#20449;&#24687;.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oleObject" Target="file:///D:\&#23398;&#29983;&#22788;\&#21512;&#26684;&#35780;&#20272;\2020&#23601;&#19994;&#29575;.xls"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D:\&#23398;&#29983;&#22788;\&#21512;&#26684;&#35780;&#20272;\2020&#23601;&#19994;&#29575;.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3398;&#29983;&#22788;\&#26723;&#26696;&#27966;&#36963;\21&#32423;&#27605;&#19994;&#29983;&#20449;&#24687;.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D:\&#23398;&#29983;&#22788;\&#26723;&#26696;&#27966;&#36963;\21&#32423;&#27605;&#19994;&#29983;&#20449;&#24687;.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3398;&#29983;&#22788;\&#26723;&#26696;&#27966;&#36963;\21&#32423;&#27605;&#19994;&#29983;&#20449;&#24687;.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D:\&#23398;&#29983;&#22788;\&#26723;&#26696;&#27966;&#36963;\21&#32423;&#27605;&#19994;&#29983;&#20449;&#24687;.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3398;&#29983;&#22788;\&#26723;&#26696;&#27966;&#36963;\21&#32423;&#27605;&#19994;&#29983;&#20449;&#24687;.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3398;&#29983;&#22788;\&#26723;&#26696;&#27966;&#36963;\21&#32423;&#27605;&#19994;&#29983;&#20449;&#24687;.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D:\&#23398;&#29983;&#22788;\&#21512;&#26684;&#35780;&#20272;\&#21512;&#26684;&#35780;&#20272;&#30456;&#20851;&#25991;&#20214;\2019&#23601;&#19994;&#29575;(&#324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[21级毕业生信息.XLSX]Sheet1!$B$2:$B$3</c:f>
              <c:strCache>
                <c:ptCount val="2"/>
                <c:pt idx="0">
                  <c:v>男</c:v>
                </c:pt>
                <c:pt idx="1">
                  <c:v>女</c:v>
                </c:pt>
              </c:strCache>
            </c:strRef>
          </c:cat>
          <c:val>
            <c:numRef>
              <c:f>[21级毕业生信息.XLSX]Sheet1!$C$2:$C$3</c:f>
              <c:numCache>
                <c:formatCode>General</c:formatCode>
                <c:ptCount val="2"/>
                <c:pt idx="0">
                  <c:v>1461</c:v>
                </c:pt>
                <c:pt idx="1">
                  <c:v>590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elete val="1"/>
          </c:dLbls>
          <c:cat>
            <c:strRef>
              <c:f>'[2019就业率(终).xlsx]Sheet3'!$A$3:$A$9</c:f>
              <c:strCache>
                <c:ptCount val="7"/>
                <c:pt idx="0">
                  <c:v>校园招聘会</c:v>
                </c:pt>
                <c:pt idx="1">
                  <c:v>就业帮扶与推介</c:v>
                </c:pt>
                <c:pt idx="2">
                  <c:v>招聘信息发布</c:v>
                </c:pt>
                <c:pt idx="3">
                  <c:v>就业实习/实践</c:v>
                </c:pt>
                <c:pt idx="4">
                  <c:v>就业手续办理</c:v>
                </c:pt>
                <c:pt idx="5">
                  <c:v>职业咨询与辅导</c:v>
                </c:pt>
                <c:pt idx="6">
                  <c:v>就业指导课</c:v>
                </c:pt>
              </c:strCache>
            </c:strRef>
          </c:cat>
          <c:val>
            <c:numRef>
              <c:f>'[2019就业率(终).xlsx]Sheet3'!$B$3:$B$9</c:f>
              <c:numCache>
                <c:formatCode>0.00%</c:formatCode>
                <c:ptCount val="7"/>
                <c:pt idx="0">
                  <c:v>0.867</c:v>
                </c:pt>
                <c:pt idx="1">
                  <c:v>0.8745</c:v>
                </c:pt>
                <c:pt idx="2">
                  <c:v>0.8782</c:v>
                </c:pt>
                <c:pt idx="3">
                  <c:v>0.8911</c:v>
                </c:pt>
                <c:pt idx="4">
                  <c:v>0.9087</c:v>
                </c:pt>
                <c:pt idx="5">
                  <c:v>0.9132</c:v>
                </c:pt>
                <c:pt idx="6">
                  <c:v>0.916</c:v>
                </c:pt>
              </c:numCache>
            </c:numRef>
          </c:val>
        </c:ser>
        <c:dLbls>
          <c:showLegendKey val="0"/>
          <c:showVal val="0"/>
          <c:showCatName val="0"/>
          <c:showSerName val="0"/>
          <c:showPercent val="0"/>
          <c:showBubbleSize val="0"/>
        </c:dLbls>
        <c:gapWidth val="182"/>
        <c:overlap val="0"/>
        <c:axId val="521918361"/>
        <c:axId val="71300649"/>
      </c:barChart>
      <c:catAx>
        <c:axId val="521918361"/>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300649"/>
        <c:crosses val="autoZero"/>
        <c:auto val="1"/>
        <c:lblAlgn val="ctr"/>
        <c:lblOffset val="100"/>
        <c:noMultiLvlLbl val="0"/>
      </c:catAx>
      <c:valAx>
        <c:axId val="7130064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191836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elete val="1"/>
          </c:dLbls>
          <c:cat>
            <c:strRef>
              <c:f>'[2019就业率(终).xlsx]服务参与度'!$A$3:$A$7</c:f>
              <c:strCache>
                <c:ptCount val="5"/>
                <c:pt idx="0">
                  <c:v>创新创业大赛</c:v>
                </c:pt>
                <c:pt idx="1">
                  <c:v>创业项目孵化</c:v>
                </c:pt>
                <c:pt idx="2">
                  <c:v>创业协会</c:v>
                </c:pt>
                <c:pt idx="3">
                  <c:v>创业实训与模拟</c:v>
                </c:pt>
                <c:pt idx="4">
                  <c:v>创业相关课程（其中包括讲座）</c:v>
                </c:pt>
              </c:strCache>
            </c:strRef>
          </c:cat>
          <c:val>
            <c:numRef>
              <c:f>'[2019就业率(终).xlsx]服务参与度'!$B$3:$B$7</c:f>
              <c:numCache>
                <c:formatCode>0.00%</c:formatCode>
                <c:ptCount val="5"/>
                <c:pt idx="0">
                  <c:v>0.804</c:v>
                </c:pt>
                <c:pt idx="1">
                  <c:v>0.8057</c:v>
                </c:pt>
                <c:pt idx="2">
                  <c:v>0.832</c:v>
                </c:pt>
                <c:pt idx="3">
                  <c:v>0.8548</c:v>
                </c:pt>
                <c:pt idx="4">
                  <c:v>0.8725</c:v>
                </c:pt>
              </c:numCache>
            </c:numRef>
          </c:val>
        </c:ser>
        <c:dLbls>
          <c:showLegendKey val="0"/>
          <c:showVal val="0"/>
          <c:showCatName val="0"/>
          <c:showSerName val="0"/>
          <c:showPercent val="0"/>
          <c:showBubbleSize val="0"/>
        </c:dLbls>
        <c:gapWidth val="182"/>
        <c:overlap val="0"/>
        <c:axId val="446134079"/>
        <c:axId val="126542152"/>
      </c:barChart>
      <c:catAx>
        <c:axId val="446134079"/>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542152"/>
        <c:crosses val="autoZero"/>
        <c:auto val="1"/>
        <c:lblAlgn val="ctr"/>
        <c:lblOffset val="100"/>
        <c:noMultiLvlLbl val="0"/>
      </c:catAx>
      <c:valAx>
        <c:axId val="1265421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61340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elete val="1"/>
          </c:dLbls>
          <c:cat>
            <c:strRef>
              <c:f>'[2019就业率(终).xlsx]服务参与度'!$A$22:$A$26</c:f>
              <c:strCache>
                <c:ptCount val="5"/>
                <c:pt idx="0">
                  <c:v>创业协会</c:v>
                </c:pt>
                <c:pt idx="1">
                  <c:v>创业实训与模拟</c:v>
                </c:pt>
                <c:pt idx="2">
                  <c:v>创业项目孵化</c:v>
                </c:pt>
                <c:pt idx="3">
                  <c:v>创新创业大赛</c:v>
                </c:pt>
                <c:pt idx="4">
                  <c:v>创业相关课程（其中包括讲座）</c:v>
                </c:pt>
              </c:strCache>
            </c:strRef>
          </c:cat>
          <c:val>
            <c:numRef>
              <c:f>'[2019就业率(终).xlsx]服务参与度'!$B$22:$B$26</c:f>
              <c:numCache>
                <c:formatCode>0.00%</c:formatCode>
                <c:ptCount val="5"/>
                <c:pt idx="0">
                  <c:v>0.9183</c:v>
                </c:pt>
                <c:pt idx="1">
                  <c:v>0.9245</c:v>
                </c:pt>
                <c:pt idx="2">
                  <c:v>0.9246</c:v>
                </c:pt>
                <c:pt idx="3">
                  <c:v>0.9353</c:v>
                </c:pt>
                <c:pt idx="4">
                  <c:v>0.9361</c:v>
                </c:pt>
              </c:numCache>
            </c:numRef>
          </c:val>
        </c:ser>
        <c:dLbls>
          <c:showLegendKey val="0"/>
          <c:showVal val="0"/>
          <c:showCatName val="0"/>
          <c:showSerName val="0"/>
          <c:showPercent val="0"/>
          <c:showBubbleSize val="0"/>
        </c:dLbls>
        <c:gapWidth val="182"/>
        <c:overlap val="0"/>
        <c:axId val="584355238"/>
        <c:axId val="572201371"/>
      </c:barChart>
      <c:catAx>
        <c:axId val="584355238"/>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2201371"/>
        <c:crosses val="autoZero"/>
        <c:auto val="1"/>
        <c:lblAlgn val="ctr"/>
        <c:lblOffset val="100"/>
        <c:noMultiLvlLbl val="0"/>
      </c:catAx>
      <c:valAx>
        <c:axId val="57220137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435523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'[21级省库.xlsx]筛选分析-专业是否对口 (计数)'!$B$1</c:f>
              <c:strCache>
                <c:ptCount val="1"/>
                <c:pt idx="0">
                  <c:v>专业是否对口 (计数)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1"/>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'[21级省库.xlsx]筛选分析-专业是否对口 (计数)'!$A$2:$A$3</c:f>
              <c:strCache>
                <c:ptCount val="2"/>
                <c:pt idx="0">
                  <c:v>是</c:v>
                </c:pt>
                <c:pt idx="1">
                  <c:v>否</c:v>
                </c:pt>
              </c:strCache>
            </c:strRef>
          </c:cat>
          <c:val>
            <c:numRef>
              <c:f>'[21级省库.xlsx]筛选分析-专业是否对口 (计数)'!$B$2:$B$3</c:f>
              <c:numCache>
                <c:formatCode>General</c:formatCode>
                <c:ptCount val="2"/>
                <c:pt idx="0">
                  <c:v>1638</c:v>
                </c:pt>
                <c:pt idx="1">
                  <c:v>413</c:v>
                </c:pt>
              </c:numCache>
            </c:numRef>
          </c:val>
        </c:ser>
        <c:dLbls>
          <c:showLegendKey val="0"/>
          <c:showVal val="0"/>
          <c:showCatName val="0"/>
          <c:showSerName val="0"/>
          <c:showPercent val="1"/>
          <c:showBubbleSize val="1"/>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dLbl>
              <c:idx val="0"/>
              <c:layout>
                <c:manualLayout>
                  <c:x val="0.270772740502204"/>
                  <c:y val="-0.04824325028385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满意95.14%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2"/>
                  <c:y val="-0.04444444444444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不满意4.86%</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'[2021就业率（本、终）.xls]满意度'!$A$3:$A$4</c:f>
              <c:strCache>
                <c:ptCount val="2"/>
                <c:pt idx="0">
                  <c:v>满意</c:v>
                </c:pt>
                <c:pt idx="1">
                  <c:v>不满意</c:v>
                </c:pt>
              </c:strCache>
            </c:strRef>
          </c:cat>
          <c:val>
            <c:numRef>
              <c:f>'[2021就业率（本、终）.xls]满意度'!$B$3:$B$4</c:f>
              <c:numCache>
                <c:formatCode>0.00%</c:formatCode>
                <c:ptCount val="2"/>
                <c:pt idx="0">
                  <c:v>0.9514</c:v>
                </c:pt>
                <c:pt idx="1">
                  <c:v>0.0486</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[21级毕业生信息.XLSX]Sheet1!$C$2:$C$4</c:f>
              <c:strCache>
                <c:ptCount val="3"/>
                <c:pt idx="0">
                  <c:v>2019届</c:v>
                </c:pt>
                <c:pt idx="1">
                  <c:v>2020届</c:v>
                </c:pt>
                <c:pt idx="2">
                  <c:v>2021届</c:v>
                </c:pt>
              </c:strCache>
            </c:strRef>
          </c:cat>
          <c:val>
            <c:numRef>
              <c:f>[21级毕业生信息.XLSX]Sheet1!$D$2:$D$4</c:f>
              <c:numCache>
                <c:formatCode>0.00%</c:formatCode>
                <c:ptCount val="3"/>
                <c:pt idx="0">
                  <c:v>0.6896</c:v>
                </c:pt>
                <c:pt idx="1">
                  <c:v>0.7757</c:v>
                </c:pt>
                <c:pt idx="2">
                  <c:v>0.9191</c:v>
                </c:pt>
              </c:numCache>
            </c:numRef>
          </c:val>
        </c:ser>
        <c:dLbls>
          <c:showLegendKey val="0"/>
          <c:showVal val="0"/>
          <c:showCatName val="0"/>
          <c:showSerName val="0"/>
          <c:showPercent val="0"/>
          <c:showBubbleSize val="0"/>
        </c:dLbls>
        <c:gapWidth val="219"/>
        <c:overlap val="-27"/>
        <c:axId val="960074690"/>
        <c:axId val="173035012"/>
      </c:barChart>
      <c:catAx>
        <c:axId val="9600746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035012"/>
        <c:crosses val="autoZero"/>
        <c:auto val="1"/>
        <c:lblAlgn val="ctr"/>
        <c:lblOffset val="100"/>
        <c:noMultiLvlLbl val="0"/>
      </c:catAx>
      <c:valAx>
        <c:axId val="1730350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07469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dLbls>
            <c:delete val="1"/>
          </c:dLbls>
          <c:cat>
            <c:strRef>
              <c:f>[21级毕业生信息.XLSX]Sheet1!$K$7:$K$12</c:f>
              <c:strCache>
                <c:ptCount val="6"/>
                <c:pt idx="0">
                  <c:v>医疗卫生单位</c:v>
                </c:pt>
                <c:pt idx="1">
                  <c:v>事业单位</c:v>
                </c:pt>
                <c:pt idx="2">
                  <c:v>教育单位</c:v>
                </c:pt>
                <c:pt idx="3">
                  <c:v>机关</c:v>
                </c:pt>
                <c:pt idx="4">
                  <c:v>国有企业</c:v>
                </c:pt>
                <c:pt idx="5">
                  <c:v>其他企业</c:v>
                </c:pt>
              </c:strCache>
            </c:strRef>
          </c:cat>
          <c:val>
            <c:numRef>
              <c:f>[21级毕业生信息.XLSX]Sheet1!$L$7:$L$12</c:f>
              <c:numCache>
                <c:formatCode>General</c:formatCode>
                <c:ptCount val="6"/>
                <c:pt idx="0">
                  <c:v>2</c:v>
                </c:pt>
                <c:pt idx="1">
                  <c:v>5</c:v>
                </c:pt>
                <c:pt idx="2">
                  <c:v>20</c:v>
                </c:pt>
                <c:pt idx="3">
                  <c:v>22</c:v>
                </c:pt>
                <c:pt idx="4">
                  <c:v>24</c:v>
                </c:pt>
                <c:pt idx="5">
                  <c:v>612</c:v>
                </c:pt>
              </c:numCache>
            </c:numRef>
          </c:val>
        </c:ser>
        <c:dLbls>
          <c:showLegendKey val="0"/>
          <c:showVal val="0"/>
          <c:showCatName val="0"/>
          <c:showSerName val="0"/>
          <c:showPercent val="0"/>
          <c:showBubbleSize val="0"/>
        </c:dLbls>
        <c:gapWidth val="150"/>
        <c:overlap val="100"/>
        <c:axId val="378022077"/>
        <c:axId val="828171635"/>
      </c:barChart>
      <c:catAx>
        <c:axId val="3780220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8171635"/>
        <c:crosses val="autoZero"/>
        <c:auto val="1"/>
        <c:lblAlgn val="ctr"/>
        <c:lblOffset val="100"/>
        <c:noMultiLvlLbl val="0"/>
      </c:catAx>
      <c:valAx>
        <c:axId val="8281716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802207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[21级毕业生信息.XLSX]Sheet1!$H$7</c:f>
              <c:strCache>
                <c:ptCount val="1"/>
                <c:pt idx="0">
                  <c:v>单位就业</c:v>
                </c:pt>
              </c:strCache>
            </c:strRef>
          </c:tx>
          <c:spPr>
            <a:solidFill>
              <a:schemeClr val="accent1"/>
            </a:solidFill>
            <a:ln>
              <a:noFill/>
            </a:ln>
            <a:effectLst/>
          </c:spPr>
          <c:invertIfNegative val="0"/>
          <c:dLbls>
            <c:delete val="1"/>
          </c:dLbls>
          <c:cat>
            <c:strRef>
              <c:f>[21级毕业生信息.XLSX]Sheet1!$I$6:$J$6</c:f>
              <c:strCache>
                <c:ptCount val="2"/>
                <c:pt idx="0">
                  <c:v>2020届</c:v>
                </c:pt>
                <c:pt idx="1">
                  <c:v>2021届</c:v>
                </c:pt>
              </c:strCache>
            </c:strRef>
          </c:cat>
          <c:val>
            <c:numRef>
              <c:f>[21级毕业生信息.XLSX]Sheet1!$I$7:$J$7</c:f>
              <c:numCache>
                <c:formatCode>0.00%</c:formatCode>
                <c:ptCount val="2"/>
                <c:pt idx="0">
                  <c:v>0.908</c:v>
                </c:pt>
                <c:pt idx="1">
                  <c:v>0.9305</c:v>
                </c:pt>
              </c:numCache>
            </c:numRef>
          </c:val>
        </c:ser>
        <c:ser>
          <c:idx val="1"/>
          <c:order val="1"/>
          <c:tx>
            <c:strRef>
              <c:f>[21级毕业生信息.XLSX]Sheet1!$H$8</c:f>
              <c:strCache>
                <c:ptCount val="1"/>
                <c:pt idx="0">
                  <c:v>升学</c:v>
                </c:pt>
              </c:strCache>
            </c:strRef>
          </c:tx>
          <c:spPr>
            <a:solidFill>
              <a:schemeClr val="accent2"/>
            </a:solidFill>
            <a:ln>
              <a:noFill/>
            </a:ln>
            <a:effectLst/>
          </c:spPr>
          <c:invertIfNegative val="0"/>
          <c:dLbls>
            <c:delete val="1"/>
          </c:dLbls>
          <c:cat>
            <c:strRef>
              <c:f>[21级毕业生信息.XLSX]Sheet1!$I$6:$J$6</c:f>
              <c:strCache>
                <c:ptCount val="2"/>
                <c:pt idx="0">
                  <c:v>2020届</c:v>
                </c:pt>
                <c:pt idx="1">
                  <c:v>2021届</c:v>
                </c:pt>
              </c:strCache>
            </c:strRef>
          </c:cat>
          <c:val>
            <c:numRef>
              <c:f>[21级毕业生信息.XLSX]Sheet1!$I$8:$J$8</c:f>
              <c:numCache>
                <c:formatCode>0.00%</c:formatCode>
                <c:ptCount val="2"/>
                <c:pt idx="0">
                  <c:v>0.092</c:v>
                </c:pt>
                <c:pt idx="1">
                  <c:v>0.0695</c:v>
                </c:pt>
              </c:numCache>
            </c:numRef>
          </c:val>
        </c:ser>
        <c:dLbls>
          <c:showLegendKey val="0"/>
          <c:showVal val="0"/>
          <c:showCatName val="0"/>
          <c:showSerName val="0"/>
          <c:showPercent val="0"/>
          <c:showBubbleSize val="0"/>
        </c:dLbls>
        <c:gapWidth val="219"/>
        <c:overlap val="-27"/>
        <c:axId val="281857446"/>
        <c:axId val="694948944"/>
      </c:barChart>
      <c:catAx>
        <c:axId val="2818574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948944"/>
        <c:crosses val="autoZero"/>
        <c:auto val="1"/>
        <c:lblAlgn val="ctr"/>
        <c:lblOffset val="100"/>
        <c:noMultiLvlLbl val="0"/>
      </c:catAx>
      <c:valAx>
        <c:axId val="694948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185744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dLbl>
              <c:idx val="0"/>
              <c:layout>
                <c:manualLayout>
                  <c:x val="0.192852784707324"/>
                  <c:y val="-0.025302070601523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满意89.84%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0510962110851"/>
                  <c:y val="0.0038944869631479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不满意10.16%</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'[2021就业率（本、终）.xls]满意度'!$A$15:$A$16</c:f>
              <c:strCache>
                <c:ptCount val="2"/>
                <c:pt idx="0">
                  <c:v>满意</c:v>
                </c:pt>
                <c:pt idx="1">
                  <c:v>不满意</c:v>
                </c:pt>
              </c:strCache>
            </c:strRef>
          </c:cat>
          <c:val>
            <c:numRef>
              <c:f>'[2021就业率（本、终）.xls]满意度'!$B$15:$B$16</c:f>
              <c:numCache>
                <c:formatCode>0.00%</c:formatCode>
                <c:ptCount val="2"/>
                <c:pt idx="0">
                  <c:v>0.8984</c:v>
                </c:pt>
                <c:pt idx="1">
                  <c:v>0.1016</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dLbl>
              <c:idx val="0"/>
              <c:layout>
                <c:manualLayout>
                  <c:x val="-0.00377827604820797"/>
                  <c:y val="-0.33029358234115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很好52.89%</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48567179275072"/>
                  <c:y val="-0.007254350591407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一般28.34%</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5"/>
                  <c:y val="-0.09444444444444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比较差3.19%</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92092431383344"/>
                  <c:y val="-0.066680993370758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比较好15.58%</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'[2021就业率（本、终）.xls]满意度'!$A$35:$A$38</c:f>
              <c:strCache>
                <c:ptCount val="4"/>
                <c:pt idx="0">
                  <c:v>很好</c:v>
                </c:pt>
                <c:pt idx="1">
                  <c:v>一般</c:v>
                </c:pt>
                <c:pt idx="2">
                  <c:v>比较差</c:v>
                </c:pt>
                <c:pt idx="3">
                  <c:v>比较好</c:v>
                </c:pt>
              </c:strCache>
            </c:strRef>
          </c:cat>
          <c:val>
            <c:numRef>
              <c:f>'[2021就业率（本、终）.xls]满意度'!$B$35:$B$38</c:f>
              <c:numCache>
                <c:formatCode>0.00%</c:formatCode>
                <c:ptCount val="4"/>
                <c:pt idx="0">
                  <c:v>0.5289</c:v>
                </c:pt>
                <c:pt idx="1">
                  <c:v>0.2834</c:v>
                </c:pt>
                <c:pt idx="2">
                  <c:v>0.0319</c:v>
                </c:pt>
                <c:pt idx="3">
                  <c:v>0.1558</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[21级毕业生信息.XLSX]Sheet1!$A$2:$A$3</c:f>
              <c:strCache>
                <c:ptCount val="2"/>
                <c:pt idx="0">
                  <c:v>省外生源</c:v>
                </c:pt>
                <c:pt idx="1">
                  <c:v>省内生源</c:v>
                </c:pt>
              </c:strCache>
            </c:strRef>
          </c:cat>
          <c:val>
            <c:numRef>
              <c:f>[21级毕业生信息.XLSX]Sheet1!$B$2:$B$3</c:f>
              <c:numCache>
                <c:formatCode>General</c:formatCode>
                <c:ptCount val="2"/>
                <c:pt idx="0">
                  <c:v>554</c:v>
                </c:pt>
                <c:pt idx="1">
                  <c:v>1497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dLbl>
              <c:idx val="0"/>
              <c:layout>
                <c:manualLayout>
                  <c:x val="0.158235546372533"/>
                  <c:y val="-0.0086002679583449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满意82.</a:t>
                    </a:r>
                    <a:r>
                      <a:rPr lang="en-US" altLang="zh-CN"/>
                      <a:t>81</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9778351955132"/>
                  <c:y val="-0.040803110990145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一般15.32%</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不满意</a:t>
                    </a:r>
                    <a:r>
                      <a:rPr lang="en-US" altLang="zh-CN"/>
                      <a:t>1.87</a:t>
                    </a:r>
                    <a:r>
                      <a:t>%</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[2020就业率.xls]其他图表!$A$23:$A$25</c:f>
              <c:strCache>
                <c:ptCount val="3"/>
                <c:pt idx="0">
                  <c:v>满意</c:v>
                </c:pt>
                <c:pt idx="1">
                  <c:v>一般</c:v>
                </c:pt>
                <c:pt idx="2">
                  <c:v>不满意</c:v>
                </c:pt>
              </c:strCache>
            </c:strRef>
          </c:cat>
          <c:val>
            <c:numRef>
              <c:f>[2020就业率.xls]其他图表!$B$23:$B$25</c:f>
              <c:numCache>
                <c:formatCode>0.00%</c:formatCode>
                <c:ptCount val="3"/>
                <c:pt idx="0">
                  <c:v>0.8251</c:v>
                </c:pt>
                <c:pt idx="1">
                  <c:v>0.1532</c:v>
                </c:pt>
                <c:pt idx="2">
                  <c:v>0.0217</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elete val="1"/>
          </c:dLbls>
          <c:cat>
            <c:strRef>
              <c:f>[2020就业率.xls]其他图表!$A$38:$A$55</c:f>
              <c:strCache>
                <c:ptCount val="18"/>
                <c:pt idx="0">
                  <c:v>外语能力</c:v>
                </c:pt>
                <c:pt idx="1">
                  <c:v>时间管理能力</c:v>
                </c:pt>
                <c:pt idx="2">
                  <c:v>创新能力</c:v>
                </c:pt>
                <c:pt idx="3">
                  <c:v>信息收集能力</c:v>
                </c:pt>
                <c:pt idx="4">
                  <c:v>领导能力</c:v>
                </c:pt>
                <c:pt idx="5">
                  <c:v>专业能力</c:v>
                </c:pt>
                <c:pt idx="6">
                  <c:v>组织与协调能力</c:v>
                </c:pt>
                <c:pt idx="7">
                  <c:v>分析能力</c:v>
                </c:pt>
                <c:pt idx="8">
                  <c:v>书面表达能力</c:v>
                </c:pt>
                <c:pt idx="9">
                  <c:v>自学能力</c:v>
                </c:pt>
                <c:pt idx="10">
                  <c:v>口头表达能力</c:v>
                </c:pt>
                <c:pt idx="11">
                  <c:v>动手能力</c:v>
                </c:pt>
                <c:pt idx="12">
                  <c:v>情绪管理能力</c:v>
                </c:pt>
                <c:pt idx="13">
                  <c:v>计算机应用能力</c:v>
                </c:pt>
                <c:pt idx="14">
                  <c:v>人际沟通能力</c:v>
                </c:pt>
                <c:pt idx="15">
                  <c:v>实干与执行能力</c:v>
                </c:pt>
                <c:pt idx="16">
                  <c:v>团队协作能力</c:v>
                </c:pt>
                <c:pt idx="17">
                  <c:v>问题解决能力</c:v>
                </c:pt>
              </c:strCache>
            </c:strRef>
          </c:cat>
          <c:val>
            <c:numRef>
              <c:f>[2020就业率.xls]其他图表!$B$38:$B$55</c:f>
              <c:numCache>
                <c:formatCode>General</c:formatCode>
                <c:ptCount val="18"/>
                <c:pt idx="0">
                  <c:v>4.16</c:v>
                </c:pt>
                <c:pt idx="1">
                  <c:v>6.12</c:v>
                </c:pt>
                <c:pt idx="2">
                  <c:v>6.23</c:v>
                </c:pt>
                <c:pt idx="3">
                  <c:v>6.31</c:v>
                </c:pt>
                <c:pt idx="4">
                  <c:v>6.37</c:v>
                </c:pt>
                <c:pt idx="5">
                  <c:v>6.47</c:v>
                </c:pt>
                <c:pt idx="6">
                  <c:v>6.51</c:v>
                </c:pt>
                <c:pt idx="7">
                  <c:v>6.53</c:v>
                </c:pt>
                <c:pt idx="8">
                  <c:v>6.57</c:v>
                </c:pt>
                <c:pt idx="9">
                  <c:v>6.89</c:v>
                </c:pt>
                <c:pt idx="10">
                  <c:v>6.97</c:v>
                </c:pt>
                <c:pt idx="11">
                  <c:v>7.07</c:v>
                </c:pt>
                <c:pt idx="12">
                  <c:v>7.15</c:v>
                </c:pt>
                <c:pt idx="13">
                  <c:v>7.23</c:v>
                </c:pt>
                <c:pt idx="14">
                  <c:v>7.25</c:v>
                </c:pt>
                <c:pt idx="15">
                  <c:v>7.28</c:v>
                </c:pt>
                <c:pt idx="16">
                  <c:v>7.33</c:v>
                </c:pt>
                <c:pt idx="17">
                  <c:v>7.43</c:v>
                </c:pt>
              </c:numCache>
            </c:numRef>
          </c:val>
        </c:ser>
        <c:dLbls>
          <c:showLegendKey val="0"/>
          <c:showVal val="0"/>
          <c:showCatName val="0"/>
          <c:showSerName val="0"/>
          <c:showPercent val="0"/>
          <c:showBubbleSize val="0"/>
        </c:dLbls>
        <c:gapWidth val="182"/>
        <c:overlap val="0"/>
        <c:axId val="470603668"/>
        <c:axId val="267160922"/>
      </c:barChart>
      <c:catAx>
        <c:axId val="470603668"/>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160922"/>
        <c:crosses val="autoZero"/>
        <c:auto val="1"/>
        <c:lblAlgn val="ctr"/>
        <c:lblOffset val="100"/>
        <c:noMultiLvlLbl val="0"/>
      </c:catAx>
      <c:valAx>
        <c:axId val="267160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06036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各学院就业率</a:t>
            </a:r>
            <a:endParaRPr b="1"/>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[21级毕业生信息.XLSX]Sheet1!$A$1:$A$4</c:f>
              <c:strCache>
                <c:ptCount val="4"/>
                <c:pt idx="0">
                  <c:v>商学院</c:v>
                </c:pt>
                <c:pt idx="1">
                  <c:v>电子工程学院</c:v>
                </c:pt>
                <c:pt idx="2">
                  <c:v>艺术设计学院</c:v>
                </c:pt>
                <c:pt idx="3">
                  <c:v>软件学院</c:v>
                </c:pt>
              </c:strCache>
            </c:strRef>
          </c:cat>
          <c:val>
            <c:numRef>
              <c:f>[21级毕业生信息.XLSX]Sheet1!$B$1:$B$4</c:f>
              <c:numCache>
                <c:formatCode>0.00%</c:formatCode>
                <c:ptCount val="4"/>
                <c:pt idx="0">
                  <c:v>0.9722</c:v>
                </c:pt>
                <c:pt idx="1">
                  <c:v>0.9665</c:v>
                </c:pt>
                <c:pt idx="2">
                  <c:v>0.9401</c:v>
                </c:pt>
                <c:pt idx="3">
                  <c:v>0.8962</c:v>
                </c:pt>
              </c:numCache>
            </c:numRef>
          </c:val>
        </c:ser>
        <c:dLbls>
          <c:showLegendKey val="0"/>
          <c:showVal val="0"/>
          <c:showCatName val="0"/>
          <c:showSerName val="0"/>
          <c:showPercent val="0"/>
          <c:showBubbleSize val="0"/>
        </c:dLbls>
        <c:gapWidth val="219"/>
        <c:overlap val="-27"/>
        <c:axId val="684775046"/>
        <c:axId val="66502564"/>
      </c:barChart>
      <c:catAx>
        <c:axId val="6847750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502564"/>
        <c:crosses val="autoZero"/>
        <c:auto val="1"/>
        <c:lblAlgn val="ctr"/>
        <c:lblOffset val="100"/>
        <c:noMultiLvlLbl val="0"/>
      </c:catAx>
      <c:valAx>
        <c:axId val="665025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477504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solidFill>
            <a:ln>
              <a:noFill/>
            </a:ln>
            <a:effectLst/>
          </c:spPr>
          <c:invertIfNegative val="0"/>
          <c:dLbls>
            <c:delete val="1"/>
          </c:dLbls>
          <c:cat>
            <c:strRef>
              <c:f>[21级毕业生信息.XLSX]Sheet1!$A$1:$A$14</c:f>
              <c:strCache>
                <c:ptCount val="14"/>
                <c:pt idx="0">
                  <c:v>大兴安岭</c:v>
                </c:pt>
                <c:pt idx="1">
                  <c:v>安达市</c:v>
                </c:pt>
                <c:pt idx="2">
                  <c:v>鹤岗市</c:v>
                </c:pt>
                <c:pt idx="3">
                  <c:v>伊春市</c:v>
                </c:pt>
                <c:pt idx="4">
                  <c:v>双鸭山市</c:v>
                </c:pt>
                <c:pt idx="5">
                  <c:v>鸡西市</c:v>
                </c:pt>
                <c:pt idx="6">
                  <c:v>七台河市</c:v>
                </c:pt>
                <c:pt idx="7">
                  <c:v>黑河市</c:v>
                </c:pt>
                <c:pt idx="8">
                  <c:v>牡丹江市</c:v>
                </c:pt>
                <c:pt idx="9">
                  <c:v>佳木斯市</c:v>
                </c:pt>
                <c:pt idx="10">
                  <c:v>绥化市</c:v>
                </c:pt>
                <c:pt idx="11">
                  <c:v>齐齐哈尔市</c:v>
                </c:pt>
                <c:pt idx="12">
                  <c:v>大庆市</c:v>
                </c:pt>
                <c:pt idx="13">
                  <c:v>哈尔滨市</c:v>
                </c:pt>
              </c:strCache>
            </c:strRef>
          </c:cat>
          <c:val>
            <c:numRef>
              <c:f>[21级毕业生信息.XLSX]Sheet1!$B$1:$B$14</c:f>
              <c:numCache>
                <c:formatCode>General</c:formatCode>
                <c:ptCount val="14"/>
                <c:pt idx="0">
                  <c:v>1</c:v>
                </c:pt>
                <c:pt idx="1">
                  <c:v>2</c:v>
                </c:pt>
                <c:pt idx="2">
                  <c:v>3</c:v>
                </c:pt>
                <c:pt idx="3">
                  <c:v>3</c:v>
                </c:pt>
                <c:pt idx="4">
                  <c:v>6</c:v>
                </c:pt>
                <c:pt idx="5">
                  <c:v>7</c:v>
                </c:pt>
                <c:pt idx="6">
                  <c:v>7</c:v>
                </c:pt>
                <c:pt idx="7">
                  <c:v>13</c:v>
                </c:pt>
                <c:pt idx="8">
                  <c:v>16</c:v>
                </c:pt>
                <c:pt idx="9">
                  <c:v>18</c:v>
                </c:pt>
                <c:pt idx="10">
                  <c:v>33</c:v>
                </c:pt>
                <c:pt idx="11">
                  <c:v>36</c:v>
                </c:pt>
                <c:pt idx="12">
                  <c:v>47</c:v>
                </c:pt>
                <c:pt idx="13">
                  <c:v>493</c:v>
                </c:pt>
              </c:numCache>
            </c:numRef>
          </c:val>
        </c:ser>
        <c:dLbls>
          <c:showLegendKey val="0"/>
          <c:showVal val="0"/>
          <c:showCatName val="0"/>
          <c:showSerName val="0"/>
          <c:showPercent val="0"/>
          <c:showBubbleSize val="0"/>
        </c:dLbls>
        <c:gapWidth val="150"/>
        <c:overlap val="100"/>
        <c:axId val="958697965"/>
        <c:axId val="894672961"/>
      </c:barChart>
      <c:catAx>
        <c:axId val="958697965"/>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4672961"/>
        <c:crosses val="autoZero"/>
        <c:auto val="1"/>
        <c:lblAlgn val="ctr"/>
        <c:lblOffset val="100"/>
        <c:noMultiLvlLbl val="0"/>
      </c:catAx>
      <c:valAx>
        <c:axId val="89467296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869796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[21级毕业生信息.XLSX]Sheet1!$A$2:$A$3</c:f>
              <c:strCache>
                <c:ptCount val="2"/>
                <c:pt idx="0">
                  <c:v>省内工作</c:v>
                </c:pt>
                <c:pt idx="1">
                  <c:v>省外工作</c:v>
                </c:pt>
              </c:strCache>
            </c:strRef>
          </c:cat>
          <c:val>
            <c:numRef>
              <c:f>[21级毕业生信息.XLSX]Sheet1!$B$2:$B$3</c:f>
              <c:numCache>
                <c:formatCode>General</c:formatCode>
                <c:ptCount val="2"/>
                <c:pt idx="0">
                  <c:v>685</c:v>
                </c:pt>
                <c:pt idx="1">
                  <c:v>1200</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solidFill>
            <a:ln>
              <a:noFill/>
            </a:ln>
            <a:effectLst/>
          </c:spPr>
          <c:invertIfNegative val="0"/>
          <c:dLbls>
            <c:delete val="1"/>
          </c:dLbls>
          <c:cat>
            <c:strRef>
              <c:f>[21级毕业生信息.XLSX]Sheet1!$A$1:$A$14</c:f>
              <c:strCache>
                <c:ptCount val="14"/>
                <c:pt idx="0">
                  <c:v>西部计划</c:v>
                </c:pt>
                <c:pt idx="1">
                  <c:v>自主创业</c:v>
                </c:pt>
                <c:pt idx="2">
                  <c:v>科研设计单位</c:v>
                </c:pt>
                <c:pt idx="3">
                  <c:v>事业单位</c:v>
                </c:pt>
                <c:pt idx="4">
                  <c:v>医疗卫生单位</c:v>
                </c:pt>
                <c:pt idx="5">
                  <c:v>中初教育单位</c:v>
                </c:pt>
                <c:pt idx="6">
                  <c:v>高等教育单位</c:v>
                </c:pt>
                <c:pt idx="7">
                  <c:v>三资企业</c:v>
                </c:pt>
                <c:pt idx="8">
                  <c:v>机关</c:v>
                </c:pt>
                <c:pt idx="9">
                  <c:v>自由职业</c:v>
                </c:pt>
                <c:pt idx="10">
                  <c:v>应征义务兵</c:v>
                </c:pt>
                <c:pt idx="11">
                  <c:v>国有企业</c:v>
                </c:pt>
                <c:pt idx="12">
                  <c:v>升学（含出国深造）</c:v>
                </c:pt>
                <c:pt idx="13">
                  <c:v>私营企业</c:v>
                </c:pt>
              </c:strCache>
            </c:strRef>
          </c:cat>
          <c:val>
            <c:numRef>
              <c:f>[21级毕业生信息.XLSX]Sheet1!$B$1:$B$14</c:f>
              <c:numCache>
                <c:formatCode>General</c:formatCode>
                <c:ptCount val="14"/>
                <c:pt idx="0">
                  <c:v>2</c:v>
                </c:pt>
                <c:pt idx="1">
                  <c:v>3</c:v>
                </c:pt>
                <c:pt idx="2">
                  <c:v>3</c:v>
                </c:pt>
                <c:pt idx="3">
                  <c:v>7</c:v>
                </c:pt>
                <c:pt idx="4">
                  <c:v>5</c:v>
                </c:pt>
                <c:pt idx="5">
                  <c:v>11</c:v>
                </c:pt>
                <c:pt idx="6">
                  <c:v>13</c:v>
                </c:pt>
                <c:pt idx="7">
                  <c:v>25</c:v>
                </c:pt>
                <c:pt idx="8">
                  <c:v>29</c:v>
                </c:pt>
                <c:pt idx="9">
                  <c:v>45</c:v>
                </c:pt>
                <c:pt idx="10">
                  <c:v>55</c:v>
                </c:pt>
                <c:pt idx="11">
                  <c:v>67</c:v>
                </c:pt>
                <c:pt idx="12">
                  <c:v>132</c:v>
                </c:pt>
                <c:pt idx="13">
                  <c:v>1488</c:v>
                </c:pt>
              </c:numCache>
            </c:numRef>
          </c:val>
        </c:ser>
        <c:dLbls>
          <c:showLegendKey val="0"/>
          <c:showVal val="0"/>
          <c:showCatName val="0"/>
          <c:showSerName val="0"/>
          <c:showPercent val="0"/>
          <c:showBubbleSize val="0"/>
        </c:dLbls>
        <c:gapWidth val="150"/>
        <c:overlap val="100"/>
        <c:axId val="721948412"/>
        <c:axId val="79786005"/>
      </c:barChart>
      <c:catAx>
        <c:axId val="72194841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786005"/>
        <c:crosses val="autoZero"/>
        <c:auto val="1"/>
        <c:lblAlgn val="ctr"/>
        <c:lblOffset val="100"/>
        <c:noMultiLvlLbl val="0"/>
      </c:catAx>
      <c:valAx>
        <c:axId val="7978600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19484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solidFill>
            <a:ln>
              <a:noFill/>
            </a:ln>
            <a:effectLst/>
          </c:spPr>
          <c:invertIfNegative val="0"/>
          <c:dLbls>
            <c:delete val="1"/>
          </c:dLbls>
          <c:cat>
            <c:strRef>
              <c:f>[21级毕业生信息.XLSX]Sheet1!$A$5:$A$23</c:f>
              <c:strCache>
                <c:ptCount val="19"/>
                <c:pt idx="0">
                  <c:v>采矿业</c:v>
                </c:pt>
                <c:pt idx="1">
                  <c:v>水利、环境和公共设施管理业</c:v>
                </c:pt>
                <c:pt idx="2">
                  <c:v>卫生和社会工作</c:v>
                </c:pt>
                <c:pt idx="3">
                  <c:v>电力、热力、燃气及水生产和供应业</c:v>
                </c:pt>
                <c:pt idx="4">
                  <c:v>住宿和餐饮业</c:v>
                </c:pt>
                <c:pt idx="5">
                  <c:v>科学研究和技术服务业</c:v>
                </c:pt>
                <c:pt idx="6">
                  <c:v>农、林、牧、渔业</c:v>
                </c:pt>
                <c:pt idx="7">
                  <c:v>金融业</c:v>
                </c:pt>
                <c:pt idx="8">
                  <c:v>公共管理、社会保障和社会组织</c:v>
                </c:pt>
                <c:pt idx="9">
                  <c:v>房地产业</c:v>
                </c:pt>
                <c:pt idx="10">
                  <c:v>交通运输、仓储和邮政业</c:v>
                </c:pt>
                <c:pt idx="11">
                  <c:v>租赁和商务服务业</c:v>
                </c:pt>
                <c:pt idx="12">
                  <c:v>居民服务、修理和其他服务业</c:v>
                </c:pt>
                <c:pt idx="13">
                  <c:v>教育</c:v>
                </c:pt>
                <c:pt idx="14">
                  <c:v>制造业</c:v>
                </c:pt>
                <c:pt idx="15">
                  <c:v>文化、体育和娱乐业</c:v>
                </c:pt>
                <c:pt idx="16">
                  <c:v>建筑业</c:v>
                </c:pt>
                <c:pt idx="17">
                  <c:v>批发和零售业</c:v>
                </c:pt>
                <c:pt idx="18">
                  <c:v>信息传输、软件和信息技术服务业</c:v>
                </c:pt>
              </c:strCache>
            </c:strRef>
          </c:cat>
          <c:val>
            <c:numRef>
              <c:f>[21级毕业生信息.XLSX]Sheet1!$B$5:$B$23</c:f>
              <c:numCache>
                <c:formatCode>General</c:formatCode>
                <c:ptCount val="19"/>
                <c:pt idx="0">
                  <c:v>4</c:v>
                </c:pt>
                <c:pt idx="1">
                  <c:v>5</c:v>
                </c:pt>
                <c:pt idx="2">
                  <c:v>9</c:v>
                </c:pt>
                <c:pt idx="3">
                  <c:v>13</c:v>
                </c:pt>
                <c:pt idx="4">
                  <c:v>16</c:v>
                </c:pt>
                <c:pt idx="5">
                  <c:v>22</c:v>
                </c:pt>
                <c:pt idx="6">
                  <c:v>22</c:v>
                </c:pt>
                <c:pt idx="7">
                  <c:v>30</c:v>
                </c:pt>
                <c:pt idx="8">
                  <c:v>32</c:v>
                </c:pt>
                <c:pt idx="9">
                  <c:v>36</c:v>
                </c:pt>
                <c:pt idx="10">
                  <c:v>51</c:v>
                </c:pt>
                <c:pt idx="11">
                  <c:v>51</c:v>
                </c:pt>
                <c:pt idx="12">
                  <c:v>60</c:v>
                </c:pt>
                <c:pt idx="13">
                  <c:v>77</c:v>
                </c:pt>
                <c:pt idx="14">
                  <c:v>87</c:v>
                </c:pt>
                <c:pt idx="15">
                  <c:v>93</c:v>
                </c:pt>
                <c:pt idx="16">
                  <c:v>120</c:v>
                </c:pt>
                <c:pt idx="17">
                  <c:v>134</c:v>
                </c:pt>
                <c:pt idx="18">
                  <c:v>789</c:v>
                </c:pt>
              </c:numCache>
            </c:numRef>
          </c:val>
        </c:ser>
        <c:dLbls>
          <c:showLegendKey val="0"/>
          <c:showVal val="0"/>
          <c:showCatName val="0"/>
          <c:showSerName val="0"/>
          <c:showPercent val="0"/>
          <c:showBubbleSize val="0"/>
        </c:dLbls>
        <c:gapWidth val="150"/>
        <c:overlap val="100"/>
        <c:axId val="230480632"/>
        <c:axId val="823211540"/>
      </c:barChart>
      <c:catAx>
        <c:axId val="23048063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3211540"/>
        <c:crosses val="autoZero"/>
        <c:auto val="1"/>
        <c:lblAlgn val="ctr"/>
        <c:lblOffset val="100"/>
        <c:noMultiLvlLbl val="0"/>
      </c:catAx>
      <c:valAx>
        <c:axId val="8232115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480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1"/>
            </a:solidFill>
            <a:ln>
              <a:noFill/>
            </a:ln>
            <a:effectLst/>
          </c:spPr>
          <c:invertIfNegative val="0"/>
          <c:dLbls>
            <c:delete val="1"/>
          </c:dLbls>
          <c:cat>
            <c:strRef>
              <c:f>[21级毕业生信息.XLSX]Sheet1!$A$7:$A$12</c:f>
              <c:strCache>
                <c:ptCount val="6"/>
                <c:pt idx="0">
                  <c:v>办事人员和有关人员</c:v>
                </c:pt>
                <c:pt idx="1">
                  <c:v>教学人员</c:v>
                </c:pt>
                <c:pt idx="2">
                  <c:v>商业和服务业人员</c:v>
                </c:pt>
                <c:pt idx="3">
                  <c:v>工程技术人员</c:v>
                </c:pt>
                <c:pt idx="4">
                  <c:v>其他专业技术人员</c:v>
                </c:pt>
                <c:pt idx="5">
                  <c:v>其他人员</c:v>
                </c:pt>
              </c:strCache>
            </c:strRef>
          </c:cat>
          <c:val>
            <c:numRef>
              <c:f>[21级毕业生信息.XLSX]Sheet1!$B$7:$B$12</c:f>
              <c:numCache>
                <c:formatCode>General</c:formatCode>
                <c:ptCount val="6"/>
                <c:pt idx="0">
                  <c:v>48</c:v>
                </c:pt>
                <c:pt idx="1">
                  <c:v>49</c:v>
                </c:pt>
                <c:pt idx="2">
                  <c:v>160</c:v>
                </c:pt>
                <c:pt idx="3">
                  <c:v>336</c:v>
                </c:pt>
                <c:pt idx="4">
                  <c:v>421</c:v>
                </c:pt>
                <c:pt idx="5">
                  <c:v>538</c:v>
                </c:pt>
              </c:numCache>
            </c:numRef>
          </c:val>
        </c:ser>
        <c:dLbls>
          <c:showLegendKey val="0"/>
          <c:showVal val="0"/>
          <c:showCatName val="0"/>
          <c:showSerName val="0"/>
          <c:showPercent val="0"/>
          <c:showBubbleSize val="0"/>
        </c:dLbls>
        <c:gapWidth val="150"/>
        <c:overlap val="100"/>
        <c:axId val="885259029"/>
        <c:axId val="101969316"/>
      </c:barChart>
      <c:catAx>
        <c:axId val="885259029"/>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1969316"/>
        <c:crosses val="autoZero"/>
        <c:auto val="1"/>
        <c:lblAlgn val="ctr"/>
        <c:lblOffset val="100"/>
        <c:noMultiLvlLbl val="0"/>
      </c:catAx>
      <c:valAx>
        <c:axId val="1019693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52590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elete val="1"/>
          </c:dLbls>
          <c:cat>
            <c:strRef>
              <c:f>'[2019就业率(终).xlsx]就业指导服务'!$A$2:$A$8</c:f>
              <c:strCache>
                <c:ptCount val="7"/>
                <c:pt idx="0">
                  <c:v>校园招聘会</c:v>
                </c:pt>
                <c:pt idx="1">
                  <c:v>招聘信息发布</c:v>
                </c:pt>
                <c:pt idx="2">
                  <c:v>就业帮扶与推介</c:v>
                </c:pt>
                <c:pt idx="3">
                  <c:v>就业手续办理</c:v>
                </c:pt>
                <c:pt idx="4">
                  <c:v>职业咨询与辅导</c:v>
                </c:pt>
                <c:pt idx="5">
                  <c:v>就业实习/实践</c:v>
                </c:pt>
                <c:pt idx="6">
                  <c:v>就业指导课</c:v>
                </c:pt>
              </c:strCache>
            </c:strRef>
          </c:cat>
          <c:val>
            <c:numRef>
              <c:f>'[2019就业率(终).xlsx]就业指导服务'!$B$2:$B$8</c:f>
              <c:numCache>
                <c:formatCode>0.00%</c:formatCode>
                <c:ptCount val="7"/>
                <c:pt idx="0">
                  <c:v>0.8859</c:v>
                </c:pt>
                <c:pt idx="1">
                  <c:v>0.9049</c:v>
                </c:pt>
                <c:pt idx="2">
                  <c:v>0.9122</c:v>
                </c:pt>
                <c:pt idx="3">
                  <c:v>0.9198</c:v>
                </c:pt>
                <c:pt idx="4">
                  <c:v>0.9237</c:v>
                </c:pt>
                <c:pt idx="5">
                  <c:v>0.9394</c:v>
                </c:pt>
                <c:pt idx="6">
                  <c:v>0.947</c:v>
                </c:pt>
              </c:numCache>
            </c:numRef>
          </c:val>
        </c:ser>
        <c:dLbls>
          <c:showLegendKey val="0"/>
          <c:showVal val="0"/>
          <c:showCatName val="0"/>
          <c:showSerName val="0"/>
          <c:showPercent val="0"/>
          <c:showBubbleSize val="0"/>
        </c:dLbls>
        <c:gapWidth val="182"/>
        <c:overlap val="0"/>
        <c:axId val="117918491"/>
        <c:axId val="979340212"/>
      </c:barChart>
      <c:catAx>
        <c:axId val="117918491"/>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9340212"/>
        <c:crosses val="autoZero"/>
        <c:auto val="1"/>
        <c:lblAlgn val="ctr"/>
        <c:lblOffset val="100"/>
        <c:noMultiLvlLbl val="0"/>
      </c:catAx>
      <c:valAx>
        <c:axId val="9793402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9184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2234</Words>
  <Characters>12740</Characters>
  <Lines>106</Lines>
  <Paragraphs>29</Paragraphs>
  <TotalTime>3</TotalTime>
  <ScaleCrop>false</ScaleCrop>
  <LinksUpToDate>false</LinksUpToDate>
  <CharactersWithSpaces>14945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赵妍</cp:lastModifiedBy>
  <dcterms:modified xsi:type="dcterms:W3CDTF">2022-01-19T02:09:03Z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004C3031093B479C894220E18AECACE8</vt:lpwstr>
  </property>
</Properties>
</file>