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
        <w:ind w:firstLine="0" w:firstLineChars="0"/>
        <w:jc w:val="center"/>
        <w:rPr>
          <w:sz w:val="44"/>
        </w:rPr>
      </w:pPr>
      <w:bookmarkStart w:id="267" w:name="_GoBack"/>
      <w:bookmarkEnd w:id="267"/>
      <w:r>
        <w:rPr>
          <w:sz w:val="44"/>
        </w:rPr>
        <w:drawing>
          <wp:anchor distT="0" distB="0" distL="114300" distR="114300" simplePos="0" relativeHeight="251663360" behindDoc="0" locked="0" layoutInCell="1" allowOverlap="1">
            <wp:simplePos x="0" y="0"/>
            <wp:positionH relativeFrom="page">
              <wp:posOffset>-7527290</wp:posOffset>
            </wp:positionH>
            <wp:positionV relativeFrom="paragraph">
              <wp:posOffset>-923925</wp:posOffset>
            </wp:positionV>
            <wp:extent cx="15062200" cy="10715625"/>
            <wp:effectExtent l="0" t="0" r="635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62443" cy="10715625"/>
                    </a:xfrm>
                    <a:prstGeom prst="rect">
                      <a:avLst/>
                    </a:prstGeom>
                  </pic:spPr>
                </pic:pic>
              </a:graphicData>
            </a:graphic>
          </wp:anchor>
        </w:drawing>
      </w:r>
    </w:p>
    <w:p>
      <w:pPr>
        <w:spacing w:before="48"/>
        <w:ind w:firstLine="0" w:firstLineChars="0"/>
        <w:jc w:val="center"/>
        <w:rPr>
          <w:sz w:val="44"/>
        </w:rPr>
      </w:pPr>
    </w:p>
    <w:p>
      <w:pPr>
        <w:spacing w:before="48"/>
        <w:ind w:firstLine="0" w:firstLineChars="0"/>
        <w:jc w:val="center"/>
        <w:rPr>
          <w:b/>
          <w:bCs/>
          <w:sz w:val="52"/>
          <w:szCs w:val="52"/>
        </w:rPr>
      </w:pPr>
      <w:r>
        <w:rPr>
          <w:b/>
          <w:bCs/>
          <w:sz w:val="52"/>
          <w:szCs w:val="52"/>
        </w:rPr>
        <w:t>湖南理工学院</w:t>
      </w:r>
      <w:r>
        <w:rPr>
          <w:b/>
          <w:bCs/>
          <w:sz w:val="44"/>
          <w:szCs w:val="52"/>
        </w:rPr>
        <mc:AlternateContent>
          <mc:Choice Requires="wps">
            <w:drawing>
              <wp:anchor distT="0" distB="0" distL="114300" distR="114300" simplePos="0" relativeHeight="251659264" behindDoc="0" locked="0" layoutInCell="1" allowOverlap="1">
                <wp:simplePos x="0" y="0"/>
                <wp:positionH relativeFrom="column">
                  <wp:posOffset>142240</wp:posOffset>
                </wp:positionH>
                <wp:positionV relativeFrom="paragraph">
                  <wp:posOffset>585470</wp:posOffset>
                </wp:positionV>
                <wp:extent cx="5229225" cy="0"/>
                <wp:effectExtent l="0" t="0" r="0" b="0"/>
                <wp:wrapNone/>
                <wp:docPr id="3" name="Straight Connector 9"/>
                <wp:cNvGraphicFramePr/>
                <a:graphic xmlns:a="http://schemas.openxmlformats.org/drawingml/2006/main">
                  <a:graphicData uri="http://schemas.microsoft.com/office/word/2010/wordprocessingShape">
                    <wps:wsp>
                      <wps:cNvCnPr/>
                      <wps:spPr bwMode="auto">
                        <a:xfrm>
                          <a:off x="0" y="0"/>
                          <a:ext cx="5229225" cy="0"/>
                        </a:xfrm>
                        <a:prstGeom prst="line">
                          <a:avLst/>
                        </a:prstGeom>
                        <a:noFill/>
                        <a:ln w="19050">
                          <a:solidFill>
                            <a:srgbClr val="000000"/>
                          </a:solidFill>
                          <a:round/>
                        </a:ln>
                      </wps:spPr>
                      <wps:bodyPr/>
                    </wps:wsp>
                  </a:graphicData>
                </a:graphic>
              </wp:anchor>
            </w:drawing>
          </mc:Choice>
          <mc:Fallback>
            <w:pict>
              <v:line id="Straight Connector 9" o:spid="_x0000_s1026" o:spt="20" style="position:absolute;left:0pt;margin-left:11.2pt;margin-top:46.1pt;height:0pt;width:411.75pt;z-index:251659264;mso-width-relative:page;mso-height-relative:page;" filled="f" stroked="t" coordsize="21600,21600" o:gfxdata="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rQGs1QAAAAgBAAAPAAAAAAAAAAEAIAAAACIAAABkcnMvZG93bnJldi54bWxQSwECFAAUAAAA&#10;CACHTuJAmxM6C7gBAAB8AwAADgAAAAAAAAABACAAAAAkAQAAZHJzL2Uyb0RvYy54bWxQSwUGAAAA&#10;AAYABgBZAQAATgUAAAAA&#10;">
                <v:fill on="f" focussize="0,0"/>
                <v:stroke weight="1.5pt" color="#000000" joinstyle="round"/>
                <v:imagedata o:title=""/>
                <o:lock v:ext="edit" aspectratio="f"/>
              </v:line>
            </w:pict>
          </mc:Fallback>
        </mc:AlternateContent>
      </w:r>
    </w:p>
    <w:p>
      <w:pPr>
        <w:spacing w:before="48"/>
        <w:ind w:firstLine="0" w:firstLineChars="0"/>
        <w:jc w:val="center"/>
        <w:rPr>
          <w:b/>
          <w:bCs/>
          <w:sz w:val="44"/>
          <w:szCs w:val="52"/>
        </w:rPr>
      </w:pPr>
      <w:bookmarkStart w:id="0" w:name="_Hlk529628889"/>
      <w:bookmarkEnd w:id="0"/>
      <w:r>
        <w:rPr>
          <w:b/>
          <w:bCs/>
          <w:sz w:val="44"/>
          <w:szCs w:val="52"/>
        </w:rPr>
        <w:t>2020届毕业生就业质量年度报告</w:t>
      </w: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44"/>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rPr>
          <w:sz w:val="44"/>
        </w:rPr>
      </w:pPr>
    </w:p>
    <w:p>
      <w:pPr>
        <w:spacing w:line="240" w:lineRule="auto"/>
        <w:ind w:firstLine="0" w:firstLineChars="0"/>
        <w:jc w:val="left"/>
        <w:rPr>
          <w:sz w:val="44"/>
        </w:rPr>
      </w:pPr>
    </w:p>
    <w:p>
      <w:pPr>
        <w:spacing w:before="48"/>
        <w:ind w:firstLine="0" w:firstLineChars="0"/>
        <w:jc w:val="center"/>
        <w:rPr>
          <w:sz w:val="32"/>
          <w:szCs w:val="28"/>
        </w:rPr>
      </w:pPr>
      <w:r>
        <w:rPr>
          <w:sz w:val="32"/>
          <w:szCs w:val="28"/>
        </w:rPr>
        <w:t>2020年12月</w:t>
      </w:r>
    </w:p>
    <w:p>
      <w:pPr>
        <w:spacing w:before="48"/>
        <w:ind w:firstLine="0" w:firstLineChars="0"/>
        <w:jc w:val="center"/>
        <w:rPr>
          <w:sz w:val="32"/>
          <w:szCs w:val="28"/>
        </w:rPr>
      </w:pPr>
    </w:p>
    <w:p>
      <w:pPr>
        <w:spacing w:before="48"/>
        <w:ind w:firstLine="0" w:firstLineChars="0"/>
        <w:jc w:val="center"/>
        <w:rPr>
          <w:sz w:val="32"/>
          <w:szCs w:val="28"/>
        </w:rPr>
      </w:pPr>
    </w:p>
    <w:p>
      <w:pPr>
        <w:spacing w:before="48"/>
        <w:ind w:firstLine="0" w:firstLineChars="0"/>
        <w:jc w:val="center"/>
        <w:rPr>
          <w:sz w:val="32"/>
          <w:szCs w:val="28"/>
        </w:rPr>
      </w:pPr>
    </w:p>
    <w:p>
      <w:pPr>
        <w:pStyle w:val="2"/>
      </w:pPr>
      <w:bookmarkStart w:id="1" w:name="_Toc61594304"/>
      <w:bookmarkStart w:id="2" w:name="_Toc59184299"/>
      <w:bookmarkStart w:id="3" w:name="_Toc59462776"/>
      <w:bookmarkStart w:id="4" w:name="_Toc59528585"/>
      <w:bookmarkStart w:id="5" w:name="_Toc59472076"/>
      <w:bookmarkStart w:id="6" w:name="_Toc59462685"/>
      <w:bookmarkStart w:id="7" w:name="_Toc59528686"/>
      <w:r>
        <w:t>前言</w:t>
      </w:r>
      <w:bookmarkEnd w:id="1"/>
      <w:bookmarkEnd w:id="2"/>
      <w:bookmarkEnd w:id="3"/>
      <w:bookmarkEnd w:id="4"/>
      <w:bookmarkEnd w:id="5"/>
      <w:bookmarkEnd w:id="6"/>
      <w:bookmarkEnd w:id="7"/>
    </w:p>
    <w:p>
      <w:pPr>
        <w:spacing w:before="48" w:line="300" w:lineRule="auto"/>
        <w:ind w:firstLine="420"/>
      </w:pPr>
      <w:r>
        <w:t>根据《教育部关于应对新冠肺炎疫情做好2020届全国普通高等学校毕业生就业创业工作的通知》（教学〔2020〕2号）、《教育部办公厅关于编制发布高校毕业生就业质量年度报告的通知》（教学厅函</w:t>
      </w:r>
      <w:r>
        <w:rPr>
          <w:color w:val="000000"/>
        </w:rPr>
        <w:t>〔</w:t>
      </w:r>
      <w:r>
        <w:t>2013</w:t>
      </w:r>
      <w:r>
        <w:rPr>
          <w:color w:val="000000"/>
        </w:rPr>
        <w:t>〕</w:t>
      </w:r>
      <w:r>
        <w:t>25号）等文件要求，学校联合第三方机构长沙市云研云数科技有限公司共同编制2020届毕业就业质量年度报告。</w:t>
      </w:r>
    </w:p>
    <w:p>
      <w:pPr>
        <w:spacing w:before="156" w:beforeLines="50" w:line="300" w:lineRule="auto"/>
        <w:ind w:firstLine="420"/>
      </w:pPr>
      <w:r>
        <w:t>本报告的主要内容包括毕业生生源与毕业去向、毕业生就业创业工作举措、毕业生就业质量分析、毕业生求职行为分析、母校评价、社会评价、就业变化趋势分析以及总结八部分。</w:t>
      </w:r>
    </w:p>
    <w:p>
      <w:pPr>
        <w:spacing w:before="156" w:beforeLines="50" w:line="300" w:lineRule="auto"/>
        <w:ind w:firstLine="420"/>
        <w:rPr>
          <w:szCs w:val="21"/>
        </w:rPr>
      </w:pPr>
      <w:r>
        <w:rPr>
          <w:szCs w:val="21"/>
        </w:rPr>
        <w:t>本报告数据主要来源于：</w:t>
      </w:r>
    </w:p>
    <w:p>
      <w:pPr>
        <w:spacing w:before="156" w:beforeLines="50" w:line="300" w:lineRule="auto"/>
        <w:ind w:firstLine="422"/>
        <w:rPr>
          <w:b/>
          <w:szCs w:val="21"/>
        </w:rPr>
      </w:pPr>
      <w:r>
        <w:rPr>
          <w:b/>
          <w:color w:val="000000"/>
          <w:szCs w:val="21"/>
        </w:rPr>
        <w:t>1．湖南省大中专学校学生信息咨询与就业指导中心2020届毕业</w:t>
      </w:r>
      <w:r>
        <w:rPr>
          <w:b/>
          <w:szCs w:val="21"/>
        </w:rPr>
        <w:t>生派遣数据库</w:t>
      </w:r>
    </w:p>
    <w:p>
      <w:pPr>
        <w:spacing w:before="156" w:beforeLines="50" w:line="300" w:lineRule="auto"/>
        <w:ind w:firstLine="420"/>
      </w:pPr>
      <w:r>
        <w:t>数据统计截至2020年12月</w:t>
      </w:r>
      <w:r>
        <w:rPr>
          <w:rFonts w:hint="eastAsia"/>
        </w:rPr>
        <w:t>15</w:t>
      </w:r>
      <w:r>
        <w:t>日</w:t>
      </w:r>
      <w:r>
        <w:rPr>
          <w:rFonts w:hint="eastAsia"/>
          <w:lang w:eastAsia="zh-CN"/>
        </w:rPr>
        <w:t>（</w:t>
      </w:r>
      <w:r>
        <w:rPr>
          <w:rFonts w:hint="eastAsia"/>
          <w:lang w:val="en-US" w:eastAsia="zh-CN"/>
        </w:rPr>
        <w:t>非年终就业率，年终就业率为90.03%</w:t>
      </w:r>
      <w:r>
        <w:rPr>
          <w:rFonts w:hint="eastAsia"/>
          <w:lang w:eastAsia="zh-CN"/>
        </w:rPr>
        <w:t>）</w:t>
      </w:r>
      <w:r>
        <w:t>，主要涵盖2020届毕业生就业派遣信息。数据分析为全样本分析，数据使用主要涉及毕业生就业基本情况。</w:t>
      </w:r>
    </w:p>
    <w:p>
      <w:pPr>
        <w:spacing w:before="156" w:beforeLines="50" w:line="300" w:lineRule="auto"/>
        <w:ind w:firstLine="422"/>
        <w:rPr>
          <w:b/>
          <w:szCs w:val="21"/>
        </w:rPr>
      </w:pPr>
      <w:r>
        <w:rPr>
          <w:b/>
          <w:szCs w:val="21"/>
        </w:rPr>
        <w:t>2．</w:t>
      </w:r>
      <w:r>
        <w:rPr>
          <w:rFonts w:ascii="宋体" w:hAnsi="宋体"/>
          <w:b/>
          <w:color w:val="000000"/>
          <w:szCs w:val="21"/>
        </w:rPr>
        <w:t>“</w:t>
      </w:r>
      <w:r>
        <w:rPr>
          <w:b/>
          <w:color w:val="000000"/>
          <w:szCs w:val="21"/>
        </w:rPr>
        <w:t>湖南省普通高校</w:t>
      </w:r>
      <w:r>
        <w:rPr>
          <w:b/>
          <w:szCs w:val="21"/>
        </w:rPr>
        <w:t>2020届毕业生就业创业指导服务评价调研问卷</w:t>
      </w:r>
      <w:r>
        <w:rPr>
          <w:rFonts w:ascii="宋体" w:hAnsi="宋体"/>
          <w:b/>
          <w:szCs w:val="21"/>
        </w:rPr>
        <w:t>”</w:t>
      </w:r>
      <w:r>
        <w:rPr>
          <w:b/>
          <w:szCs w:val="21"/>
        </w:rPr>
        <w:t>、</w:t>
      </w:r>
      <w:r>
        <w:rPr>
          <w:rFonts w:ascii="宋体" w:hAnsi="宋体"/>
          <w:b/>
          <w:color w:val="000000"/>
          <w:szCs w:val="21"/>
        </w:rPr>
        <w:t>“</w:t>
      </w:r>
      <w:r>
        <w:rPr>
          <w:b/>
          <w:color w:val="000000"/>
          <w:szCs w:val="21"/>
        </w:rPr>
        <w:t>湖南省普通高校</w:t>
      </w:r>
      <w:r>
        <w:rPr>
          <w:b/>
          <w:szCs w:val="21"/>
        </w:rPr>
        <w:t>2020届毕业生就业质量调研问卷</w:t>
      </w:r>
      <w:r>
        <w:rPr>
          <w:rFonts w:ascii="宋体" w:hAnsi="宋体"/>
          <w:b/>
          <w:szCs w:val="21"/>
        </w:rPr>
        <w:t>”</w:t>
      </w:r>
      <w:r>
        <w:rPr>
          <w:b/>
          <w:szCs w:val="21"/>
        </w:rPr>
        <w:t>中湖南理工学院</w:t>
      </w:r>
    </w:p>
    <w:p>
      <w:pPr>
        <w:spacing w:before="156" w:beforeLines="50" w:line="300" w:lineRule="auto"/>
        <w:ind w:firstLine="420"/>
        <w:rPr>
          <w:color w:val="000000" w:themeColor="text1"/>
          <w14:textFill>
            <w14:solidFill>
              <w14:schemeClr w14:val="tx1"/>
            </w14:solidFill>
          </w14:textFill>
        </w:rPr>
      </w:pPr>
      <w:r>
        <w:rPr>
          <w:rFonts w:ascii="宋体" w:hAnsi="宋体"/>
        </w:rPr>
        <w:t>“</w:t>
      </w:r>
      <w:r>
        <w:t>湖南省普通高校2020届</w:t>
      </w:r>
      <w:r>
        <w:rPr>
          <w:color w:val="000000" w:themeColor="text1"/>
          <w14:textFill>
            <w14:solidFill>
              <w14:schemeClr w14:val="tx1"/>
            </w14:solidFill>
          </w14:textFill>
        </w:rPr>
        <w:t>毕业生就业创业指导服务评价调研问卷</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回收截至2020年10月1日。调研覆盖湖南理工学院2020届毕业生4404人，共回收有效问卷4382份，问卷回收率为99.50%。数据使用主要涉及第五章母校评价部分。</w:t>
      </w:r>
    </w:p>
    <w:p>
      <w:pPr>
        <w:spacing w:before="156" w:beforeLines="50" w:line="300" w:lineRule="auto"/>
        <w:ind w:firstLine="42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湖南省普通高校2020届毕业生就业质量调研问卷</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回收截至2020年10月1日。调研覆盖湖南理工学院2020届毕业生4404人，共回收有效问卷2376份，问卷回收率为53.95%。</w:t>
      </w:r>
      <w:r>
        <w:t>数据分析为抽样调查分析，</w:t>
      </w:r>
      <w:r>
        <w:rPr>
          <w:color w:val="000000" w:themeColor="text1"/>
          <w14:textFill>
            <w14:solidFill>
              <w14:schemeClr w14:val="tx1"/>
            </w14:solidFill>
          </w14:textFill>
        </w:rPr>
        <w:t>数据使用主要涉及第三章毕业生就业质量分析和第四章毕业生求职行为分析。</w:t>
      </w:r>
    </w:p>
    <w:p>
      <w:pPr>
        <w:spacing w:before="156" w:beforeLines="50" w:line="300" w:lineRule="auto"/>
        <w:ind w:firstLine="422"/>
        <w:rPr>
          <w:b/>
          <w:color w:val="000000"/>
          <w:szCs w:val="21"/>
        </w:rPr>
      </w:pPr>
      <w:r>
        <w:rPr>
          <w:b/>
          <w:color w:val="000000"/>
          <w:szCs w:val="21"/>
        </w:rPr>
        <w:t>3．第三方（长沙市云研云数科技有限公司）开展的用人单位调研数据</w:t>
      </w:r>
    </w:p>
    <w:p>
      <w:pPr>
        <w:spacing w:before="156" w:beforeLines="50" w:line="30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通过向用人单位发放答题邀请函、问卷链接等方式，邀请用人单位填写问卷作为补充，截至2020年12月15日，回收用人单位问卷270份。数据使用主要涉及第六章社会评价。</w:t>
      </w:r>
    </w:p>
    <w:p>
      <w:pPr>
        <w:spacing w:before="156" w:beforeLines="50" w:line="30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因调查样本和工作经验的局限性，本报告不妥和错误之处，敬请批评指正。本报告的数据精确到小数点后两位，部分数据可能存在0.05%左右的误差，属正常现象。</w:t>
      </w:r>
    </w:p>
    <w:p>
      <w:pPr>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sdt>
      <w:sdtPr>
        <w:rPr>
          <w:b w:val="0"/>
          <w:bCs w:val="0"/>
          <w:kern w:val="2"/>
          <w:sz w:val="21"/>
          <w:szCs w:val="22"/>
        </w:rPr>
        <w:id w:val="2089496658"/>
        <w:docPartObj>
          <w:docPartGallery w:val="Table of Contents"/>
          <w:docPartUnique/>
        </w:docPartObj>
      </w:sdtPr>
      <w:sdtEndPr>
        <w:rPr>
          <w:b w:val="0"/>
          <w:bCs w:val="0"/>
          <w:kern w:val="2"/>
          <w:sz w:val="21"/>
          <w:szCs w:val="22"/>
          <w:lang w:val="zh-CN"/>
        </w:rPr>
      </w:sdtEndPr>
      <w:sdtContent>
        <w:p>
          <w:pPr>
            <w:pStyle w:val="2"/>
          </w:pPr>
          <w:bookmarkStart w:id="8" w:name="_Toc60529061"/>
          <w:bookmarkStart w:id="9" w:name="_Toc59528586"/>
          <w:bookmarkStart w:id="10" w:name="_Toc59472077"/>
          <w:bookmarkStart w:id="11" w:name="_Toc59462777"/>
          <w:bookmarkStart w:id="12" w:name="_Toc61594305"/>
          <w:bookmarkStart w:id="13" w:name="_Toc59528687"/>
          <w:bookmarkStart w:id="14" w:name="_Toc59462686"/>
          <w:r>
            <w:t>目录</w:t>
          </w:r>
          <w:bookmarkEnd w:id="8"/>
          <w:bookmarkEnd w:id="9"/>
          <w:bookmarkEnd w:id="10"/>
          <w:bookmarkEnd w:id="11"/>
          <w:bookmarkEnd w:id="12"/>
          <w:bookmarkEnd w:id="13"/>
          <w:bookmarkEnd w:id="14"/>
          <w:r>
            <w:rPr>
              <w:rStyle w:val="35"/>
            </w:rPr>
            <w:fldChar w:fldCharType="begin"/>
          </w:r>
          <w:r>
            <w:rPr>
              <w:rStyle w:val="35"/>
              <w:b w:val="0"/>
              <w:bCs w:val="0"/>
              <w:sz w:val="21"/>
              <w:szCs w:val="22"/>
            </w:rPr>
            <w:instrText xml:space="preserve"> TOC \o "1-3" \h \z \u </w:instrText>
          </w:r>
          <w:r>
            <w:rPr>
              <w:rStyle w:val="35"/>
            </w:rPr>
            <w:fldChar w:fldCharType="separate"/>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"_Toc61594307" </w:instrText>
          </w:r>
          <w:r>
            <w:fldChar w:fldCharType="separate"/>
          </w:r>
          <w:r>
            <w:rPr>
              <w:rStyle w:val="35"/>
            </w:rPr>
            <w:t>第一章 毕业生生源与毕业去向</w:t>
          </w:r>
          <w:r>
            <w:tab/>
          </w:r>
          <w:r>
            <w:fldChar w:fldCharType="begin"/>
          </w:r>
          <w:r>
            <w:instrText xml:space="preserve"> PAGEREF _Toc61594307 \h </w:instrText>
          </w:r>
          <w:r>
            <w:fldChar w:fldCharType="separate"/>
          </w:r>
          <w:r>
            <w:t>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"_Toc61594308" </w:instrText>
          </w:r>
          <w:r>
            <w:fldChar w:fldCharType="separate"/>
          </w:r>
          <w:r>
            <w:rPr>
              <w:rStyle w:val="35"/>
            </w:rPr>
            <w:t>一、毕业生规模及结构</w:t>
          </w:r>
          <w:r>
            <w:tab/>
          </w:r>
          <w:r>
            <w:fldChar w:fldCharType="begin"/>
          </w:r>
          <w:r>
            <w:instrText xml:space="preserve"> PAGEREF _Toc61594308 \h </w:instrText>
          </w:r>
          <w:r>
            <w:fldChar w:fldCharType="separate"/>
          </w:r>
          <w:r>
            <w:t>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"_Toc61594309" </w:instrText>
          </w:r>
          <w:r>
            <w:fldChar w:fldCharType="separate"/>
          </w:r>
          <w:r>
            <w:rPr>
              <w:rStyle w:val="35"/>
            </w:rPr>
            <w:t>（一）毕业生规模及性别结构</w:t>
          </w:r>
          <w:r>
            <w:tab/>
          </w:r>
          <w:r>
            <w:fldChar w:fldCharType="begin"/>
          </w:r>
          <w:r>
            <w:instrText xml:space="preserve"> PAGEREF _Toc61594309 \h </w:instrText>
          </w:r>
          <w:r>
            <w:fldChar w:fldCharType="separate"/>
          </w:r>
          <w:r>
            <w:t>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"_Toc61594310" </w:instrText>
          </w:r>
          <w:r>
            <w:fldChar w:fldCharType="separate"/>
          </w:r>
          <w:r>
            <w:rPr>
              <w:rStyle w:val="35"/>
            </w:rPr>
            <w:t>（二）毕业生结构分布</w:t>
          </w:r>
          <w:r>
            <w:tab/>
          </w:r>
          <w:r>
            <w:fldChar w:fldCharType="begin"/>
          </w:r>
          <w:r>
            <w:instrText xml:space="preserve"> PAGEREF _Toc61594310 \h </w:instrText>
          </w:r>
          <w:r>
            <w:fldChar w:fldCharType="separate"/>
          </w:r>
          <w:r>
            <w:t>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"_Toc61594311" </w:instrText>
          </w:r>
          <w:r>
            <w:fldChar w:fldCharType="separate"/>
          </w:r>
          <w:r>
            <w:rPr>
              <w:rStyle w:val="35"/>
            </w:rPr>
            <w:t>二、毕业生就业率及就业类别</w:t>
          </w:r>
          <w:r>
            <w:tab/>
          </w:r>
          <w:r>
            <w:fldChar w:fldCharType="begin"/>
          </w:r>
          <w:r>
            <w:instrText xml:space="preserve"> PAGEREF _Toc61594311 \h </w:instrText>
          </w:r>
          <w:r>
            <w:fldChar w:fldCharType="separate"/>
          </w:r>
          <w:r>
            <w:t>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"_Toc61594312" </w:instrText>
          </w:r>
          <w:r>
            <w:fldChar w:fldCharType="separate"/>
          </w:r>
          <w:r>
            <w:rPr>
              <w:rStyle w:val="35"/>
            </w:rPr>
            <w:t>（一）毕业生就业率</w:t>
          </w:r>
          <w:r>
            <w:tab/>
          </w:r>
          <w:r>
            <w:fldChar w:fldCharType="begin"/>
          </w:r>
          <w:r>
            <w:instrText xml:space="preserve"> PAGEREF _Toc61594312 \h </w:instrText>
          </w:r>
          <w:r>
            <w:fldChar w:fldCharType="separate"/>
          </w:r>
          <w:r>
            <w:t>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"_Toc61594313" </w:instrText>
          </w:r>
          <w:r>
            <w:fldChar w:fldCharType="separate"/>
          </w:r>
          <w:r>
            <w:rPr>
              <w:rStyle w:val="35"/>
            </w:rPr>
            <w:t>（二）毕业生就业类别</w:t>
          </w:r>
          <w:r>
            <w:tab/>
          </w:r>
          <w:r>
            <w:fldChar w:fldCharType="begin"/>
          </w:r>
          <w:r>
            <w:instrText xml:space="preserve"> PAGEREF _Toc61594313 \h </w:instrText>
          </w:r>
          <w:r>
            <w:fldChar w:fldCharType="separate"/>
          </w:r>
          <w:r>
            <w:t>11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"_Toc61594314" </w:instrText>
          </w:r>
          <w:r>
            <w:fldChar w:fldCharType="separate"/>
          </w:r>
          <w:r>
            <w:rPr>
              <w:rStyle w:val="35"/>
            </w:rPr>
            <w:t>三、毕业生单位就业情况</w:t>
          </w:r>
          <w:r>
            <w:tab/>
          </w:r>
          <w:r>
            <w:fldChar w:fldCharType="begin"/>
          </w:r>
          <w:r>
            <w:instrText xml:space="preserve"> PAGEREF _Toc61594314 \h </w:instrText>
          </w:r>
          <w:r>
            <w:fldChar w:fldCharType="separate"/>
          </w:r>
          <w:r>
            <w:t>12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"_Toc61594315" </w:instrText>
          </w:r>
          <w:r>
            <w:fldChar w:fldCharType="separate"/>
          </w:r>
          <w:r>
            <w:rPr>
              <w:rStyle w:val="35"/>
            </w:rPr>
            <w:t>（一）就业单位性质</w:t>
          </w:r>
          <w:r>
            <w:tab/>
          </w:r>
          <w:r>
            <w:fldChar w:fldCharType="begin"/>
          </w:r>
          <w:r>
            <w:instrText xml:space="preserve"> PAGEREF _Toc61594315 \h </w:instrText>
          </w:r>
          <w:r>
            <w:fldChar w:fldCharType="separate"/>
          </w:r>
          <w:r>
            <w:t>12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"_Toc61594316" </w:instrText>
          </w:r>
          <w:r>
            <w:fldChar w:fldCharType="separate"/>
          </w:r>
          <w:r>
            <w:rPr>
              <w:rStyle w:val="35"/>
            </w:rPr>
            <w:t>（二）就业行业结构</w:t>
          </w:r>
          <w:r>
            <w:tab/>
          </w:r>
          <w:r>
            <w:fldChar w:fldCharType="begin"/>
          </w:r>
          <w:r>
            <w:instrText xml:space="preserve"> PAGEREF _Toc61594316 \h </w:instrText>
          </w:r>
          <w:r>
            <w:fldChar w:fldCharType="separate"/>
          </w:r>
          <w:r>
            <w:t>13</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"_Toc61594317" </w:instrText>
          </w:r>
          <w:r>
            <w:fldChar w:fldCharType="separate"/>
          </w:r>
          <w:r>
            <w:rPr>
              <w:rStyle w:val="35"/>
            </w:rPr>
            <w:t>（三）工作职位类别</w:t>
          </w:r>
          <w:r>
            <w:tab/>
          </w:r>
          <w:r>
            <w:fldChar w:fldCharType="begin"/>
          </w:r>
          <w:r>
            <w:instrText xml:space="preserve"> PAGEREF _Toc61594317 \h </w:instrText>
          </w:r>
          <w:r>
            <w:fldChar w:fldCharType="separate"/>
          </w:r>
          <w:r>
            <w:t>16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"_Toc61594318" </w:instrText>
          </w:r>
          <w:r>
            <w:fldChar w:fldCharType="separate"/>
          </w:r>
          <w:r>
            <w:rPr>
              <w:rStyle w:val="35"/>
            </w:rPr>
            <w:t>（四）就业地域流向</w:t>
          </w:r>
          <w:r>
            <w:tab/>
          </w:r>
          <w:r>
            <w:fldChar w:fldCharType="begin"/>
          </w:r>
          <w:r>
            <w:instrText xml:space="preserve"> PAGEREF _Toc61594318 \h </w:instrText>
          </w:r>
          <w:r>
            <w:fldChar w:fldCharType="separate"/>
          </w:r>
          <w:r>
            <w:t>16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"_Toc61594319" </w:instrText>
          </w:r>
          <w:r>
            <w:fldChar w:fldCharType="separate"/>
          </w:r>
          <w:r>
            <w:rPr>
              <w:rStyle w:val="35"/>
            </w:rPr>
            <w:t>（五）岳阳市就业情况</w:t>
          </w:r>
          <w:r>
            <w:tab/>
          </w:r>
          <w:r>
            <w:fldChar w:fldCharType="begin"/>
          </w:r>
          <w:r>
            <w:instrText xml:space="preserve"> PAGEREF _Toc61594319 \h </w:instrText>
          </w:r>
          <w:r>
            <w:fldChar w:fldCharType="separate"/>
          </w:r>
          <w:r>
            <w:t>21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"_Toc61594320" </w:instrText>
          </w:r>
          <w:r>
            <w:fldChar w:fldCharType="separate"/>
          </w:r>
          <w:r>
            <w:rPr>
              <w:rStyle w:val="35"/>
            </w:rPr>
            <w:t>四、毕业生继续深造情况</w:t>
          </w:r>
          <w:r>
            <w:tab/>
          </w:r>
          <w:r>
            <w:fldChar w:fldCharType="begin"/>
          </w:r>
          <w:r>
            <w:instrText xml:space="preserve"> PAGEREF _Toc61594320 \h </w:instrText>
          </w:r>
          <w:r>
            <w:fldChar w:fldCharType="separate"/>
          </w:r>
          <w:r>
            <w:t>22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"_Toc61594321" </w:instrText>
          </w:r>
          <w:r>
            <w:fldChar w:fldCharType="separate"/>
          </w:r>
          <w:r>
            <w:rPr>
              <w:rStyle w:val="35"/>
            </w:rPr>
            <w:t>（一）毕业生升学情况</w:t>
          </w:r>
          <w:r>
            <w:tab/>
          </w:r>
          <w:r>
            <w:fldChar w:fldCharType="begin"/>
          </w:r>
          <w:r>
            <w:instrText xml:space="preserve"> PAGEREF _Toc61594321 \h </w:instrText>
          </w:r>
          <w:r>
            <w:fldChar w:fldCharType="separate"/>
          </w:r>
          <w:r>
            <w:t>22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"_Toc61594322" </w:instrText>
          </w:r>
          <w:r>
            <w:fldChar w:fldCharType="separate"/>
          </w:r>
          <w:r>
            <w:rPr>
              <w:rStyle w:val="35"/>
            </w:rPr>
            <w:t>（二）升学高校类型</w:t>
          </w:r>
          <w:r>
            <w:tab/>
          </w:r>
          <w:r>
            <w:fldChar w:fldCharType="begin"/>
          </w:r>
          <w:r>
            <w:instrText xml:space="preserve"> PAGEREF _Toc61594322 \h </w:instrText>
          </w:r>
          <w:r>
            <w:fldChar w:fldCharType="separate"/>
          </w:r>
          <w:r>
            <w:t>25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"_Toc61594323" </w:instrText>
          </w:r>
          <w:r>
            <w:fldChar w:fldCharType="separate"/>
          </w:r>
          <w:r>
            <w:rPr>
              <w:rStyle w:val="35"/>
            </w:rPr>
            <w:t>（三）升学高校名称</w:t>
          </w:r>
          <w:r>
            <w:tab/>
          </w:r>
          <w:r>
            <w:fldChar w:fldCharType="begin"/>
          </w:r>
          <w:r>
            <w:instrText xml:space="preserve"> PAGEREF _Toc61594323 \h </w:instrText>
          </w:r>
          <w:r>
            <w:fldChar w:fldCharType="separate"/>
          </w:r>
          <w:r>
            <w:t>25</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"_Toc61594324" </w:instrText>
          </w:r>
          <w:r>
            <w:fldChar w:fldCharType="separate"/>
          </w:r>
          <w:r>
            <w:rPr>
              <w:rStyle w:val="35"/>
            </w:rPr>
            <w:t>第二章 毕业生就业创业工作举措</w:t>
          </w:r>
          <w:r>
            <w:tab/>
          </w:r>
          <w:r>
            <w:fldChar w:fldCharType="begin"/>
          </w:r>
          <w:r>
            <w:instrText xml:space="preserve"> PAGEREF _Toc61594324 \h </w:instrText>
          </w:r>
          <w:r>
            <w:fldChar w:fldCharType="separate"/>
          </w:r>
          <w:r>
            <w:t>26</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"_Toc61594325" </w:instrText>
          </w:r>
          <w:r>
            <w:fldChar w:fldCharType="separate"/>
          </w:r>
          <w:r>
            <w:rPr>
              <w:rStyle w:val="35"/>
            </w:rPr>
            <w:t>一、领导高度重视，构建就业创业工作长效机制</w:t>
          </w:r>
          <w:r>
            <w:tab/>
          </w:r>
          <w:r>
            <w:fldChar w:fldCharType="begin"/>
          </w:r>
          <w:r>
            <w:instrText xml:space="preserve"> PAGEREF _Toc61594325 \h </w:instrText>
          </w:r>
          <w:r>
            <w:fldChar w:fldCharType="separate"/>
          </w:r>
          <w:r>
            <w:t>26</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"_Toc61594326" </w:instrText>
          </w:r>
          <w:r>
            <w:fldChar w:fldCharType="separate"/>
          </w:r>
          <w:r>
            <w:rPr>
              <w:rStyle w:val="35"/>
            </w:rPr>
            <w:t>二、搭建招聘平台，确保毕业生就业信息岗位充足</w:t>
          </w:r>
          <w:r>
            <w:tab/>
          </w:r>
          <w:r>
            <w:fldChar w:fldCharType="begin"/>
          </w:r>
          <w:r>
            <w:instrText xml:space="preserve"> PAGEREF _Toc61594326 \h </w:instrText>
          </w:r>
          <w:r>
            <w:fldChar w:fldCharType="separate"/>
          </w:r>
          <w:r>
            <w:t>26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"_Toc61594327" </w:instrText>
          </w:r>
          <w:r>
            <w:fldChar w:fldCharType="separate"/>
          </w:r>
          <w:r>
            <w:rPr>
              <w:rStyle w:val="35"/>
            </w:rPr>
            <w:t>（一）应对新冠疫情，迅速启动线上招聘</w:t>
          </w:r>
          <w:r>
            <w:tab/>
          </w:r>
          <w:r>
            <w:fldChar w:fldCharType="begin"/>
          </w:r>
          <w:r>
            <w:instrText xml:space="preserve"> PAGEREF _Toc61594327 \h </w:instrText>
          </w:r>
          <w:r>
            <w:fldChar w:fldCharType="separate"/>
          </w:r>
          <w:r>
            <w:t>26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"_Toc61594328" </w:instrText>
          </w:r>
          <w:r>
            <w:fldChar w:fldCharType="separate"/>
          </w:r>
          <w:r>
            <w:rPr>
              <w:rStyle w:val="35"/>
            </w:rPr>
            <w:t>（二）创造就业机会，重点开展专场招聘会</w:t>
          </w:r>
          <w:r>
            <w:tab/>
          </w:r>
          <w:r>
            <w:fldChar w:fldCharType="begin"/>
          </w:r>
          <w:r>
            <w:instrText xml:space="preserve"> PAGEREF _Toc61594328 \h </w:instrText>
          </w:r>
          <w:r>
            <w:fldChar w:fldCharType="separate"/>
          </w:r>
          <w:r>
            <w:t>26</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"_Toc61594329" </w:instrText>
          </w:r>
          <w:r>
            <w:fldChar w:fldCharType="separate"/>
          </w:r>
          <w:r>
            <w:rPr>
              <w:rStyle w:val="35"/>
            </w:rPr>
            <w:t>三、精准困难帮扶，确保毕业生顺利充分就业</w:t>
          </w:r>
          <w:r>
            <w:tab/>
          </w:r>
          <w:r>
            <w:fldChar w:fldCharType="begin"/>
          </w:r>
          <w:r>
            <w:instrText xml:space="preserve"> PAGEREF _Toc61594329 \h </w:instrText>
          </w:r>
          <w:r>
            <w:fldChar w:fldCharType="separate"/>
          </w:r>
          <w:r>
            <w:t>27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"_Toc61594330" </w:instrText>
          </w:r>
          <w:r>
            <w:fldChar w:fldCharType="separate"/>
          </w:r>
          <w:r>
            <w:rPr>
              <w:rStyle w:val="35"/>
            </w:rPr>
            <w:t>四、深化就业指导，提升毕业生就业竞争力</w:t>
          </w:r>
          <w:r>
            <w:tab/>
          </w:r>
          <w:r>
            <w:fldChar w:fldCharType="begin"/>
          </w:r>
          <w:r>
            <w:instrText xml:space="preserve"> PAGEREF _Toc61594330 \h </w:instrText>
          </w:r>
          <w:r>
            <w:fldChar w:fldCharType="separate"/>
          </w:r>
          <w:r>
            <w:t>27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"_Toc61594331" </w:instrText>
          </w:r>
          <w:r>
            <w:fldChar w:fldCharType="separate"/>
          </w:r>
          <w:r>
            <w:rPr>
              <w:rStyle w:val="35"/>
            </w:rPr>
            <w:t>五、强化校政合作，建立相对稳固的规模就业基地</w:t>
          </w:r>
          <w:r>
            <w:tab/>
          </w:r>
          <w:r>
            <w:fldChar w:fldCharType="begin"/>
          </w:r>
          <w:r>
            <w:instrText xml:space="preserve"> PAGEREF _Toc61594331 \h </w:instrText>
          </w:r>
          <w:r>
            <w:fldChar w:fldCharType="separate"/>
          </w:r>
          <w:r>
            <w:t>27</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"_Toc61594332" </w:instrText>
          </w:r>
          <w:r>
            <w:fldChar w:fldCharType="separate"/>
          </w:r>
          <w:r>
            <w:rPr>
              <w:rStyle w:val="35"/>
            </w:rPr>
            <w:t>第三章 毕业生就业质量分析</w:t>
          </w:r>
          <w:r>
            <w:tab/>
          </w:r>
          <w:r>
            <w:fldChar w:fldCharType="begin"/>
          </w:r>
          <w:r>
            <w:instrText xml:space="preserve"> PAGEREF _Toc61594332 \h </w:instrText>
          </w:r>
          <w:r>
            <w:fldChar w:fldCharType="separate"/>
          </w:r>
          <w:r>
            <w:t>29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"_Toc61594333" </w:instrText>
          </w:r>
          <w:r>
            <w:fldChar w:fldCharType="separate"/>
          </w:r>
          <w:r>
            <w:rPr>
              <w:rStyle w:val="35"/>
            </w:rPr>
            <w:t>一、就业满意度</w:t>
          </w:r>
          <w:r>
            <w:tab/>
          </w:r>
          <w:r>
            <w:fldChar w:fldCharType="begin"/>
          </w:r>
          <w:r>
            <w:instrText xml:space="preserve"> PAGEREF _Toc61594333 \h </w:instrText>
          </w:r>
          <w:r>
            <w:fldChar w:fldCharType="separate"/>
          </w:r>
          <w:r>
            <w:t>29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"_Toc61594334" </w:instrText>
          </w:r>
          <w:r>
            <w:fldChar w:fldCharType="separate"/>
          </w:r>
          <w:r>
            <w:rPr>
              <w:rStyle w:val="35"/>
            </w:rPr>
            <w:t>（一）总体就业满意度</w:t>
          </w:r>
          <w:r>
            <w:tab/>
          </w:r>
          <w:r>
            <w:fldChar w:fldCharType="begin"/>
          </w:r>
          <w:r>
            <w:instrText xml:space="preserve"> PAGEREF _Toc61594334 \h </w:instrText>
          </w:r>
          <w:r>
            <w:fldChar w:fldCharType="separate"/>
          </w:r>
          <w:r>
            <w:t>29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"_Toc61594335" </w:instrText>
          </w:r>
          <w:r>
            <w:fldChar w:fldCharType="separate"/>
          </w:r>
          <w:r>
            <w:rPr>
              <w:rStyle w:val="35"/>
            </w:rPr>
            <w:t>（二）分专业就业满意度</w:t>
          </w:r>
          <w:r>
            <w:tab/>
          </w:r>
          <w:r>
            <w:fldChar w:fldCharType="begin"/>
          </w:r>
          <w:r>
            <w:instrText xml:space="preserve"> PAGEREF _Toc61594335 \h </w:instrText>
          </w:r>
          <w:r>
            <w:fldChar w:fldCharType="separate"/>
          </w:r>
          <w:r>
            <w:t>29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"_Toc61594336" </w:instrText>
          </w:r>
          <w:r>
            <w:fldChar w:fldCharType="separate"/>
          </w:r>
          <w:r>
            <w:rPr>
              <w:rStyle w:val="35"/>
            </w:rPr>
            <w:t>二、薪资福利情况</w:t>
          </w:r>
          <w:r>
            <w:tab/>
          </w:r>
          <w:r>
            <w:fldChar w:fldCharType="begin"/>
          </w:r>
          <w:r>
            <w:instrText xml:space="preserve"> PAGEREF _Toc61594336 \h </w:instrText>
          </w:r>
          <w:r>
            <w:fldChar w:fldCharType="separate"/>
          </w:r>
          <w:r>
            <w:t>30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"_Toc61594337" </w:instrText>
          </w:r>
          <w:r>
            <w:fldChar w:fldCharType="separate"/>
          </w:r>
          <w:r>
            <w:rPr>
              <w:rStyle w:val="35"/>
            </w:rPr>
            <w:t>（一）薪资水平及满意度</w:t>
          </w:r>
          <w:r>
            <w:tab/>
          </w:r>
          <w:r>
            <w:fldChar w:fldCharType="begin"/>
          </w:r>
          <w:r>
            <w:instrText xml:space="preserve"> PAGEREF _Toc61594337 \h </w:instrText>
          </w:r>
          <w:r>
            <w:fldChar w:fldCharType="separate"/>
          </w:r>
          <w:r>
            <w:t>30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"_Toc61594338" </w:instrText>
          </w:r>
          <w:r>
            <w:fldChar w:fldCharType="separate"/>
          </w:r>
          <w:r>
            <w:rPr>
              <w:rStyle w:val="35"/>
            </w:rPr>
            <w:t>（二）社会保障获得情况及满意度</w:t>
          </w:r>
          <w:r>
            <w:tab/>
          </w:r>
          <w:r>
            <w:fldChar w:fldCharType="begin"/>
          </w:r>
          <w:r>
            <w:instrText xml:space="preserve"> PAGEREF _Toc61594338 \h </w:instrText>
          </w:r>
          <w:r>
            <w:fldChar w:fldCharType="separate"/>
          </w:r>
          <w:r>
            <w:t>32</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"_Toc61594339" </w:instrText>
          </w:r>
          <w:r>
            <w:fldChar w:fldCharType="separate"/>
          </w:r>
          <w:r>
            <w:rPr>
              <w:rStyle w:val="35"/>
            </w:rPr>
            <w:t>三、人职适配情况</w:t>
          </w:r>
          <w:r>
            <w:tab/>
          </w:r>
          <w:r>
            <w:fldChar w:fldCharType="begin"/>
          </w:r>
          <w:r>
            <w:instrText xml:space="preserve"> PAGEREF _Toc61594339 \h </w:instrText>
          </w:r>
          <w:r>
            <w:fldChar w:fldCharType="separate"/>
          </w:r>
          <w:r>
            <w:t>32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"_Toc61594340" </w:instrText>
          </w:r>
          <w:r>
            <w:fldChar w:fldCharType="separate"/>
          </w:r>
          <w:r>
            <w:rPr>
              <w:rStyle w:val="35"/>
            </w:rPr>
            <w:t>（一）就业专业相关度</w:t>
          </w:r>
          <w:r>
            <w:tab/>
          </w:r>
          <w:r>
            <w:fldChar w:fldCharType="begin"/>
          </w:r>
          <w:r>
            <w:instrText xml:space="preserve"> PAGEREF _Toc61594340 \h </w:instrText>
          </w:r>
          <w:r>
            <w:fldChar w:fldCharType="separate"/>
          </w:r>
          <w:r>
            <w:t>32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"_Toc61594341" </w:instrText>
          </w:r>
          <w:r>
            <w:fldChar w:fldCharType="separate"/>
          </w:r>
          <w:r>
            <w:rPr>
              <w:rStyle w:val="35"/>
            </w:rPr>
            <w:t>（二）职业期待吻合度</w:t>
          </w:r>
          <w:r>
            <w:tab/>
          </w:r>
          <w:r>
            <w:fldChar w:fldCharType="begin"/>
          </w:r>
          <w:r>
            <w:instrText xml:space="preserve"> PAGEREF _Toc61594341 \h </w:instrText>
          </w:r>
          <w:r>
            <w:fldChar w:fldCharType="separate"/>
          </w:r>
          <w:r>
            <w:t>34</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"_Toc61594342" </w:instrText>
          </w:r>
          <w:r>
            <w:fldChar w:fldCharType="separate"/>
          </w:r>
          <w:r>
            <w:rPr>
              <w:rStyle w:val="35"/>
            </w:rPr>
            <w:t>四、职业发展评价</w:t>
          </w:r>
          <w:r>
            <w:tab/>
          </w:r>
          <w:r>
            <w:fldChar w:fldCharType="begin"/>
          </w:r>
          <w:r>
            <w:instrText xml:space="preserve"> PAGEREF _Toc61594342 \h </w:instrText>
          </w:r>
          <w:r>
            <w:fldChar w:fldCharType="separate"/>
          </w:r>
          <w:r>
            <w:t>35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"_Toc61594343" </w:instrText>
          </w:r>
          <w:r>
            <w:fldChar w:fldCharType="separate"/>
          </w:r>
          <w:r>
            <w:rPr>
              <w:rStyle w:val="35"/>
            </w:rPr>
            <w:t>（一）晋升空间满意度</w:t>
          </w:r>
          <w:r>
            <w:tab/>
          </w:r>
          <w:r>
            <w:fldChar w:fldCharType="begin"/>
          </w:r>
          <w:r>
            <w:instrText xml:space="preserve"> PAGEREF _Toc61594343 \h </w:instrText>
          </w:r>
          <w:r>
            <w:fldChar w:fldCharType="separate"/>
          </w:r>
          <w:r>
            <w:t>35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"_Toc61594344" </w:instrText>
          </w:r>
          <w:r>
            <w:fldChar w:fldCharType="separate"/>
          </w:r>
          <w:r>
            <w:rPr>
              <w:rStyle w:val="35"/>
            </w:rPr>
            <w:t>（二）培训机会</w:t>
          </w:r>
          <w:r>
            <w:tab/>
          </w:r>
          <w:r>
            <w:fldChar w:fldCharType="begin"/>
          </w:r>
          <w:r>
            <w:instrText xml:space="preserve"> PAGEREF _Toc61594344 \h </w:instrText>
          </w:r>
          <w:r>
            <w:fldChar w:fldCharType="separate"/>
          </w:r>
          <w:r>
            <w:t>35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"_Toc61594345" </w:instrText>
          </w:r>
          <w:r>
            <w:fldChar w:fldCharType="separate"/>
          </w:r>
          <w:r>
            <w:rPr>
              <w:rStyle w:val="35"/>
            </w:rPr>
            <w:t>五、岗位评价</w:t>
          </w:r>
          <w:r>
            <w:tab/>
          </w:r>
          <w:r>
            <w:fldChar w:fldCharType="begin"/>
          </w:r>
          <w:r>
            <w:instrText xml:space="preserve"> PAGEREF _Toc61594345 \h </w:instrText>
          </w:r>
          <w:r>
            <w:fldChar w:fldCharType="separate"/>
          </w:r>
          <w:r>
            <w:t>36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"_Toc61594346" </w:instrText>
          </w:r>
          <w:r>
            <w:fldChar w:fldCharType="separate"/>
          </w:r>
          <w:r>
            <w:rPr>
              <w:rStyle w:val="35"/>
            </w:rPr>
            <w:t>（一）工作稳定性</w:t>
          </w:r>
          <w:r>
            <w:tab/>
          </w:r>
          <w:r>
            <w:fldChar w:fldCharType="begin"/>
          </w:r>
          <w:r>
            <w:instrText xml:space="preserve"> PAGEREF _Toc61594346 \h </w:instrText>
          </w:r>
          <w:r>
            <w:fldChar w:fldCharType="separate"/>
          </w:r>
          <w:r>
            <w:t>36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"_Toc61594347" </w:instrText>
          </w:r>
          <w:r>
            <w:fldChar w:fldCharType="separate"/>
          </w:r>
          <w:r>
            <w:rPr>
              <w:rStyle w:val="35"/>
            </w:rPr>
            <w:t>（二）工作环境满意度</w:t>
          </w:r>
          <w:r>
            <w:tab/>
          </w:r>
          <w:r>
            <w:fldChar w:fldCharType="begin"/>
          </w:r>
          <w:r>
            <w:instrText xml:space="preserve"> PAGEREF _Toc61594347 \h </w:instrText>
          </w:r>
          <w:r>
            <w:fldChar w:fldCharType="separate"/>
          </w:r>
          <w:r>
            <w:t>36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"_Toc61594348" </w:instrText>
          </w:r>
          <w:r>
            <w:fldChar w:fldCharType="separate"/>
          </w:r>
          <w:r>
            <w:rPr>
              <w:rStyle w:val="35"/>
            </w:rPr>
            <w:t>（三）工作轻松度</w:t>
          </w:r>
          <w:r>
            <w:tab/>
          </w:r>
          <w:r>
            <w:fldChar w:fldCharType="begin"/>
          </w:r>
          <w:r>
            <w:instrText xml:space="preserve"> PAGEREF _Toc61594348 \h </w:instrText>
          </w:r>
          <w:r>
            <w:fldChar w:fldCharType="separate"/>
          </w:r>
          <w:r>
            <w:t>37</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"_Toc61594349" </w:instrText>
          </w:r>
          <w:r>
            <w:fldChar w:fldCharType="separate"/>
          </w:r>
          <w:r>
            <w:rPr>
              <w:rStyle w:val="35"/>
            </w:rPr>
            <w:t>（四）各项岗位评价指标</w:t>
          </w:r>
          <w:r>
            <w:tab/>
          </w:r>
          <w:r>
            <w:fldChar w:fldCharType="begin"/>
          </w:r>
          <w:r>
            <w:instrText xml:space="preserve"> PAGEREF _Toc61594349 \h </w:instrText>
          </w:r>
          <w:r>
            <w:fldChar w:fldCharType="separate"/>
          </w:r>
          <w:r>
            <w:t>37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"_Toc61594350" </w:instrText>
          </w:r>
          <w:r>
            <w:fldChar w:fldCharType="separate"/>
          </w:r>
          <w:r>
            <w:rPr>
              <w:rStyle w:val="35"/>
            </w:rPr>
            <w:t>六、离职情况</w:t>
          </w:r>
          <w:r>
            <w:tab/>
          </w:r>
          <w:r>
            <w:fldChar w:fldCharType="begin"/>
          </w:r>
          <w:r>
            <w:instrText xml:space="preserve"> PAGEREF _Toc61594350 \h </w:instrText>
          </w:r>
          <w:r>
            <w:fldChar w:fldCharType="separate"/>
          </w:r>
          <w:r>
            <w:t>38</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"_Toc61594351" </w:instrText>
          </w:r>
          <w:r>
            <w:fldChar w:fldCharType="separate"/>
          </w:r>
          <w:r>
            <w:rPr>
              <w:rStyle w:val="35"/>
            </w:rPr>
            <w:t>（一）离职率</w:t>
          </w:r>
          <w:r>
            <w:tab/>
          </w:r>
          <w:r>
            <w:fldChar w:fldCharType="begin"/>
          </w:r>
          <w:r>
            <w:instrText xml:space="preserve"> PAGEREF _Toc61594351 \h </w:instrText>
          </w:r>
          <w:r>
            <w:fldChar w:fldCharType="separate"/>
          </w:r>
          <w:r>
            <w:t>38</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"_Toc61594352" </w:instrText>
          </w:r>
          <w:r>
            <w:fldChar w:fldCharType="separate"/>
          </w:r>
          <w:r>
            <w:rPr>
              <w:rStyle w:val="35"/>
            </w:rPr>
            <w:t>（二）离职原因</w:t>
          </w:r>
          <w:r>
            <w:tab/>
          </w:r>
          <w:r>
            <w:fldChar w:fldCharType="begin"/>
          </w:r>
          <w:r>
            <w:instrText xml:space="preserve"> PAGEREF _Toc61594352 \h </w:instrText>
          </w:r>
          <w:r>
            <w:fldChar w:fldCharType="separate"/>
          </w:r>
          <w:r>
            <w:t>38</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"_Toc61594353" </w:instrText>
          </w:r>
          <w:r>
            <w:fldChar w:fldCharType="separate"/>
          </w:r>
          <w:r>
            <w:rPr>
              <w:rStyle w:val="35"/>
            </w:rPr>
            <w:t>第四章 毕业生求职行为分析</w:t>
          </w:r>
          <w:r>
            <w:tab/>
          </w:r>
          <w:r>
            <w:fldChar w:fldCharType="begin"/>
          </w:r>
          <w:r>
            <w:instrText xml:space="preserve"> PAGEREF _Toc61594353 \h </w:instrText>
          </w:r>
          <w:r>
            <w:fldChar w:fldCharType="separate"/>
          </w:r>
          <w:r>
            <w:t>39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"_Toc61594354" </w:instrText>
          </w:r>
          <w:r>
            <w:fldChar w:fldCharType="separate"/>
          </w:r>
          <w:r>
            <w:rPr>
              <w:rStyle w:val="35"/>
            </w:rPr>
            <w:t>一、毕业生求职分析</w:t>
          </w:r>
          <w:r>
            <w:tab/>
          </w:r>
          <w:r>
            <w:fldChar w:fldCharType="begin"/>
          </w:r>
          <w:r>
            <w:instrText xml:space="preserve"> PAGEREF _Toc61594354 \h </w:instrText>
          </w:r>
          <w:r>
            <w:fldChar w:fldCharType="separate"/>
          </w:r>
          <w:r>
            <w:t>39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"_Toc61594355" </w:instrText>
          </w:r>
          <w:r>
            <w:fldChar w:fldCharType="separate"/>
          </w:r>
          <w:r>
            <w:rPr>
              <w:rStyle w:val="35"/>
            </w:rPr>
            <w:t>（一）求职途径</w:t>
          </w:r>
          <w:r>
            <w:tab/>
          </w:r>
          <w:r>
            <w:fldChar w:fldCharType="begin"/>
          </w:r>
          <w:r>
            <w:instrText xml:space="preserve"> PAGEREF _Toc61594355 \h </w:instrText>
          </w:r>
          <w:r>
            <w:fldChar w:fldCharType="separate"/>
          </w:r>
          <w:r>
            <w:t>39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"_Toc61594356" </w:instrText>
          </w:r>
          <w:r>
            <w:fldChar w:fldCharType="separate"/>
          </w:r>
          <w:r>
            <w:rPr>
              <w:rStyle w:val="35"/>
            </w:rPr>
            <w:t>（二）求职成本</w:t>
          </w:r>
          <w:r>
            <w:tab/>
          </w:r>
          <w:r>
            <w:fldChar w:fldCharType="begin"/>
          </w:r>
          <w:r>
            <w:instrText xml:space="preserve"> PAGEREF _Toc61594356 \h </w:instrText>
          </w:r>
          <w:r>
            <w:fldChar w:fldCharType="separate"/>
          </w:r>
          <w:r>
            <w:t>39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"_Toc61594357" </w:instrText>
          </w:r>
          <w:r>
            <w:fldChar w:fldCharType="separate"/>
          </w:r>
          <w:r>
            <w:rPr>
              <w:rStyle w:val="35"/>
            </w:rPr>
            <w:t>二、未就业毕业生求职分析</w:t>
          </w:r>
          <w:r>
            <w:tab/>
          </w:r>
          <w:r>
            <w:fldChar w:fldCharType="begin"/>
          </w:r>
          <w:r>
            <w:instrText xml:space="preserve"> PAGEREF _Toc61594357 \h </w:instrText>
          </w:r>
          <w:r>
            <w:fldChar w:fldCharType="separate"/>
          </w:r>
          <w:r>
            <w:t>40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"_Toc61594358" </w:instrText>
          </w:r>
          <w:r>
            <w:fldChar w:fldCharType="separate"/>
          </w:r>
          <w:r>
            <w:rPr>
              <w:rStyle w:val="35"/>
            </w:rPr>
            <w:t>（一）未就业择业定位</w:t>
          </w:r>
          <w:r>
            <w:tab/>
          </w:r>
          <w:r>
            <w:fldChar w:fldCharType="begin"/>
          </w:r>
          <w:r>
            <w:instrText xml:space="preserve"> PAGEREF _Toc61594358 \h </w:instrText>
          </w:r>
          <w:r>
            <w:fldChar w:fldCharType="separate"/>
          </w:r>
          <w:r>
            <w:t>40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"_Toc61594359" </w:instrText>
          </w:r>
          <w:r>
            <w:fldChar w:fldCharType="separate"/>
          </w:r>
          <w:r>
            <w:rPr>
              <w:rStyle w:val="35"/>
            </w:rPr>
            <w:t>（二）未就业原因</w:t>
          </w:r>
          <w:r>
            <w:tab/>
          </w:r>
          <w:r>
            <w:fldChar w:fldCharType="begin"/>
          </w:r>
          <w:r>
            <w:instrText xml:space="preserve"> PAGEREF _Toc61594359 \h </w:instrText>
          </w:r>
          <w:r>
            <w:fldChar w:fldCharType="separate"/>
          </w:r>
          <w:r>
            <w:t>41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"_Toc61594360" </w:instrText>
          </w:r>
          <w:r>
            <w:fldChar w:fldCharType="separate"/>
          </w:r>
          <w:r>
            <w:rPr>
              <w:rStyle w:val="35"/>
            </w:rPr>
            <w:t>（三）就业地域</w:t>
          </w:r>
          <w:r>
            <w:tab/>
          </w:r>
          <w:r>
            <w:fldChar w:fldCharType="begin"/>
          </w:r>
          <w:r>
            <w:instrText xml:space="preserve"> PAGEREF _Toc61594360 \h </w:instrText>
          </w:r>
          <w:r>
            <w:fldChar w:fldCharType="separate"/>
          </w:r>
          <w:r>
            <w:t>41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"_Toc61594361" </w:instrText>
          </w:r>
          <w:r>
            <w:fldChar w:fldCharType="separate"/>
          </w:r>
          <w:r>
            <w:rPr>
              <w:rStyle w:val="35"/>
            </w:rPr>
            <w:t>（四）求职帮助和辅导</w:t>
          </w:r>
          <w:r>
            <w:tab/>
          </w:r>
          <w:r>
            <w:fldChar w:fldCharType="begin"/>
          </w:r>
          <w:r>
            <w:instrText xml:space="preserve"> PAGEREF _Toc61594361 \h </w:instrText>
          </w:r>
          <w:r>
            <w:fldChar w:fldCharType="separate"/>
          </w:r>
          <w:r>
            <w:t>42</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"_Toc61594362" </w:instrText>
          </w:r>
          <w:r>
            <w:fldChar w:fldCharType="separate"/>
          </w:r>
          <w:r>
            <w:rPr>
              <w:rStyle w:val="35"/>
            </w:rPr>
            <w:t>三、求职行为分析</w:t>
          </w:r>
          <w:r>
            <w:tab/>
          </w:r>
          <w:r>
            <w:fldChar w:fldCharType="begin"/>
          </w:r>
          <w:r>
            <w:instrText xml:space="preserve"> PAGEREF _Toc61594362 \h </w:instrText>
          </w:r>
          <w:r>
            <w:fldChar w:fldCharType="separate"/>
          </w:r>
          <w:r>
            <w:t>42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"_Toc61594363" </w:instrText>
          </w:r>
          <w:r>
            <w:fldChar w:fldCharType="separate"/>
          </w:r>
          <w:r>
            <w:rPr>
              <w:rStyle w:val="35"/>
            </w:rPr>
            <w:t>（一）面试次数</w:t>
          </w:r>
          <w:r>
            <w:tab/>
          </w:r>
          <w:r>
            <w:fldChar w:fldCharType="begin"/>
          </w:r>
          <w:r>
            <w:instrText xml:space="preserve"> PAGEREF _Toc61594363 \h </w:instrText>
          </w:r>
          <w:r>
            <w:fldChar w:fldCharType="separate"/>
          </w:r>
          <w:r>
            <w:t>42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"_Toc61594364" </w:instrText>
          </w:r>
          <w:r>
            <w:fldChar w:fldCharType="separate"/>
          </w:r>
          <w:r>
            <w:rPr>
              <w:rStyle w:val="35"/>
            </w:rPr>
            <w:t>（二）期望薪资</w:t>
          </w:r>
          <w:r>
            <w:tab/>
          </w:r>
          <w:r>
            <w:fldChar w:fldCharType="begin"/>
          </w:r>
          <w:r>
            <w:instrText xml:space="preserve"> PAGEREF _Toc61594364 \h </w:instrText>
          </w:r>
          <w:r>
            <w:fldChar w:fldCharType="separate"/>
          </w:r>
          <w:r>
            <w:t>43</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"_Toc61594365" </w:instrText>
          </w:r>
          <w:r>
            <w:fldChar w:fldCharType="separate"/>
          </w:r>
          <w:r>
            <w:rPr>
              <w:rStyle w:val="35"/>
            </w:rPr>
            <w:t>（三）求职关注因素</w:t>
          </w:r>
          <w:r>
            <w:tab/>
          </w:r>
          <w:r>
            <w:fldChar w:fldCharType="begin"/>
          </w:r>
          <w:r>
            <w:instrText xml:space="preserve"> PAGEREF _Toc61594365 \h </w:instrText>
          </w:r>
          <w:r>
            <w:fldChar w:fldCharType="separate"/>
          </w:r>
          <w:r>
            <w:t>43</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"_Toc61594366" </w:instrText>
          </w:r>
          <w:r>
            <w:fldChar w:fldCharType="separate"/>
          </w:r>
          <w:r>
            <w:rPr>
              <w:rStyle w:val="35"/>
            </w:rPr>
            <w:t>（四）求职困难因素</w:t>
          </w:r>
          <w:r>
            <w:tab/>
          </w:r>
          <w:r>
            <w:fldChar w:fldCharType="begin"/>
          </w:r>
          <w:r>
            <w:instrText xml:space="preserve"> PAGEREF _Toc61594366 \h </w:instrText>
          </w:r>
          <w:r>
            <w:fldChar w:fldCharType="separate"/>
          </w:r>
          <w:r>
            <w:t>44</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"_Toc61594367" </w:instrText>
          </w:r>
          <w:r>
            <w:fldChar w:fldCharType="separate"/>
          </w:r>
          <w:r>
            <w:rPr>
              <w:rStyle w:val="35"/>
            </w:rPr>
            <w:t>第五章 母校评价</w:t>
          </w:r>
          <w:r>
            <w:tab/>
          </w:r>
          <w:r>
            <w:fldChar w:fldCharType="begin"/>
          </w:r>
          <w:r>
            <w:instrText xml:space="preserve"> PAGEREF _Toc61594367 \h </w:instrText>
          </w:r>
          <w:r>
            <w:fldChar w:fldCharType="separate"/>
          </w:r>
          <w:r>
            <w:t>45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"_Toc61594368" </w:instrText>
          </w:r>
          <w:r>
            <w:fldChar w:fldCharType="separate"/>
          </w:r>
          <w:r>
            <w:rPr>
              <w:rStyle w:val="35"/>
            </w:rPr>
            <w:t>一、毕业生对母校总体评价</w:t>
          </w:r>
          <w:r>
            <w:tab/>
          </w:r>
          <w:r>
            <w:fldChar w:fldCharType="begin"/>
          </w:r>
          <w:r>
            <w:instrText xml:space="preserve"> PAGEREF _Toc61594368 \h </w:instrText>
          </w:r>
          <w:r>
            <w:fldChar w:fldCharType="separate"/>
          </w:r>
          <w:r>
            <w:t>45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"_Toc61594369" </w:instrText>
          </w:r>
          <w:r>
            <w:fldChar w:fldCharType="separate"/>
          </w:r>
          <w:r>
            <w:rPr>
              <w:rStyle w:val="35"/>
            </w:rPr>
            <w:t>（一）毕业生对人才培养满意度</w:t>
          </w:r>
          <w:r>
            <w:tab/>
          </w:r>
          <w:r>
            <w:fldChar w:fldCharType="begin"/>
          </w:r>
          <w:r>
            <w:instrText xml:space="preserve"> PAGEREF _Toc61594369 \h </w:instrText>
          </w:r>
          <w:r>
            <w:fldChar w:fldCharType="separate"/>
          </w:r>
          <w:r>
            <w:t>45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"_Toc61594370" </w:instrText>
          </w:r>
          <w:r>
            <w:fldChar w:fldCharType="separate"/>
          </w:r>
          <w:r>
            <w:rPr>
              <w:rStyle w:val="35"/>
            </w:rPr>
            <w:t>（二）母校推荐度</w:t>
          </w:r>
          <w:r>
            <w:tab/>
          </w:r>
          <w:r>
            <w:fldChar w:fldCharType="begin"/>
          </w:r>
          <w:r>
            <w:instrText xml:space="preserve"> PAGEREF _Toc61594370 \h </w:instrText>
          </w:r>
          <w:r>
            <w:fldChar w:fldCharType="separate"/>
          </w:r>
          <w:r>
            <w:t>45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"_Toc61594371" </w:instrText>
          </w:r>
          <w:r>
            <w:fldChar w:fldCharType="separate"/>
          </w:r>
          <w:r>
            <w:rPr>
              <w:rStyle w:val="35"/>
            </w:rPr>
            <w:t>二、毕业生对教育教学的评价</w:t>
          </w:r>
          <w:r>
            <w:tab/>
          </w:r>
          <w:r>
            <w:fldChar w:fldCharType="begin"/>
          </w:r>
          <w:r>
            <w:instrText xml:space="preserve"> PAGEREF _Toc61594371 \h </w:instrText>
          </w:r>
          <w:r>
            <w:fldChar w:fldCharType="separate"/>
          </w:r>
          <w:r>
            <w:t>46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"_Toc61594372" </w:instrText>
          </w:r>
          <w:r>
            <w:fldChar w:fldCharType="separate"/>
          </w:r>
          <w:r>
            <w:rPr>
              <w:rStyle w:val="35"/>
            </w:rPr>
            <w:t>（一）教师授课评价</w:t>
          </w:r>
          <w:r>
            <w:tab/>
          </w:r>
          <w:r>
            <w:fldChar w:fldCharType="begin"/>
          </w:r>
          <w:r>
            <w:instrText xml:space="preserve"> PAGEREF _Toc61594372 \h </w:instrText>
          </w:r>
          <w:r>
            <w:fldChar w:fldCharType="separate"/>
          </w:r>
          <w:r>
            <w:t>46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"_Toc61594373" </w:instrText>
          </w:r>
          <w:r>
            <w:fldChar w:fldCharType="separate"/>
          </w:r>
          <w:r>
            <w:rPr>
              <w:rStyle w:val="35"/>
            </w:rPr>
            <w:t>（二）实践教学评价</w:t>
          </w:r>
          <w:r>
            <w:tab/>
          </w:r>
          <w:r>
            <w:fldChar w:fldCharType="begin"/>
          </w:r>
          <w:r>
            <w:instrText xml:space="preserve"> PAGEREF _Toc61594373 \h </w:instrText>
          </w:r>
          <w:r>
            <w:fldChar w:fldCharType="separate"/>
          </w:r>
          <w:r>
            <w:t>46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"_Toc61594374" </w:instrText>
          </w:r>
          <w:r>
            <w:fldChar w:fldCharType="separate"/>
          </w:r>
          <w:r>
            <w:rPr>
              <w:rStyle w:val="35"/>
            </w:rPr>
            <w:t>（三）专业课程设置评价</w:t>
          </w:r>
          <w:r>
            <w:tab/>
          </w:r>
          <w:r>
            <w:fldChar w:fldCharType="begin"/>
          </w:r>
          <w:r>
            <w:instrText xml:space="preserve"> PAGEREF _Toc61594374 \h </w:instrText>
          </w:r>
          <w:r>
            <w:fldChar w:fldCharType="separate"/>
          </w:r>
          <w:r>
            <w:t>47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"_Toc61594375" </w:instrText>
          </w:r>
          <w:r>
            <w:fldChar w:fldCharType="separate"/>
          </w:r>
          <w:r>
            <w:rPr>
              <w:rStyle w:val="35"/>
            </w:rPr>
            <w:t>三、毕业生对就业创业指导与服务的评价</w:t>
          </w:r>
          <w:r>
            <w:tab/>
          </w:r>
          <w:r>
            <w:fldChar w:fldCharType="begin"/>
          </w:r>
          <w:r>
            <w:instrText xml:space="preserve"> PAGEREF _Toc61594375 \h </w:instrText>
          </w:r>
          <w:r>
            <w:fldChar w:fldCharType="separate"/>
          </w:r>
          <w:r>
            <w:t>47</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"_Toc61594376" </w:instrText>
          </w:r>
          <w:r>
            <w:fldChar w:fldCharType="separate"/>
          </w:r>
          <w:r>
            <w:rPr>
              <w:rStyle w:val="35"/>
            </w:rPr>
            <w:t>（一）毕业生对就业指导与服务的满意度</w:t>
          </w:r>
          <w:r>
            <w:tab/>
          </w:r>
          <w:r>
            <w:fldChar w:fldCharType="begin"/>
          </w:r>
          <w:r>
            <w:instrText xml:space="preserve"> PAGEREF _Toc61594376 \h </w:instrText>
          </w:r>
          <w:r>
            <w:fldChar w:fldCharType="separate"/>
          </w:r>
          <w:r>
            <w:t>47</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"_Toc61594377" </w:instrText>
          </w:r>
          <w:r>
            <w:fldChar w:fldCharType="separate"/>
          </w:r>
          <w:r>
            <w:rPr>
              <w:rStyle w:val="35"/>
            </w:rPr>
            <w:t>（二）毕业生对各项就业指导与服务的评分</w:t>
          </w:r>
          <w:r>
            <w:tab/>
          </w:r>
          <w:r>
            <w:fldChar w:fldCharType="begin"/>
          </w:r>
          <w:r>
            <w:instrText xml:space="preserve"> PAGEREF _Toc61594377 \h </w:instrText>
          </w:r>
          <w:r>
            <w:fldChar w:fldCharType="separate"/>
          </w:r>
          <w:r>
            <w:t>48</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"_Toc61594378" </w:instrText>
          </w:r>
          <w:r>
            <w:fldChar w:fldCharType="separate"/>
          </w:r>
          <w:r>
            <w:rPr>
              <w:rStyle w:val="35"/>
            </w:rPr>
            <w:t>第六章 社会评价</w:t>
          </w:r>
          <w:r>
            <w:tab/>
          </w:r>
          <w:r>
            <w:fldChar w:fldCharType="begin"/>
          </w:r>
          <w:r>
            <w:instrText xml:space="preserve"> PAGEREF _Toc61594378 \h </w:instrText>
          </w:r>
          <w:r>
            <w:fldChar w:fldCharType="separate"/>
          </w:r>
          <w:r>
            <w:t>49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"_Toc61594379" </w:instrText>
          </w:r>
          <w:r>
            <w:fldChar w:fldCharType="separate"/>
          </w:r>
          <w:r>
            <w:rPr>
              <w:rStyle w:val="35"/>
            </w:rPr>
            <w:t>一、用人单位基本情况</w:t>
          </w:r>
          <w:r>
            <w:tab/>
          </w:r>
          <w:r>
            <w:fldChar w:fldCharType="begin"/>
          </w:r>
          <w:r>
            <w:instrText xml:space="preserve"> PAGEREF _Toc61594379 \h </w:instrText>
          </w:r>
          <w:r>
            <w:fldChar w:fldCharType="separate"/>
          </w:r>
          <w:r>
            <w:t>49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"_Toc61594380" </w:instrText>
          </w:r>
          <w:r>
            <w:fldChar w:fldCharType="separate"/>
          </w:r>
          <w:r>
            <w:rPr>
              <w:rStyle w:val="35"/>
            </w:rPr>
            <w:t>（一）用人单位规模分布</w:t>
          </w:r>
          <w:r>
            <w:tab/>
          </w:r>
          <w:r>
            <w:fldChar w:fldCharType="begin"/>
          </w:r>
          <w:r>
            <w:instrText xml:space="preserve"> PAGEREF _Toc61594380 \h </w:instrText>
          </w:r>
          <w:r>
            <w:fldChar w:fldCharType="separate"/>
          </w:r>
          <w:r>
            <w:t>49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"_Toc61594381" </w:instrText>
          </w:r>
          <w:r>
            <w:fldChar w:fldCharType="separate"/>
          </w:r>
          <w:r>
            <w:rPr>
              <w:rStyle w:val="35"/>
            </w:rPr>
            <w:t>（二）用人单位性质分布</w:t>
          </w:r>
          <w:r>
            <w:tab/>
          </w:r>
          <w:r>
            <w:fldChar w:fldCharType="begin"/>
          </w:r>
          <w:r>
            <w:instrText xml:space="preserve"> PAGEREF _Toc61594381 \h </w:instrText>
          </w:r>
          <w:r>
            <w:fldChar w:fldCharType="separate"/>
          </w:r>
          <w:r>
            <w:t>49</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"_Toc61594382" </w:instrText>
          </w:r>
          <w:r>
            <w:fldChar w:fldCharType="separate"/>
          </w:r>
          <w:r>
            <w:rPr>
              <w:rStyle w:val="35"/>
            </w:rPr>
            <w:t>（三）用人单位行业分布</w:t>
          </w:r>
          <w:r>
            <w:tab/>
          </w:r>
          <w:r>
            <w:fldChar w:fldCharType="begin"/>
          </w:r>
          <w:r>
            <w:instrText xml:space="preserve"> PAGEREF _Toc61594382 \h </w:instrText>
          </w:r>
          <w:r>
            <w:fldChar w:fldCharType="separate"/>
          </w:r>
          <w:r>
            <w:t>50</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"_Toc61594383" </w:instrText>
          </w:r>
          <w:r>
            <w:fldChar w:fldCharType="separate"/>
          </w:r>
          <w:r>
            <w:rPr>
              <w:rStyle w:val="35"/>
            </w:rPr>
            <w:t>（四）用人单位地域分布</w:t>
          </w:r>
          <w:r>
            <w:tab/>
          </w:r>
          <w:r>
            <w:fldChar w:fldCharType="begin"/>
          </w:r>
          <w:r>
            <w:instrText xml:space="preserve"> PAGEREF _Toc61594383 \h </w:instrText>
          </w:r>
          <w:r>
            <w:fldChar w:fldCharType="separate"/>
          </w:r>
          <w:r>
            <w:t>50</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"_Toc61594384" </w:instrText>
          </w:r>
          <w:r>
            <w:fldChar w:fldCharType="separate"/>
          </w:r>
          <w:r>
            <w:rPr>
              <w:rStyle w:val="35"/>
            </w:rPr>
            <w:t>二、用人单位招聘分析</w:t>
          </w:r>
          <w:r>
            <w:tab/>
          </w:r>
          <w:r>
            <w:fldChar w:fldCharType="begin"/>
          </w:r>
          <w:r>
            <w:instrText xml:space="preserve"> PAGEREF _Toc61594384 \h </w:instrText>
          </w:r>
          <w:r>
            <w:fldChar w:fldCharType="separate"/>
          </w:r>
          <w:r>
            <w:t>51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"_Toc61594385" </w:instrText>
          </w:r>
          <w:r>
            <w:fldChar w:fldCharType="separate"/>
          </w:r>
          <w:r>
            <w:rPr>
              <w:rStyle w:val="35"/>
            </w:rPr>
            <w:t>（一）招聘渠道</w:t>
          </w:r>
          <w:r>
            <w:tab/>
          </w:r>
          <w:r>
            <w:fldChar w:fldCharType="begin"/>
          </w:r>
          <w:r>
            <w:instrText xml:space="preserve"> PAGEREF _Toc61594385 \h </w:instrText>
          </w:r>
          <w:r>
            <w:fldChar w:fldCharType="separate"/>
          </w:r>
          <w:r>
            <w:t>51</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"_Toc61594386" </w:instrText>
          </w:r>
          <w:r>
            <w:fldChar w:fldCharType="separate"/>
          </w:r>
          <w:r>
            <w:rPr>
              <w:rStyle w:val="35"/>
            </w:rPr>
            <w:t>（二）招聘时最看重毕业生的因素</w:t>
          </w:r>
          <w:r>
            <w:tab/>
          </w:r>
          <w:r>
            <w:fldChar w:fldCharType="begin"/>
          </w:r>
          <w:r>
            <w:instrText xml:space="preserve"> PAGEREF _Toc61594386 \h </w:instrText>
          </w:r>
          <w:r>
            <w:fldChar w:fldCharType="separate"/>
          </w:r>
          <w:r>
            <w:t>52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"_Toc61594387" </w:instrText>
          </w:r>
          <w:r>
            <w:fldChar w:fldCharType="separate"/>
          </w:r>
          <w:r>
            <w:rPr>
              <w:rStyle w:val="35"/>
            </w:rPr>
            <w:t>（三）用人单位招聘时对专业对口的关注度</w:t>
          </w:r>
          <w:r>
            <w:tab/>
          </w:r>
          <w:r>
            <w:fldChar w:fldCharType="begin"/>
          </w:r>
          <w:r>
            <w:instrText xml:space="preserve"> PAGEREF _Toc61594387 \h </w:instrText>
          </w:r>
          <w:r>
            <w:fldChar w:fldCharType="separate"/>
          </w:r>
          <w:r>
            <w:t>52</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"_Toc61594388" </w:instrText>
          </w:r>
          <w:r>
            <w:fldChar w:fldCharType="separate"/>
          </w:r>
          <w:r>
            <w:rPr>
              <w:rStyle w:val="35"/>
            </w:rPr>
            <w:t>（四）用人单位需求专业</w:t>
          </w:r>
          <w:r>
            <w:tab/>
          </w:r>
          <w:r>
            <w:fldChar w:fldCharType="begin"/>
          </w:r>
          <w:r>
            <w:instrText xml:space="preserve"> PAGEREF _Toc61594388 \h </w:instrText>
          </w:r>
          <w:r>
            <w:fldChar w:fldCharType="separate"/>
          </w:r>
          <w:r>
            <w:t>53</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"_Toc61594389" </w:instrText>
          </w:r>
          <w:r>
            <w:fldChar w:fldCharType="separate"/>
          </w:r>
          <w:r>
            <w:rPr>
              <w:rStyle w:val="35"/>
            </w:rPr>
            <w:t>三、用人单位对毕业生的评价</w:t>
          </w:r>
          <w:r>
            <w:tab/>
          </w:r>
          <w:r>
            <w:fldChar w:fldCharType="begin"/>
          </w:r>
          <w:r>
            <w:instrText xml:space="preserve"> PAGEREF _Toc61594389 \h </w:instrText>
          </w:r>
          <w:r>
            <w:fldChar w:fldCharType="separate"/>
          </w:r>
          <w:r>
            <w:t>54</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"_Toc61594390" </w:instrText>
          </w:r>
          <w:r>
            <w:fldChar w:fldCharType="separate"/>
          </w:r>
          <w:r>
            <w:rPr>
              <w:rStyle w:val="35"/>
            </w:rPr>
            <w:t>（一）总体评价</w:t>
          </w:r>
          <w:r>
            <w:tab/>
          </w:r>
          <w:r>
            <w:fldChar w:fldCharType="begin"/>
          </w:r>
          <w:r>
            <w:instrText xml:space="preserve"> PAGEREF _Toc61594390 \h </w:instrText>
          </w:r>
          <w:r>
            <w:fldChar w:fldCharType="separate"/>
          </w:r>
          <w:r>
            <w:t>54</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"_Toc61594391" </w:instrText>
          </w:r>
          <w:r>
            <w:fldChar w:fldCharType="separate"/>
          </w:r>
          <w:r>
            <w:rPr>
              <w:rStyle w:val="35"/>
            </w:rPr>
            <w:t>（二）人才培养满意度</w:t>
          </w:r>
          <w:r>
            <w:tab/>
          </w:r>
          <w:r>
            <w:fldChar w:fldCharType="begin"/>
          </w:r>
          <w:r>
            <w:instrText xml:space="preserve"> PAGEREF _Toc61594391 \h </w:instrText>
          </w:r>
          <w:r>
            <w:fldChar w:fldCharType="separate"/>
          </w:r>
          <w:r>
            <w:t>54</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"_Toc61594392" </w:instrText>
          </w:r>
          <w:r>
            <w:fldChar w:fldCharType="separate"/>
          </w:r>
          <w:r>
            <w:rPr>
              <w:rStyle w:val="35"/>
            </w:rPr>
            <w:t>（三）对毕业生能力评价</w:t>
          </w:r>
          <w:r>
            <w:tab/>
          </w:r>
          <w:r>
            <w:fldChar w:fldCharType="begin"/>
          </w:r>
          <w:r>
            <w:instrText xml:space="preserve"> PAGEREF _Toc61594392 \h </w:instrText>
          </w:r>
          <w:r>
            <w:fldChar w:fldCharType="separate"/>
          </w:r>
          <w:r>
            <w:t>55</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"_Toc61594393" </w:instrText>
          </w:r>
          <w:r>
            <w:fldChar w:fldCharType="separate"/>
          </w:r>
          <w:r>
            <w:rPr>
              <w:rStyle w:val="35"/>
            </w:rPr>
            <w:t>（四）改进建议</w:t>
          </w:r>
          <w:r>
            <w:tab/>
          </w:r>
          <w:r>
            <w:fldChar w:fldCharType="begin"/>
          </w:r>
          <w:r>
            <w:instrText xml:space="preserve"> PAGEREF _Toc61594393 \h </w:instrText>
          </w:r>
          <w:r>
            <w:fldChar w:fldCharType="separate"/>
          </w:r>
          <w:r>
            <w:t>55</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"_Toc61594394" </w:instrText>
          </w:r>
          <w:r>
            <w:fldChar w:fldCharType="separate"/>
          </w:r>
          <w:r>
            <w:rPr>
              <w:rStyle w:val="35"/>
            </w:rPr>
            <w:t>四、用人单位对学校的评价</w:t>
          </w:r>
          <w:r>
            <w:tab/>
          </w:r>
          <w:r>
            <w:fldChar w:fldCharType="begin"/>
          </w:r>
          <w:r>
            <w:instrText xml:space="preserve"> PAGEREF _Toc61594394 \h </w:instrText>
          </w:r>
          <w:r>
            <w:fldChar w:fldCharType="separate"/>
          </w:r>
          <w:r>
            <w:t>56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"_Toc61594395" </w:instrText>
          </w:r>
          <w:r>
            <w:fldChar w:fldCharType="separate"/>
          </w:r>
          <w:r>
            <w:rPr>
              <w:rStyle w:val="35"/>
            </w:rPr>
            <w:t>（一）对各项就业服务工作满意度</w:t>
          </w:r>
          <w:r>
            <w:tab/>
          </w:r>
          <w:r>
            <w:fldChar w:fldCharType="begin"/>
          </w:r>
          <w:r>
            <w:instrText xml:space="preserve"> PAGEREF _Toc61594395 \h </w:instrText>
          </w:r>
          <w:r>
            <w:fldChar w:fldCharType="separate"/>
          </w:r>
          <w:r>
            <w:t>56</w:t>
          </w:r>
          <w:r>
            <w:fldChar w:fldCharType="end"/>
          </w:r>
          <w:r>
            <w:fldChar w:fldCharType="end"/>
          </w:r>
        </w:p>
        <w:p>
          <w:pPr>
            <w:pStyle w:val="15"/>
            <w:tabs>
              <w:tab w:val="right" w:leader="dot" w:pos="8296"/>
            </w:tabs>
            <w:ind w:firstLine="420"/>
            <w:rPr>
              <w:rFonts w:asciiTheme="minorHAnsi" w:hAnsiTheme="minorHAnsi" w:eastAsiaTheme="minorEastAsia" w:cstheme="minorBidi"/>
            </w:rPr>
          </w:pPr>
          <w:r>
            <w:fldChar w:fldCharType="begin"/>
          </w:r>
          <w:r>
            <w:instrText xml:space="preserve"> HYPERLINK \l "_Toc61594396" </w:instrText>
          </w:r>
          <w:r>
            <w:fldChar w:fldCharType="separate"/>
          </w:r>
          <w:r>
            <w:rPr>
              <w:rStyle w:val="35"/>
            </w:rPr>
            <w:t>（二）对就业服务改进建议</w:t>
          </w:r>
          <w:r>
            <w:tab/>
          </w:r>
          <w:r>
            <w:fldChar w:fldCharType="begin"/>
          </w:r>
          <w:r>
            <w:instrText xml:space="preserve"> PAGEREF _Toc61594396 \h </w:instrText>
          </w:r>
          <w:r>
            <w:fldChar w:fldCharType="separate"/>
          </w:r>
          <w:r>
            <w:t>56</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"_Toc61594397" </w:instrText>
          </w:r>
          <w:r>
            <w:fldChar w:fldCharType="separate"/>
          </w:r>
          <w:r>
            <w:rPr>
              <w:rStyle w:val="35"/>
            </w:rPr>
            <w:t>第七章 就业发展趋势分析</w:t>
          </w:r>
          <w:r>
            <w:tab/>
          </w:r>
          <w:r>
            <w:fldChar w:fldCharType="begin"/>
          </w:r>
          <w:r>
            <w:instrText xml:space="preserve"> PAGEREF _Toc61594397 \h </w:instrText>
          </w:r>
          <w:r>
            <w:fldChar w:fldCharType="separate"/>
          </w:r>
          <w:r>
            <w:t>57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"_Toc61594398" </w:instrText>
          </w:r>
          <w:r>
            <w:fldChar w:fldCharType="separate"/>
          </w:r>
          <w:r>
            <w:rPr>
              <w:rStyle w:val="35"/>
            </w:rPr>
            <w:t>一、毕业生就业率变化趋势</w:t>
          </w:r>
          <w:r>
            <w:tab/>
          </w:r>
          <w:r>
            <w:fldChar w:fldCharType="begin"/>
          </w:r>
          <w:r>
            <w:instrText xml:space="preserve"> PAGEREF _Toc61594398 \h </w:instrText>
          </w:r>
          <w:r>
            <w:fldChar w:fldCharType="separate"/>
          </w:r>
          <w:r>
            <w:t>57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"_Toc61594399" </w:instrText>
          </w:r>
          <w:r>
            <w:fldChar w:fldCharType="separate"/>
          </w:r>
          <w:r>
            <w:rPr>
              <w:rStyle w:val="35"/>
            </w:rPr>
            <w:t>二、毕业生升学率变化趋势</w:t>
          </w:r>
          <w:r>
            <w:tab/>
          </w:r>
          <w:r>
            <w:fldChar w:fldCharType="begin"/>
          </w:r>
          <w:r>
            <w:instrText xml:space="preserve"> PAGEREF _Toc61594399 \h </w:instrText>
          </w:r>
          <w:r>
            <w:fldChar w:fldCharType="separate"/>
          </w:r>
          <w:r>
            <w:t>57</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"_Toc61594400" </w:instrText>
          </w:r>
          <w:r>
            <w:fldChar w:fldCharType="separate"/>
          </w:r>
          <w:r>
            <w:rPr>
              <w:rStyle w:val="35"/>
            </w:rPr>
            <w:t>三、就业单位行业变化趋势</w:t>
          </w:r>
          <w:r>
            <w:tab/>
          </w:r>
          <w:r>
            <w:fldChar w:fldCharType="begin"/>
          </w:r>
          <w:r>
            <w:instrText xml:space="preserve"> PAGEREF _Toc61594400 \h </w:instrText>
          </w:r>
          <w:r>
            <w:fldChar w:fldCharType="separate"/>
          </w:r>
          <w:r>
            <w:t>58</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"_Toc61594401" </w:instrText>
          </w:r>
          <w:r>
            <w:fldChar w:fldCharType="separate"/>
          </w:r>
          <w:r>
            <w:rPr>
              <w:rStyle w:val="35"/>
            </w:rPr>
            <w:t>四、毕业生就业满意度变化趋势</w:t>
          </w:r>
          <w:r>
            <w:tab/>
          </w:r>
          <w:r>
            <w:fldChar w:fldCharType="begin"/>
          </w:r>
          <w:r>
            <w:instrText xml:space="preserve"> PAGEREF _Toc61594401 \h </w:instrText>
          </w:r>
          <w:r>
            <w:fldChar w:fldCharType="separate"/>
          </w:r>
          <w:r>
            <w:t>58</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"_Toc61594402" </w:instrText>
          </w:r>
          <w:r>
            <w:fldChar w:fldCharType="separate"/>
          </w:r>
          <w:r>
            <w:rPr>
              <w:rStyle w:val="35"/>
            </w:rPr>
            <w:t>五、毕业生平均薪资变化趋势</w:t>
          </w:r>
          <w:r>
            <w:tab/>
          </w:r>
          <w:r>
            <w:fldChar w:fldCharType="begin"/>
          </w:r>
          <w:r>
            <w:instrText xml:space="preserve"> PAGEREF _Toc61594402 \h </w:instrText>
          </w:r>
          <w:r>
            <w:fldChar w:fldCharType="separate"/>
          </w:r>
          <w:r>
            <w:t>59</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"_Toc61594403" </w:instrText>
          </w:r>
          <w:r>
            <w:fldChar w:fldCharType="separate"/>
          </w:r>
          <w:r>
            <w:rPr>
              <w:rStyle w:val="35"/>
            </w:rPr>
            <w:t>六、毕业生就业专业相关度变化趋势</w:t>
          </w:r>
          <w:r>
            <w:tab/>
          </w:r>
          <w:r>
            <w:fldChar w:fldCharType="begin"/>
          </w:r>
          <w:r>
            <w:instrText xml:space="preserve"> PAGEREF _Toc61594403 \h </w:instrText>
          </w:r>
          <w:r>
            <w:fldChar w:fldCharType="separate"/>
          </w:r>
          <w:r>
            <w:t>59</w:t>
          </w:r>
          <w:r>
            <w:fldChar w:fldCharType="end"/>
          </w:r>
          <w:r>
            <w:fldChar w:fldCharType="end"/>
          </w:r>
        </w:p>
        <w:p>
          <w:pPr>
            <w:pStyle w:val="22"/>
            <w:tabs>
              <w:tab w:val="right" w:leader="dot" w:pos="8296"/>
            </w:tabs>
            <w:ind w:firstLine="420"/>
            <w:rPr>
              <w:rFonts w:asciiTheme="minorHAnsi" w:hAnsiTheme="minorHAnsi" w:eastAsiaTheme="minorEastAsia" w:cstheme="minorBidi"/>
            </w:rPr>
          </w:pPr>
          <w:r>
            <w:fldChar w:fldCharType="begin"/>
          </w:r>
          <w:r>
            <w:instrText xml:space="preserve"> HYPERLINK \l "_Toc61594404" </w:instrText>
          </w:r>
          <w:r>
            <w:fldChar w:fldCharType="separate"/>
          </w:r>
          <w:r>
            <w:rPr>
              <w:rStyle w:val="35"/>
            </w:rPr>
            <w:t>第八章 总结</w:t>
          </w:r>
          <w:r>
            <w:tab/>
          </w:r>
          <w:r>
            <w:fldChar w:fldCharType="begin"/>
          </w:r>
          <w:r>
            <w:instrText xml:space="preserve"> PAGEREF _Toc61594404 \h </w:instrText>
          </w:r>
          <w:r>
            <w:fldChar w:fldCharType="separate"/>
          </w:r>
          <w:r>
            <w:t>60</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"_Toc61594405" </w:instrText>
          </w:r>
          <w:r>
            <w:fldChar w:fldCharType="separate"/>
          </w:r>
          <w:r>
            <w:rPr>
              <w:rStyle w:val="35"/>
            </w:rPr>
            <w:t>一、就业质量</w:t>
          </w:r>
          <w:r>
            <w:tab/>
          </w:r>
          <w:r>
            <w:fldChar w:fldCharType="begin"/>
          </w:r>
          <w:r>
            <w:instrText xml:space="preserve"> PAGEREF _Toc61594405 \h </w:instrText>
          </w:r>
          <w:r>
            <w:fldChar w:fldCharType="separate"/>
          </w:r>
          <w:r>
            <w:t>60</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"_Toc61594406" </w:instrText>
          </w:r>
          <w:r>
            <w:fldChar w:fldCharType="separate"/>
          </w:r>
          <w:r>
            <w:rPr>
              <w:rStyle w:val="35"/>
            </w:rPr>
            <w:t>二、教育教学工作</w:t>
          </w:r>
          <w:r>
            <w:tab/>
          </w:r>
          <w:r>
            <w:fldChar w:fldCharType="begin"/>
          </w:r>
          <w:r>
            <w:instrText xml:space="preserve"> PAGEREF _Toc61594406 \h </w:instrText>
          </w:r>
          <w:r>
            <w:fldChar w:fldCharType="separate"/>
          </w:r>
          <w:r>
            <w:t>61</w:t>
          </w:r>
          <w:r>
            <w:fldChar w:fldCharType="end"/>
          </w:r>
          <w:r>
            <w:fldChar w:fldCharType="end"/>
          </w:r>
        </w:p>
        <w:p>
          <w:pPr>
            <w:pStyle w:val="26"/>
            <w:tabs>
              <w:tab w:val="right" w:leader="dot" w:pos="8296"/>
            </w:tabs>
            <w:ind w:firstLine="420"/>
            <w:rPr>
              <w:rFonts w:asciiTheme="minorHAnsi" w:hAnsiTheme="minorHAnsi" w:eastAsiaTheme="minorEastAsia" w:cstheme="minorBidi"/>
            </w:rPr>
          </w:pPr>
          <w:r>
            <w:fldChar w:fldCharType="begin"/>
          </w:r>
          <w:r>
            <w:instrText xml:space="preserve"> HYPERLINK \l "_Toc61594407" </w:instrText>
          </w:r>
          <w:r>
            <w:fldChar w:fldCharType="separate"/>
          </w:r>
          <w:r>
            <w:rPr>
              <w:rStyle w:val="35"/>
            </w:rPr>
            <w:t>三、就业创业服务</w:t>
          </w:r>
          <w:r>
            <w:tab/>
          </w:r>
          <w:r>
            <w:fldChar w:fldCharType="begin"/>
          </w:r>
          <w:r>
            <w:instrText xml:space="preserve"> PAGEREF _Toc61594407 \h </w:instrText>
          </w:r>
          <w:r>
            <w:fldChar w:fldCharType="separate"/>
          </w:r>
          <w:r>
            <w:t>61</w:t>
          </w:r>
          <w:r>
            <w:fldChar w:fldCharType="end"/>
          </w:r>
          <w:r>
            <w:fldChar w:fldCharType="end"/>
          </w:r>
        </w:p>
        <w:p>
          <w:pPr>
            <w:ind w:firstLine="420"/>
          </w:pPr>
          <w:r>
            <w:fldChar w:fldCharType="end"/>
          </w:r>
        </w:p>
      </w:sdtContent>
    </w:sdt>
    <w:p>
      <w:pPr>
        <w:spacing w:line="240" w:lineRule="auto"/>
        <w:ind w:firstLine="0" w:firstLineChars="0"/>
        <w:jc w:val="left"/>
      </w:pPr>
      <w:r>
        <w:br w:type="page"/>
      </w:r>
    </w:p>
    <w:p>
      <w:pPr>
        <w:spacing w:line="240" w:lineRule="auto"/>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start="1"/>
          <w:cols w:space="720" w:num="1"/>
          <w:docGrid w:type="lines" w:linePitch="312" w:charSpace="0"/>
        </w:sectPr>
      </w:pPr>
    </w:p>
    <w:p>
      <w:pPr>
        <w:pStyle w:val="2"/>
      </w:pPr>
      <w:bookmarkStart w:id="15" w:name="_Toc61594306"/>
      <w:r>
        <w:t>学校简介</w:t>
      </w:r>
      <w:bookmarkEnd w:id="15"/>
    </w:p>
    <w:p>
      <w:pPr>
        <w:ind w:firstLine="420"/>
      </w:pPr>
      <w:r>
        <w:t>湖南理工学院坐落在国家历史文化名城、国家区域性中心城市——岳阳市，面朝岳阳楼，紧邻洞庭湖，是一所以理工科为主，理、工、文、经、管、法、教、艺等多学科协调发展的省属一本高校，是湖南省2018-2022年第二批博士学位授予立项建设单位、首批国家产教融合发展工程应用型本科规划高校、湖南省</w:t>
      </w:r>
      <w:r>
        <w:rPr>
          <w:rFonts w:ascii="宋体" w:hAnsi="宋体"/>
        </w:rPr>
        <w:t>“</w:t>
      </w:r>
      <w:r>
        <w:t>十三五</w:t>
      </w:r>
      <w:r>
        <w:rPr>
          <w:rFonts w:ascii="宋体" w:hAnsi="宋体"/>
        </w:rPr>
        <w:t>”</w:t>
      </w:r>
      <w:r>
        <w:t>期间改办大学规划高校、湖南省国内一流学科建设高校。</w:t>
      </w:r>
    </w:p>
    <w:p>
      <w:pPr>
        <w:ind w:firstLine="420"/>
      </w:pPr>
      <w:r>
        <w:t>学校自然环境优美，人文底蕴深厚，办学历史可追溯至1910年的湖滨大学，现设有16个教学院及1个独立学院--南湖学院机电系学院，拥有本科专业48个，一级学科硕士学位授权点9个，硕士专业学位授权点9个，国内一流建设学科和国内一流培育学科各1个，省级重点建设学科5个。</w:t>
      </w:r>
    </w:p>
    <w:p>
      <w:pPr>
        <w:ind w:firstLine="420"/>
      </w:pPr>
      <w:r>
        <w:t>学校现有校园面积2300余亩，全日制本科生、硕士生、留学生23000余人（含独立学院），教职员工1500余人，其中教授、副教授440余人，硕士生导师300余人，国务院政府特殊津贴专家、湖南省院士专家咨询委员会委员、教育部</w:t>
      </w:r>
      <w:r>
        <w:rPr>
          <w:rFonts w:ascii="宋体" w:hAnsi="宋体"/>
        </w:rPr>
        <w:t>“</w:t>
      </w:r>
      <w:r>
        <w:t>新世纪优秀人才支持计划</w:t>
      </w:r>
      <w:r>
        <w:rPr>
          <w:rFonts w:ascii="宋体" w:hAnsi="宋体"/>
        </w:rPr>
        <w:t>”</w:t>
      </w:r>
      <w:r>
        <w:t>人选、省</w:t>
      </w:r>
      <w:r>
        <w:rPr>
          <w:rFonts w:ascii="宋体" w:hAnsi="宋体"/>
        </w:rPr>
        <w:t>“</w:t>
      </w:r>
      <w:r>
        <w:t>杰青</w:t>
      </w:r>
      <w:r>
        <w:rPr>
          <w:rFonts w:ascii="宋体" w:hAnsi="宋体"/>
        </w:rPr>
        <w:t>”</w:t>
      </w:r>
      <w:r>
        <w:t>、省级教学名师、</w:t>
      </w:r>
      <w:r>
        <w:rPr>
          <w:rFonts w:ascii="宋体" w:hAnsi="宋体"/>
        </w:rPr>
        <w:t>“</w:t>
      </w:r>
      <w:r>
        <w:t>湖湘青年英才</w:t>
      </w:r>
      <w:r>
        <w:rPr>
          <w:rFonts w:ascii="宋体" w:hAnsi="宋体"/>
        </w:rPr>
        <w:t>”</w:t>
      </w:r>
      <w:r>
        <w:t>等高层次人才150余人，长聘高水平外籍教师13人，柔性引进院士、国家</w:t>
      </w:r>
      <w:r>
        <w:rPr>
          <w:rFonts w:ascii="宋体" w:hAnsi="宋体"/>
        </w:rPr>
        <w:t>“</w:t>
      </w:r>
      <w:r>
        <w:t>杰青</w:t>
      </w:r>
      <w:r>
        <w:rPr>
          <w:rFonts w:ascii="宋体" w:hAnsi="宋体"/>
        </w:rPr>
        <w:t>”</w:t>
      </w:r>
      <w:r>
        <w:t>等特聘教授数十人。</w:t>
      </w:r>
    </w:p>
    <w:p>
      <w:pPr>
        <w:ind w:firstLine="420"/>
      </w:pPr>
      <w:r>
        <w:t>学校坚持以本为本，扎实推进产教融合、协同育人，教育教学能力不断提升。获准立项的本科教学</w:t>
      </w:r>
      <w:r>
        <w:rPr>
          <w:rFonts w:ascii="宋体" w:hAnsi="宋体"/>
        </w:rPr>
        <w:t>“</w:t>
      </w:r>
      <w:r>
        <w:t>质量工程</w:t>
      </w:r>
      <w:r>
        <w:rPr>
          <w:rFonts w:ascii="宋体" w:hAnsi="宋体"/>
        </w:rPr>
        <w:t>”</w:t>
      </w:r>
      <w:r>
        <w:t>项目数量居于全省高校前列，其中获国家级特色专业建设点4个，省级一流本科专业建设点24个，现有国家级新工科研究与实践项目1项、国家级实验教学示范中心1个，国家级大学生校外实践教育基地1个，国家级大学生创新创业计划项目84个，省部级实践教学平台32个。此外，获国家级教学成果奖二等奖2项，省级专业综合改革试点项目3项、教育强省建设重点推进工作项目1项，国家级专业综合改革试点项目2项，教育部</w:t>
      </w:r>
      <w:r>
        <w:rPr>
          <w:rFonts w:ascii="宋体" w:hAnsi="宋体"/>
        </w:rPr>
        <w:t>“</w:t>
      </w:r>
      <w:r>
        <w:t>产学合作专业综合改革</w:t>
      </w:r>
      <w:r>
        <w:rPr>
          <w:rFonts w:ascii="宋体" w:hAnsi="宋体"/>
        </w:rPr>
        <w:t>”</w:t>
      </w:r>
      <w:r>
        <w:t>项目3项，教育部高教司产学合作协同育人项目立项项目108项，省级新工科项目3项、新农科项目1项。</w:t>
      </w:r>
    </w:p>
    <w:p>
      <w:pPr>
        <w:ind w:firstLine="420"/>
      </w:pPr>
      <w:r>
        <w:t>学校注重学生的创新精神和创新能力培养，人才培养质量高。与大型国企央企民企建立了合作关系，开办了</w:t>
      </w:r>
      <w:r>
        <w:rPr>
          <w:rFonts w:ascii="宋体" w:hAnsi="宋体"/>
        </w:rPr>
        <w:t>“</w:t>
      </w:r>
      <w:r>
        <w:t>订单班</w:t>
      </w:r>
      <w:r>
        <w:rPr>
          <w:rFonts w:ascii="宋体" w:hAnsi="宋体"/>
        </w:rPr>
        <w:t>”</w:t>
      </w:r>
      <w:r>
        <w:t>，与政府、企业联合成立了创新创业就业学院。近五年来，学生在省级以上学科竞赛中获奖1300余项，在全国大学生电子设计竞赛、全国数学建模竞赛、全国大学生英语演讲比赛、全国大学生艺术展演中多次获得一等奖，特别是2017年在全国大学生电子设计竞赛中获国家一等奖4项，一等奖获奖数量居湖南省高校首位，全国排名第13位。学生录取调档线、就业率、考研录取率稳居全省同类院校前列。</w:t>
      </w:r>
    </w:p>
    <w:p>
      <w:pPr>
        <w:ind w:firstLine="420"/>
      </w:pPr>
      <w:r>
        <w:t>学校积极对接国家创新驱动发展战略的需求，科学研究水平快速提升。现有省部级科研平台30个，其中中国机械工业重点实验室1个、湖南省重点实验室5个，省级工程研究中心2个，省高校</w:t>
      </w:r>
      <w:r>
        <w:rPr>
          <w:rFonts w:ascii="宋体" w:hAnsi="宋体"/>
        </w:rPr>
        <w:t>“</w:t>
      </w:r>
      <w:r>
        <w:t>2011协同创新中心</w:t>
      </w:r>
      <w:r>
        <w:rPr>
          <w:rFonts w:ascii="宋体" w:hAnsi="宋体"/>
        </w:rPr>
        <w:t>”</w:t>
      </w:r>
      <w:r>
        <w:t>1个，省级工程技术研究中心3个，省社科研究基地6个，省普通高校哲学社会科学重点研究基地1个，省普通高校产学研示范基地3个，省普通高校重点实验室2个，湖南省海智基地1个。近5年来，共获国家自科基金项目37项，国家社科基金项目22项；获省级以上科技奖励31项，其中国家科技进步奖二等奖1项，湖南省科学技术奖一等奖2项；《云梦学刊》</w:t>
      </w:r>
      <w:r>
        <w:rPr>
          <w:rFonts w:ascii="宋体" w:hAnsi="宋体"/>
        </w:rPr>
        <w:t>“</w:t>
      </w:r>
      <w:r>
        <w:t>当代学术史研究</w:t>
      </w:r>
      <w:r>
        <w:rPr>
          <w:rFonts w:ascii="宋体" w:hAnsi="宋体"/>
        </w:rPr>
        <w:t>”</w:t>
      </w:r>
      <w:r>
        <w:t>栏目入选教育部第三批</w:t>
      </w:r>
      <w:r>
        <w:rPr>
          <w:rFonts w:ascii="宋体" w:hAnsi="宋体"/>
        </w:rPr>
        <w:t>“</w:t>
      </w:r>
      <w:r>
        <w:t>名栏建设</w:t>
      </w:r>
      <w:r>
        <w:rPr>
          <w:rFonts w:ascii="宋体" w:hAnsi="宋体"/>
        </w:rPr>
        <w:t>”</w:t>
      </w:r>
      <w:r>
        <w:t>工程。</w:t>
      </w:r>
    </w:p>
    <w:p>
      <w:pPr>
        <w:ind w:firstLine="420"/>
      </w:pPr>
      <w:r>
        <w:t>学校主动服务区域经济社会发展，社会服务能力不断增强。先后与地方政府、行业企业、高等院校及科研院所联合搭建高水平学科平台30多个。与华夏芯公司合作组建了</w:t>
      </w:r>
      <w:r>
        <w:rPr>
          <w:rFonts w:ascii="宋体" w:hAnsi="宋体"/>
        </w:rPr>
        <w:t>“</w:t>
      </w:r>
      <w:r>
        <w:t>异构计算及应用研究中心</w:t>
      </w:r>
      <w:r>
        <w:rPr>
          <w:rFonts w:ascii="宋体" w:hAnsi="宋体"/>
        </w:rPr>
        <w:t>”</w:t>
      </w:r>
      <w:r>
        <w:t>，使学校成为世界顶尖芯片联盟组织（HSA）成员单位；整合校内资源，柔性引进国内外高水平专家组建了先进光学研究所、新能源研究所、有机高分子功能材料研究中心、大物流研究创新中心、机器视觉及人工智能研究中心、3D打印实验室；与上海建为集团组建了</w:t>
      </w:r>
      <w:r>
        <w:rPr>
          <w:rFonts w:ascii="宋体" w:hAnsi="宋体"/>
        </w:rPr>
        <w:t>“</w:t>
      </w:r>
      <w:r>
        <w:t>湖南省文物建筑保护利用重点科研基地</w:t>
      </w:r>
      <w:r>
        <w:rPr>
          <w:rFonts w:ascii="宋体" w:hAnsi="宋体"/>
        </w:rPr>
        <w:t>”</w:t>
      </w:r>
      <w:r>
        <w:t>；引进国防科技大学高水平自主择业博士、教授成立了</w:t>
      </w:r>
      <w:r>
        <w:rPr>
          <w:rFonts w:ascii="宋体" w:hAnsi="宋体"/>
        </w:rPr>
        <w:t>“</w:t>
      </w:r>
      <w:r>
        <w:t>军民融合研究院</w:t>
      </w:r>
      <w:r>
        <w:rPr>
          <w:rFonts w:ascii="宋体" w:hAnsi="宋体"/>
        </w:rPr>
        <w:t>”“</w:t>
      </w:r>
      <w:r>
        <w:t>湖南省应急通信工程技术研究中心</w:t>
      </w:r>
      <w:r>
        <w:rPr>
          <w:rFonts w:ascii="宋体" w:hAnsi="宋体"/>
        </w:rPr>
        <w:t>”</w:t>
      </w:r>
      <w:r>
        <w:t>；与地方政府建立了全面合作框架协议，成立了湖南岳阳乡村发展研究中心、湖南省屈原文化研究基地、岳州窑产学研基地、天岳幕阜山文化研究中心等。</w:t>
      </w:r>
    </w:p>
    <w:p>
      <w:pPr>
        <w:ind w:firstLine="420"/>
      </w:pPr>
      <w:r>
        <w:t>学校加快推进教育国际化进程，开放办学成效不断提升。从1985年开始聘请外籍教师授课，招收培养留学生。先后与俄罗斯、德国、韩国、加拿大、美国、日本等国高校建立友好校际关系，实施</w:t>
      </w:r>
      <w:r>
        <w:rPr>
          <w:rFonts w:ascii="宋体" w:hAnsi="宋体"/>
        </w:rPr>
        <w:t>“</w:t>
      </w:r>
      <w:r>
        <w:t>3+1+1</w:t>
      </w:r>
      <w:r>
        <w:rPr>
          <w:rFonts w:ascii="宋体" w:hAnsi="宋体"/>
        </w:rPr>
        <w:t>”“</w:t>
      </w:r>
      <w:r>
        <w:t>2+2</w:t>
      </w:r>
      <w:r>
        <w:rPr>
          <w:rFonts w:ascii="宋体" w:hAnsi="宋体"/>
        </w:rPr>
        <w:t>”</w:t>
      </w:r>
      <w:r>
        <w:t>等多类型的本硕协同培养项目，与韩国高校开展了中外合作办学项目和联合培养博士研究生项目。先后有10余名外教荣获</w:t>
      </w:r>
      <w:r>
        <w:rPr>
          <w:rFonts w:ascii="宋体" w:hAnsi="宋体"/>
        </w:rPr>
        <w:t>“</w:t>
      </w:r>
      <w:r>
        <w:t>国家友谊奖</w:t>
      </w:r>
      <w:r>
        <w:rPr>
          <w:rFonts w:ascii="宋体" w:hAnsi="宋体"/>
        </w:rPr>
        <w:t>”“</w:t>
      </w:r>
      <w:r>
        <w:t>潇湘友谊奖</w:t>
      </w:r>
      <w:r>
        <w:rPr>
          <w:rFonts w:ascii="宋体" w:hAnsi="宋体"/>
        </w:rPr>
        <w:t>”“</w:t>
      </w:r>
      <w:r>
        <w:t>芙蓉奖</w:t>
      </w:r>
      <w:r>
        <w:rPr>
          <w:rFonts w:ascii="宋体" w:hAnsi="宋体"/>
        </w:rPr>
        <w:t>”</w:t>
      </w:r>
      <w:r>
        <w:t>等荣誉，俄罗斯外教弗拉基米尔·加宁两次受到国家主席习近平同志亲切接见。此外，学校积极参与</w:t>
      </w:r>
      <w:r>
        <w:rPr>
          <w:rFonts w:ascii="宋体" w:hAnsi="宋体"/>
        </w:rPr>
        <w:t>“</w:t>
      </w:r>
      <w:r>
        <w:t>一带一路</w:t>
      </w:r>
      <w:r>
        <w:rPr>
          <w:rFonts w:ascii="宋体" w:hAnsi="宋体"/>
        </w:rPr>
        <w:t>”</w:t>
      </w:r>
      <w:r>
        <w:t>体育援助计划，承担了近十个国家的体育训练任务，获批湖南省对外体育技术培训接待基地。</w:t>
      </w:r>
    </w:p>
    <w:p>
      <w:pPr>
        <w:ind w:firstLine="420"/>
      </w:pPr>
      <w:r>
        <w:t>学校不断夯实发展基础，办学条件日益改善。建成了馆舍面积达3.7万平方米、阅览座位3000余个的省内一流的图书馆，另有3.6万平方米的实验实训中心、2.6万平米的体育及教学综合楼、2万平方米的田径场已开工建设，4万平方米的产学研大楼、2.5万平方米的学术交流中心、5万平方米的</w:t>
      </w:r>
      <w:r>
        <w:rPr>
          <w:rFonts w:ascii="宋体" w:hAnsi="宋体"/>
        </w:rPr>
        <w:t>“</w:t>
      </w:r>
      <w:r>
        <w:t>巴陵人才</w:t>
      </w:r>
      <w:r>
        <w:rPr>
          <w:rFonts w:ascii="宋体" w:hAnsi="宋体"/>
        </w:rPr>
        <w:t>”</w:t>
      </w:r>
      <w:r>
        <w:t>公寓、3千平米的网球场也进入前期报建阶段，实验教学仪器设备、图书资料、智慧校园的建设力度不断加大，校园物业、学生食堂全部实现了社会化托管，学生公寓全部安装了空调、热水和直饮水，办学功能不断完善，校园面貌日新月异。</w:t>
      </w:r>
    </w:p>
    <w:p>
      <w:pPr>
        <w:ind w:firstLine="420"/>
      </w:pPr>
      <w:r>
        <w:t>学校在长期的办学过程中，传承先进文化思想与湖湘文化精髓，践行</w:t>
      </w:r>
      <w:r>
        <w:rPr>
          <w:rFonts w:ascii="宋体" w:hAnsi="宋体"/>
        </w:rPr>
        <w:t>“</w:t>
      </w:r>
      <w:r>
        <w:t>至善穷理</w:t>
      </w:r>
      <w:r>
        <w:rPr>
          <w:rFonts w:ascii="宋体" w:hAnsi="宋体"/>
        </w:rPr>
        <w:t>”</w:t>
      </w:r>
      <w:r>
        <w:t>校训和</w:t>
      </w:r>
      <w:r>
        <w:rPr>
          <w:rFonts w:ascii="宋体" w:hAnsi="宋体"/>
        </w:rPr>
        <w:t>“</w:t>
      </w:r>
      <w:r>
        <w:t>三个为本</w:t>
      </w:r>
      <w:r>
        <w:rPr>
          <w:rFonts w:ascii="宋体" w:hAnsi="宋体"/>
        </w:rPr>
        <w:t>”</w:t>
      </w:r>
      <w:r>
        <w:t>办学理念，逐步形成了</w:t>
      </w:r>
      <w:r>
        <w:rPr>
          <w:rFonts w:ascii="宋体" w:hAnsi="宋体"/>
        </w:rPr>
        <w:t>“</w:t>
      </w:r>
      <w:r>
        <w:t>严谨、和谐、求实、创新</w:t>
      </w:r>
      <w:r>
        <w:rPr>
          <w:rFonts w:ascii="宋体" w:hAnsi="宋体"/>
        </w:rPr>
        <w:t>”</w:t>
      </w:r>
      <w:r>
        <w:t>的优良校风。全面加强党的建设，确保了正确的办学方向，促进了学校健康发展，先后被评为</w:t>
      </w:r>
      <w:r>
        <w:rPr>
          <w:rFonts w:ascii="宋体" w:hAnsi="宋体"/>
        </w:rPr>
        <w:t>“</w:t>
      </w:r>
      <w:r>
        <w:t>全国文明单位</w:t>
      </w:r>
      <w:r>
        <w:rPr>
          <w:rFonts w:ascii="宋体" w:hAnsi="宋体"/>
        </w:rPr>
        <w:t>”“</w:t>
      </w:r>
      <w:r>
        <w:t>全国普通高校毕业生就业工作先进集体</w:t>
      </w:r>
      <w:r>
        <w:rPr>
          <w:rFonts w:ascii="宋体" w:hAnsi="宋体"/>
        </w:rPr>
        <w:t>”“</w:t>
      </w:r>
      <w:r>
        <w:t>全国师德建设先进单位</w:t>
      </w:r>
      <w:r>
        <w:rPr>
          <w:rFonts w:ascii="宋体" w:hAnsi="宋体"/>
        </w:rPr>
        <w:t>”“</w:t>
      </w:r>
      <w:r>
        <w:t>全国引进国外智力先进单位</w:t>
      </w:r>
      <w:r>
        <w:rPr>
          <w:rFonts w:ascii="宋体" w:hAnsi="宋体"/>
        </w:rPr>
        <w:t>”“</w:t>
      </w:r>
      <w:r>
        <w:t>全省先进基层党组织</w:t>
      </w:r>
      <w:r>
        <w:rPr>
          <w:rFonts w:ascii="宋体" w:hAnsi="宋体"/>
        </w:rPr>
        <w:t>”“</w:t>
      </w:r>
      <w:r>
        <w:t>全国五四红旗团委</w:t>
      </w:r>
      <w:r>
        <w:rPr>
          <w:rFonts w:ascii="宋体" w:hAnsi="宋体"/>
        </w:rPr>
        <w:t>”</w:t>
      </w:r>
      <w:r>
        <w:t>等。</w:t>
      </w:r>
    </w:p>
    <w:p>
      <w:pPr>
        <w:ind w:firstLine="420"/>
        <w:sectPr>
          <w:headerReference r:id="rId11" w:type="default"/>
          <w:footerReference r:id="rId13" w:type="default"/>
          <w:headerReference r:id="rId12" w:type="even"/>
          <w:footerReference r:id="rId14" w:type="even"/>
          <w:pgSz w:w="11906" w:h="16838"/>
          <w:pgMar w:top="1440" w:right="1800" w:bottom="1440" w:left="1800" w:header="851" w:footer="992" w:gutter="0"/>
          <w:pgNumType w:fmt="upperRoman" w:start="1"/>
          <w:cols w:space="720" w:num="1"/>
          <w:docGrid w:type="lines" w:linePitch="312" w:charSpace="0"/>
        </w:sectPr>
      </w:pPr>
      <w:r>
        <w:t>十三五以来，面对新的发展机遇和挑战，学校以习近平新时代中国特色社会主义思想为指导，制定了建设</w:t>
      </w:r>
      <w:r>
        <w:rPr>
          <w:rFonts w:ascii="宋体" w:hAnsi="宋体"/>
        </w:rPr>
        <w:t>“</w:t>
      </w:r>
      <w:r>
        <w:t>有较高社会影响力的特色鲜明的地方大学</w:t>
      </w:r>
      <w:r>
        <w:rPr>
          <w:rFonts w:ascii="宋体" w:hAnsi="宋体"/>
        </w:rPr>
        <w:t>”</w:t>
      </w:r>
      <w:r>
        <w:t>的总目标，明确了建设</w:t>
      </w:r>
      <w:r>
        <w:rPr>
          <w:rFonts w:ascii="宋体" w:hAnsi="宋体"/>
        </w:rPr>
        <w:t>“</w:t>
      </w:r>
      <w:r>
        <w:t>高水平应用型地方大学</w:t>
      </w:r>
      <w:r>
        <w:rPr>
          <w:rFonts w:ascii="宋体" w:hAnsi="宋体"/>
        </w:rPr>
        <w:t>”</w:t>
      </w:r>
      <w:r>
        <w:t>的办学定位，制定了</w:t>
      </w:r>
      <w:r>
        <w:rPr>
          <w:rFonts w:ascii="宋体" w:hAnsi="宋体"/>
        </w:rPr>
        <w:t>“</w:t>
      </w:r>
      <w:r>
        <w:t>两步走</w:t>
      </w:r>
      <w:r>
        <w:rPr>
          <w:rFonts w:ascii="宋体" w:hAnsi="宋体"/>
        </w:rPr>
        <w:t>”</w:t>
      </w:r>
      <w:r>
        <w:t>的发展战略，提出了</w:t>
      </w:r>
      <w:r>
        <w:rPr>
          <w:rFonts w:ascii="宋体" w:hAnsi="宋体"/>
        </w:rPr>
        <w:t>“</w:t>
      </w:r>
      <w:r>
        <w:t>两个转变</w:t>
      </w:r>
      <w:r>
        <w:rPr>
          <w:rFonts w:ascii="宋体" w:hAnsi="宋体"/>
        </w:rPr>
        <w:t>”</w:t>
      </w:r>
      <w:r>
        <w:t>的发展思路，即规模发展向质量发展转变、粗放型管理向精细化管理转变，确定了</w:t>
      </w:r>
      <w:r>
        <w:rPr>
          <w:rFonts w:ascii="宋体" w:hAnsi="宋体"/>
        </w:rPr>
        <w:t>“</w:t>
      </w:r>
      <w:r>
        <w:t>创大申博</w:t>
      </w:r>
      <w:r>
        <w:rPr>
          <w:rFonts w:ascii="宋体" w:hAnsi="宋体"/>
        </w:rPr>
        <w:t>”</w:t>
      </w:r>
      <w:r>
        <w:t>的两大抓手。目前，学校向上发展的氛围正浓、势头正好、劲头正足，广大师生坚持改革创新，弘扬做事文化，积极为学校改革发展建言献策、砥砺前行，豪情满怀地迈向美好未来！</w:t>
      </w:r>
    </w:p>
    <w:p>
      <w:pPr>
        <w:pStyle w:val="2"/>
      </w:pPr>
      <w:bookmarkStart w:id="16" w:name="_Toc61594307"/>
      <w:r>
        <w:t>第一章 毕业生生源与毕业去向</w:t>
      </w:r>
      <w:bookmarkEnd w:id="16"/>
    </w:p>
    <w:p>
      <w:pPr>
        <w:ind w:firstLine="420"/>
      </w:pPr>
      <w:r>
        <w:t>毕业生就业基本情况主要从毕业生规模及结构、就业率及就业类别、毕业生单位就业情况、毕业生继续深造情况四个方面进行分析。</w:t>
      </w:r>
    </w:p>
    <w:p>
      <w:pPr>
        <w:pStyle w:val="3"/>
        <w:numPr>
          <w:ilvl w:val="0"/>
          <w:numId w:val="0"/>
        </w:numPr>
        <w:rPr>
          <w:rFonts w:cs="Times New Roman"/>
        </w:rPr>
      </w:pPr>
      <w:bookmarkStart w:id="17" w:name="_Toc59184302"/>
      <w:bookmarkStart w:id="18" w:name="_Toc61594308"/>
      <w:bookmarkStart w:id="19" w:name="_Hlk59194011"/>
      <w:r>
        <w:rPr>
          <w:rFonts w:cs="Times New Roman"/>
        </w:rPr>
        <w:t>一、毕业生</w:t>
      </w:r>
      <w:bookmarkEnd w:id="17"/>
      <w:r>
        <w:rPr>
          <w:rFonts w:cs="Times New Roman"/>
        </w:rPr>
        <w:t>规模及结构</w:t>
      </w:r>
      <w:bookmarkEnd w:id="18"/>
    </w:p>
    <w:bookmarkEnd w:id="19"/>
    <w:p>
      <w:pPr>
        <w:pStyle w:val="4"/>
      </w:pPr>
      <w:bookmarkStart w:id="20" w:name="_Toc59184303"/>
      <w:bookmarkStart w:id="21" w:name="_Toc61594309"/>
      <w:r>
        <w:t>（一）毕业生</w:t>
      </w:r>
      <w:bookmarkEnd w:id="20"/>
      <w:r>
        <w:t>规模及性别结构</w:t>
      </w:r>
      <w:bookmarkEnd w:id="21"/>
    </w:p>
    <w:p>
      <w:pPr>
        <w:ind w:firstLine="420"/>
      </w:pPr>
      <w:r>
        <w:t>毕业生总体4404人，其中硕士毕业生209人，占比4.75%；本科毕业生4195人，占比95.25%。</w:t>
      </w:r>
    </w:p>
    <w:p>
      <w:pPr>
        <w:keepNext/>
        <w:ind w:firstLine="0" w:firstLineChars="0"/>
        <w:jc w:val="center"/>
      </w:pPr>
      <w:r>
        <w:drawing>
          <wp:inline distT="0" distB="0" distL="0" distR="0">
            <wp:extent cx="4197985" cy="246443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毕业生规模及学历结构</w:t>
      </w:r>
    </w:p>
    <w:p>
      <w:pPr>
        <w:pStyle w:val="4"/>
      </w:pPr>
      <w:bookmarkStart w:id="22" w:name="_Toc59184304"/>
      <w:bookmarkStart w:id="23" w:name="_Toc61594310"/>
      <w:r>
        <w:t>（二）毕业生结构分布</w:t>
      </w:r>
      <w:bookmarkEnd w:id="22"/>
      <w:bookmarkEnd w:id="23"/>
    </w:p>
    <w:p>
      <w:pPr>
        <w:pStyle w:val="5"/>
        <w:numPr>
          <w:ilvl w:val="0"/>
          <w:numId w:val="0"/>
        </w:numPr>
        <w:ind w:left="420"/>
        <w:rPr>
          <w:rFonts w:ascii="Times New Roman" w:hAnsi="Times New Roman" w:cs="Times New Roman"/>
        </w:rPr>
      </w:pPr>
      <w:r>
        <w:rPr>
          <w:rFonts w:ascii="Times New Roman" w:hAnsi="Times New Roman" w:cs="Times New Roman"/>
        </w:rPr>
        <w:t>1.学院与专业结构分布</w:t>
      </w:r>
    </w:p>
    <w:p>
      <w:pPr>
        <w:ind w:firstLine="420"/>
      </w:pPr>
      <w:r>
        <w:t>本科毕业生分布在14个学院中，毕业生人数位列前三的学院为：信息科学与工程学院（人数707人，占比16.85%）；经济与管理学院（人数495人，占比11.80%）；土木建筑工程学院（人数324人，占比7.72%）。</w:t>
      </w:r>
    </w:p>
    <w:p>
      <w:pPr>
        <w:ind w:firstLine="420"/>
      </w:pPr>
      <w:r>
        <w:t>本科毕业生人数位列前三的专业为：英语（人数222人，占比5.29%）；体育教育（人数157人，占比3.74%）；土木工程（人数152人，占比3.62%）。</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本科毕业生学院与专业结构分布</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3930"/>
        <w:gridCol w:w="1624"/>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195"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2306"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953"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546" w:type="pct"/>
            <w:shd w:val="clear" w:color="000000" w:fill="11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707</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经济与管理学院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经济与管理学院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495</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土木建筑工程学院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土木建筑工程学院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324</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美术学（师范）</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320</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283</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268</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249</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243</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233</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227</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216</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新闻传播学院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新闻传播学院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212</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210</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5" w:type="pct"/>
            <w:vMerge w:val="continue"/>
            <w:vAlign w:val="center"/>
          </w:tcPr>
          <w:p>
            <w:pPr>
              <w:spacing w:line="240" w:lineRule="auto"/>
              <w:ind w:firstLine="0" w:firstLineChars="0"/>
              <w:jc w:val="left"/>
              <w:rPr>
                <w:color w:val="000000"/>
                <w:kern w:val="0"/>
                <w:sz w:val="18"/>
                <w:szCs w:val="18"/>
              </w:rPr>
            </w:pPr>
          </w:p>
        </w:tc>
        <w:tc>
          <w:tcPr>
            <w:tcW w:w="2306"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95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54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95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208</w:t>
            </w:r>
          </w:p>
        </w:tc>
        <w:tc>
          <w:tcPr>
            <w:tcW w:w="54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0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95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546"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ind w:firstLine="420"/>
      </w:pPr>
    </w:p>
    <w:p>
      <w:pPr>
        <w:ind w:firstLine="420"/>
      </w:pPr>
      <w:r>
        <w:t>硕士毕业生分布在12个学院中，毕业生人数排名第一的学院为中国语言文学学院（人数37人，占比17.70%）。人数排名第一的专业为教育（人数20人，占比9.57%）和机械工程（人数20人，占比9.57%）。</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硕士毕业生学院与专业结构分布</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2476"/>
        <w:gridCol w:w="189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535"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145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111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90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continue"/>
            <w:vAlign w:val="center"/>
          </w:tcPr>
          <w:p>
            <w:pPr>
              <w:spacing w:line="240" w:lineRule="auto"/>
              <w:ind w:firstLine="0" w:firstLineChars="0"/>
              <w:jc w:val="left"/>
              <w:rPr>
                <w:color w:val="000000"/>
                <w:kern w:val="0"/>
                <w:sz w:val="18"/>
                <w:szCs w:val="18"/>
              </w:rPr>
            </w:pP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continue"/>
            <w:vAlign w:val="center"/>
          </w:tcPr>
          <w:p>
            <w:pPr>
              <w:spacing w:line="240" w:lineRule="auto"/>
              <w:ind w:firstLine="0" w:firstLineChars="0"/>
              <w:jc w:val="left"/>
              <w:rPr>
                <w:color w:val="000000"/>
                <w:kern w:val="0"/>
                <w:sz w:val="18"/>
                <w:szCs w:val="18"/>
              </w:rPr>
            </w:pP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rFonts w:hint="eastAsia"/>
                <w:color w:val="000000"/>
                <w:kern w:val="0"/>
                <w:sz w:val="18"/>
                <w:szCs w:val="18"/>
              </w:rPr>
              <w:t>教育科学学</w:t>
            </w:r>
            <w:r>
              <w:rPr>
                <w:color w:val="000000"/>
                <w:kern w:val="0"/>
                <w:sz w:val="18"/>
                <w:szCs w:val="18"/>
              </w:rPr>
              <w:t>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教育科学学院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vMerge w:val="continue"/>
            <w:vAlign w:val="center"/>
          </w:tcPr>
          <w:p>
            <w:pPr>
              <w:spacing w:line="240" w:lineRule="auto"/>
              <w:ind w:firstLine="0" w:firstLineChars="0"/>
              <w:jc w:val="left"/>
              <w:rPr>
                <w:color w:val="000000"/>
                <w:kern w:val="0"/>
                <w:sz w:val="18"/>
                <w:szCs w:val="18"/>
              </w:rPr>
            </w:pP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35"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145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艺术设计</w:t>
            </w:r>
          </w:p>
        </w:tc>
        <w:tc>
          <w:tcPr>
            <w:tcW w:w="111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0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111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0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8"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11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90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pStyle w:val="5"/>
        <w:numPr>
          <w:ilvl w:val="0"/>
          <w:numId w:val="0"/>
        </w:numPr>
        <w:ind w:left="420"/>
        <w:rPr>
          <w:rFonts w:ascii="Times New Roman" w:hAnsi="Times New Roman" w:cs="Times New Roman"/>
        </w:rPr>
      </w:pPr>
      <w:r>
        <w:rPr>
          <w:rFonts w:ascii="Times New Roman" w:hAnsi="Times New Roman" w:cs="Times New Roman"/>
        </w:rPr>
        <w:t>2.生源省分布</w:t>
      </w:r>
    </w:p>
    <w:p>
      <w:pPr>
        <w:ind w:firstLine="420"/>
      </w:pPr>
      <w:r>
        <w:t>2020届毕业生覆盖31个省（直辖市、自治区、行政区），湖南省生源人数最多，共有2911人（占比66.10%），非湖南省生源人数1493人（占比33.90%）。非湖南省生源人数位列前三的地区分别为：江西省120人（占比2.72%）；河北省112人（占比2.54%）；江苏省108人（占比2.45%）。</w:t>
      </w:r>
    </w:p>
    <w:p>
      <w:pPr>
        <w:keepNext/>
        <w:ind w:left="-3" w:leftChars="-67" w:hanging="138" w:hangingChars="66"/>
        <w:jc w:val="center"/>
      </w:pPr>
      <w:r>
        <w:drawing>
          <wp:anchor distT="0" distB="0" distL="114300" distR="114300" simplePos="0" relativeHeight="251660288" behindDoc="1" locked="0" layoutInCell="1" allowOverlap="1">
            <wp:simplePos x="0" y="0"/>
            <wp:positionH relativeFrom="column">
              <wp:posOffset>295910</wp:posOffset>
            </wp:positionH>
            <wp:positionV relativeFrom="paragraph">
              <wp:posOffset>313055</wp:posOffset>
            </wp:positionV>
            <wp:extent cx="5725160" cy="4091940"/>
            <wp:effectExtent l="0" t="0" r="9525" b="381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2" cstate="print">
                      <a:extLst>
                        <a:ext uri="{28A0092B-C50C-407E-A947-70E740481C1C}">
                          <a14:useLocalDpi xmlns:a14="http://schemas.microsoft.com/office/drawing/2010/main" val="0"/>
                        </a:ext>
                      </a:extLst>
                    </a:blip>
                    <a:srcRect t="2468"/>
                    <a:stretch>
                      <a:fillRect/>
                    </a:stretch>
                  </pic:blipFill>
                  <pic:spPr>
                    <a:xfrm>
                      <a:off x="0" y="0"/>
                      <a:ext cx="5724939" cy="4092098"/>
                    </a:xfrm>
                    <a:prstGeom prst="rect">
                      <a:avLst/>
                    </a:prstGeom>
                    <a:ln>
                      <a:noFill/>
                    </a:ln>
                  </pic:spPr>
                </pic:pic>
              </a:graphicData>
            </a:graphic>
          </wp:anchor>
        </w:drawing>
      </w:r>
      <w:r>
        <w:drawing>
          <wp:inline distT="0" distB="0" distL="0" distR="0">
            <wp:extent cx="5915660" cy="455549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毕业生生源结构分布</w:t>
      </w:r>
    </w:p>
    <w:p>
      <w:pPr>
        <w:pStyle w:val="5"/>
        <w:numPr>
          <w:ilvl w:val="0"/>
          <w:numId w:val="0"/>
        </w:numPr>
        <w:ind w:left="420"/>
        <w:rPr>
          <w:rFonts w:ascii="Times New Roman" w:hAnsi="Times New Roman" w:cs="Times New Roman"/>
        </w:rPr>
      </w:pPr>
      <w:r>
        <w:rPr>
          <w:rFonts w:ascii="Times New Roman" w:hAnsi="Times New Roman" w:cs="Times New Roman"/>
        </w:rPr>
        <w:t>3.民族结构分布</w:t>
      </w:r>
    </w:p>
    <w:p>
      <w:pPr>
        <w:ind w:firstLine="420"/>
      </w:pPr>
      <w:r>
        <w:t>2020届毕业生来自于20个民族，汉族生源人数最多，共有4108人（占比93.28%），非汉族生源人数296人（占比6.72%）。非汉族生源人数位列前三的民族分别为：土家族86人（占比1.95%）；苗族70人（占比1.59%）；侗族33人（占比0.75%）。</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毕业生民族结构分布</w:t>
      </w:r>
    </w:p>
    <w:tbl>
      <w:tblPr>
        <w:tblStyle w:val="30"/>
        <w:tblW w:w="5000" w:type="pct"/>
        <w:jc w:val="center"/>
        <w:tblLayout w:type="autofit"/>
        <w:tblCellMar>
          <w:top w:w="0" w:type="dxa"/>
          <w:left w:w="108" w:type="dxa"/>
          <w:bottom w:w="0" w:type="dxa"/>
          <w:right w:w="108" w:type="dxa"/>
        </w:tblCellMar>
      </w:tblPr>
      <w:tblGrid>
        <w:gridCol w:w="1011"/>
        <w:gridCol w:w="1311"/>
        <w:gridCol w:w="1312"/>
        <w:gridCol w:w="1458"/>
        <w:gridCol w:w="1166"/>
        <w:gridCol w:w="1287"/>
        <w:gridCol w:w="977"/>
      </w:tblGrid>
      <w:tr>
        <w:tblPrEx>
          <w:tblCellMar>
            <w:top w:w="0" w:type="dxa"/>
            <w:left w:w="108" w:type="dxa"/>
            <w:bottom w:w="0" w:type="dxa"/>
            <w:right w:w="108" w:type="dxa"/>
          </w:tblCellMar>
        </w:tblPrEx>
        <w:trPr>
          <w:trHeight w:val="240" w:hRule="atLeast"/>
          <w:tblHeader/>
          <w:jc w:val="center"/>
        </w:trPr>
        <w:tc>
          <w:tcPr>
            <w:tcW w:w="983" w:type="dxa"/>
            <w:vMerge w:val="restart"/>
            <w:tcBorders>
              <w:top w:val="single" w:color="000000" w:sz="8" w:space="0"/>
              <w:left w:val="single" w:color="000000" w:sz="8" w:space="0"/>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bookmarkStart w:id="24" w:name="_Toc59184305"/>
            <w:r>
              <w:rPr>
                <w:b/>
                <w:bCs/>
                <w:color w:val="FFFFFF"/>
                <w:kern w:val="0"/>
                <w:sz w:val="18"/>
                <w:szCs w:val="18"/>
              </w:rPr>
              <w:t>民族</w:t>
            </w:r>
          </w:p>
        </w:tc>
        <w:tc>
          <w:tcPr>
            <w:tcW w:w="2551" w:type="dxa"/>
            <w:gridSpan w:val="2"/>
            <w:tcBorders>
              <w:top w:val="single" w:color="000000" w:sz="8" w:space="0"/>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本科毕业生</w:t>
            </w:r>
          </w:p>
        </w:tc>
        <w:tc>
          <w:tcPr>
            <w:tcW w:w="2552" w:type="dxa"/>
            <w:gridSpan w:val="2"/>
            <w:tcBorders>
              <w:top w:val="single" w:color="000000" w:sz="8" w:space="0"/>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硕士毕业生</w:t>
            </w:r>
          </w:p>
        </w:tc>
        <w:tc>
          <w:tcPr>
            <w:tcW w:w="2200" w:type="dxa"/>
            <w:gridSpan w:val="2"/>
            <w:tcBorders>
              <w:top w:val="single" w:color="000000" w:sz="8" w:space="0"/>
              <w:left w:val="nil"/>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总体毕业生</w:t>
            </w:r>
          </w:p>
        </w:tc>
      </w:tr>
      <w:tr>
        <w:tblPrEx>
          <w:tblCellMar>
            <w:top w:w="0" w:type="dxa"/>
            <w:left w:w="108" w:type="dxa"/>
            <w:bottom w:w="0" w:type="dxa"/>
            <w:right w:w="108" w:type="dxa"/>
          </w:tblCellMar>
        </w:tblPrEx>
        <w:trPr>
          <w:trHeight w:val="465" w:hRule="atLeast"/>
          <w:tblHeader/>
          <w:jc w:val="center"/>
        </w:trPr>
        <w:tc>
          <w:tcPr>
            <w:tcW w:w="983"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auto"/>
              <w:ind w:firstLine="0" w:firstLineChars="0"/>
              <w:jc w:val="left"/>
              <w:rPr>
                <w:b/>
                <w:bCs/>
                <w:color w:val="FFFFFF"/>
                <w:kern w:val="0"/>
                <w:sz w:val="18"/>
                <w:szCs w:val="18"/>
              </w:rPr>
            </w:pPr>
          </w:p>
        </w:tc>
        <w:tc>
          <w:tcPr>
            <w:tcW w:w="1275"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276"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1418"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134" w:type="dxa"/>
            <w:tcBorders>
              <w:top w:val="nil"/>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1251" w:type="dxa"/>
            <w:tcBorders>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949" w:type="dxa"/>
            <w:tcBorders>
              <w:left w:val="nil"/>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比例</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3907</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93.14%</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96.17%</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4108</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93.28%</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土家族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82</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1.95%</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1.91%</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苗族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1.60%</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1.59%</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侗族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0.79%</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0.75%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瑶族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0.55%</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0.52%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满族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0.36%</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0.48%</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0.36%</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藏族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0.36%</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0.34%</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回族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0.33%</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0.32%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壮族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0.31%</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0.30%</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布依族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0.19%</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0.18%</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蒙古族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0.14%</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0.14%</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白族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0.07%</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0.07%</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傣族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0.05%</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朝鲜族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0.05%</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0.05%</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黎族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维吾尔族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水族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畲族</w:t>
            </w:r>
          </w:p>
        </w:tc>
        <w:tc>
          <w:tcPr>
            <w:tcW w:w="1275"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彝族</w:t>
            </w:r>
          </w:p>
        </w:tc>
        <w:tc>
          <w:tcPr>
            <w:tcW w:w="1275"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276"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c>
          <w:tcPr>
            <w:tcW w:w="141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25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949"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CellMar>
            <w:top w:w="0" w:type="dxa"/>
            <w:left w:w="108" w:type="dxa"/>
            <w:bottom w:w="0" w:type="dxa"/>
            <w:right w:w="108" w:type="dxa"/>
          </w:tblCellMar>
        </w:tblPrEx>
        <w:trPr>
          <w:trHeight w:val="240" w:hRule="atLeast"/>
          <w:jc w:val="center"/>
        </w:trPr>
        <w:tc>
          <w:tcPr>
            <w:tcW w:w="983" w:type="dxa"/>
            <w:tcBorders>
              <w:top w:val="nil"/>
              <w:left w:val="single" w:color="000000" w:sz="8" w:space="0"/>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275"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1276"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1418"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1134"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1251"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4404</w:t>
            </w:r>
          </w:p>
        </w:tc>
        <w:tc>
          <w:tcPr>
            <w:tcW w:w="949"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pStyle w:val="3"/>
        <w:numPr>
          <w:ilvl w:val="0"/>
          <w:numId w:val="0"/>
        </w:numPr>
        <w:rPr>
          <w:rFonts w:cs="Times New Roman"/>
        </w:rPr>
      </w:pPr>
      <w:bookmarkStart w:id="25" w:name="_Toc61594311"/>
      <w:r>
        <w:rPr>
          <w:rFonts w:cs="Times New Roman"/>
        </w:rPr>
        <w:t>二、毕业生就业率及就业类</w:t>
      </w:r>
      <w:bookmarkEnd w:id="24"/>
      <w:r>
        <w:rPr>
          <w:rFonts w:cs="Times New Roman"/>
        </w:rPr>
        <w:t>别</w:t>
      </w:r>
      <w:bookmarkEnd w:id="25"/>
    </w:p>
    <w:p>
      <w:pPr>
        <w:pStyle w:val="4"/>
      </w:pPr>
      <w:bookmarkStart w:id="26" w:name="_Toc59184306"/>
      <w:bookmarkStart w:id="27" w:name="_Toc61594312"/>
      <w:r>
        <w:t>（一）毕业生就业率</w:t>
      </w:r>
      <w:bookmarkEnd w:id="26"/>
      <w:bookmarkEnd w:id="27"/>
    </w:p>
    <w:p>
      <w:pPr>
        <w:pStyle w:val="5"/>
        <w:numPr>
          <w:ilvl w:val="0"/>
          <w:numId w:val="0"/>
        </w:numPr>
        <w:ind w:left="420"/>
        <w:rPr>
          <w:rFonts w:ascii="Times New Roman" w:hAnsi="Times New Roman" w:cs="Times New Roman"/>
        </w:rPr>
      </w:pPr>
      <w:r>
        <w:rPr>
          <w:rFonts w:ascii="Times New Roman" w:hAnsi="Times New Roman" w:cs="Times New Roman"/>
        </w:rPr>
        <w:t>1.分学历就业率</w:t>
      </w:r>
    </w:p>
    <w:p>
      <w:pPr>
        <w:ind w:firstLine="420"/>
      </w:pPr>
      <w:r>
        <w:t>毕业生总体就业人数为3863人，</w:t>
      </w:r>
      <w:r>
        <w:rPr>
          <w:rFonts w:hint="eastAsia"/>
          <w:lang w:val="en-US" w:eastAsia="zh-CN"/>
        </w:rPr>
        <w:t>截止12月15日数据统计，</w:t>
      </w:r>
      <w:r>
        <w:t>总体就业率</w:t>
      </w:r>
      <w:r>
        <w:rPr>
          <w:vertAlign w:val="superscript"/>
        </w:rPr>
        <w:t>[</w:t>
      </w:r>
      <w:r>
        <w:rPr>
          <w:rStyle w:val="37"/>
        </w:rPr>
        <w:footnoteReference w:id="0"/>
      </w:r>
      <w:r>
        <w:rPr>
          <w:vertAlign w:val="superscript"/>
        </w:rPr>
        <w:t>]</w:t>
      </w:r>
      <w:r>
        <w:t>为87.72%</w:t>
      </w:r>
      <w:r>
        <w:rPr>
          <w:rFonts w:hint="eastAsia"/>
        </w:rPr>
        <w:t>，年终就业率为90.03%</w:t>
      </w:r>
      <w:r>
        <w:t>。本科毕业生就业3666人，就业率为87.39%；硕士毕业生就业197人，就业率为94.26%。</w:t>
      </w:r>
    </w:p>
    <w:p>
      <w:pPr>
        <w:keepNext/>
        <w:ind w:firstLine="0" w:firstLineChars="0"/>
        <w:jc w:val="center"/>
      </w:pPr>
      <w:r>
        <w:drawing>
          <wp:inline distT="0" distB="0" distL="0" distR="0">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分学历就业率</w:t>
      </w:r>
    </w:p>
    <w:p>
      <w:pPr>
        <w:pStyle w:val="5"/>
        <w:numPr>
          <w:ilvl w:val="0"/>
          <w:numId w:val="0"/>
        </w:numPr>
        <w:ind w:left="420"/>
        <w:rPr>
          <w:rFonts w:ascii="Times New Roman" w:hAnsi="Times New Roman" w:cs="Times New Roman"/>
        </w:rPr>
      </w:pPr>
      <w:r>
        <w:rPr>
          <w:rFonts w:ascii="Times New Roman" w:hAnsi="Times New Roman" w:cs="Times New Roman"/>
        </w:rPr>
        <w:t>2.分性别就业率</w:t>
      </w:r>
    </w:p>
    <w:p>
      <w:pPr>
        <w:ind w:firstLine="420"/>
      </w:pPr>
      <w:r>
        <w:t>分性别来看。男性毕业生就业1771人，就业率为88.91%；女性毕业生就业2092人，就业率为86.73%。</w:t>
      </w:r>
    </w:p>
    <w:p>
      <w:pPr>
        <w:keepNext/>
        <w:ind w:firstLine="0" w:firstLineChars="0"/>
        <w:jc w:val="center"/>
      </w:pPr>
      <w:r>
        <w:drawing>
          <wp:inline distT="0" distB="0" distL="0" distR="0">
            <wp:extent cx="4572000" cy="274320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分性别就业率</w:t>
      </w:r>
    </w:p>
    <w:p>
      <w:pPr>
        <w:ind w:firstLine="420"/>
      </w:pPr>
    </w:p>
    <w:p>
      <w:pPr>
        <w:pStyle w:val="5"/>
        <w:numPr>
          <w:ilvl w:val="0"/>
          <w:numId w:val="0"/>
        </w:numPr>
        <w:ind w:left="420"/>
        <w:rPr>
          <w:rFonts w:ascii="Times New Roman" w:hAnsi="Times New Roman" w:cs="Times New Roman"/>
        </w:rPr>
      </w:pPr>
      <w:r>
        <w:rPr>
          <w:rFonts w:ascii="Times New Roman" w:hAnsi="Times New Roman" w:cs="Times New Roman"/>
        </w:rPr>
        <w:t>3.分学院、专业就业率</w:t>
      </w:r>
    </w:p>
    <w:p>
      <w:pPr>
        <w:ind w:firstLine="420"/>
      </w:pPr>
      <w:r>
        <w:t>本科毕业生整体就业3666人，就业率87.39%。就业率位列前三的学院为：土木建筑工程学院（就业人数304人，就业率93.83%）；化学化工学院（就业人数262人，就业率92.58%）；机械工程学院（就业人数217人，就业率89.30%）。</w:t>
      </w:r>
    </w:p>
    <w:p>
      <w:pPr>
        <w:ind w:firstLine="420"/>
      </w:pPr>
      <w:r>
        <w:t>本科毕业生就业率位列前三的专业为：自动化（就业人数88人，就业率98.88%）；土木工程（就业人数149人，就业率98.03%）；公共事业管理（就业人数41人，就业率97.62%）。</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本科毕业生分专业就业率</w:t>
      </w:r>
    </w:p>
    <w:tbl>
      <w:tblPr>
        <w:tblStyle w:val="30"/>
        <w:tblW w:w="5000" w:type="pct"/>
        <w:jc w:val="center"/>
        <w:tblLayout w:type="autofit"/>
        <w:tblCellMar>
          <w:top w:w="0" w:type="dxa"/>
          <w:left w:w="108" w:type="dxa"/>
          <w:bottom w:w="0" w:type="dxa"/>
          <w:right w:w="108" w:type="dxa"/>
        </w:tblCellMar>
      </w:tblPr>
      <w:tblGrid>
        <w:gridCol w:w="1739"/>
        <w:gridCol w:w="2333"/>
        <w:gridCol w:w="1166"/>
        <w:gridCol w:w="1166"/>
        <w:gridCol w:w="1294"/>
        <w:gridCol w:w="824"/>
      </w:tblGrid>
      <w:tr>
        <w:tblPrEx>
          <w:tblCellMar>
            <w:top w:w="0" w:type="dxa"/>
            <w:left w:w="108" w:type="dxa"/>
            <w:bottom w:w="0" w:type="dxa"/>
            <w:right w:w="108" w:type="dxa"/>
          </w:tblCellMar>
        </w:tblPrEx>
        <w:trPr>
          <w:trHeight w:val="240" w:hRule="atLeast"/>
          <w:tblHeader/>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2268"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1134"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134"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1258"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801" w:type="dxa"/>
            <w:tcBorders>
              <w:top w:val="single" w:color="000000" w:sz="8" w:space="0"/>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土木建筑工程学院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98.03%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95.31%</w:t>
            </w:r>
          </w:p>
        </w:tc>
      </w:tr>
      <w:tr>
        <w:tblPrEx>
          <w:tblCellMar>
            <w:top w:w="0" w:type="dxa"/>
            <w:left w:w="108" w:type="dxa"/>
            <w:bottom w:w="0" w:type="dxa"/>
            <w:right w:w="108" w:type="dxa"/>
          </w:tblCellMar>
        </w:tblPrEx>
        <w:trPr>
          <w:trHeight w:val="270"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89.13%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86.21%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84.85%</w:t>
            </w:r>
          </w:p>
        </w:tc>
      </w:tr>
      <w:tr>
        <w:tblPrEx>
          <w:tblCellMar>
            <w:top w:w="0" w:type="dxa"/>
            <w:left w:w="108" w:type="dxa"/>
            <w:bottom w:w="0" w:type="dxa"/>
            <w:right w:w="108" w:type="dxa"/>
          </w:tblCellMar>
        </w:tblPrEx>
        <w:trPr>
          <w:trHeight w:val="270"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土木建筑工程学院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324</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304</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93.83%</w:t>
            </w:r>
          </w:p>
        </w:tc>
      </w:tr>
      <w:tr>
        <w:tblPrEx>
          <w:tblCellMar>
            <w:top w:w="0" w:type="dxa"/>
            <w:left w:w="108" w:type="dxa"/>
            <w:bottom w:w="0" w:type="dxa"/>
            <w:right w:w="108" w:type="dxa"/>
          </w:tblCellMar>
        </w:tblPrEx>
        <w:trPr>
          <w:trHeight w:val="270"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94.83%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94.12%</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91.75%</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90.24%</w:t>
            </w:r>
          </w:p>
        </w:tc>
      </w:tr>
      <w:tr>
        <w:tblPrEx>
          <w:tblCellMar>
            <w:top w:w="0" w:type="dxa"/>
            <w:left w:w="108" w:type="dxa"/>
            <w:bottom w:w="0" w:type="dxa"/>
            <w:right w:w="108" w:type="dxa"/>
          </w:tblCellMar>
        </w:tblPrEx>
        <w:trPr>
          <w:trHeight w:val="270"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283</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262</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92.58%</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95.10%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73.33%</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243</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217</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89.30%</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98.88%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95.35%</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93.50%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93.33%</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91.30%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82.27%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77.66%</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62.26%</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707</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619</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88</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87.55%</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经济与管理学院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90.21%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90.20%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88.31%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86.96%</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85.11%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54</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84.38%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83.58%</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经济与管理学院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495</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433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87.47%</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91.09%</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83.49%</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210</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87.14%</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89.80%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89.58%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84.68%</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208</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181</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87.02%</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90.00%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83.69%</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227</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197</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86.78%</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91.78%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88.29%</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76.92%</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249</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215</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86.35%</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新闻传播学院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88.37%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86.67%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85.32%</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新闻传播学院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212</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86.32%</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86.62%</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84.75%</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216</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186</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86.11%</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88.57%</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88.10%</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80</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87.91%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82.61%</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美术学（师范）</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76.00%</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320</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274</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85.63%</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93.48%</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186</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83.78%</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268</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229</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85.45%</w:t>
            </w:r>
          </w:p>
        </w:tc>
      </w:tr>
      <w:tr>
        <w:tblPrEx>
          <w:tblCellMar>
            <w:top w:w="0" w:type="dxa"/>
            <w:left w:w="108" w:type="dxa"/>
            <w:bottom w:w="0" w:type="dxa"/>
            <w:right w:w="108" w:type="dxa"/>
          </w:tblCellMar>
        </w:tblPrEx>
        <w:trPr>
          <w:trHeight w:val="255" w:hRule="atLeast"/>
          <w:jc w:val="center"/>
        </w:trPr>
        <w:tc>
          <w:tcPr>
            <w:tcW w:w="1691" w:type="dxa"/>
            <w:vMerge w:val="restart"/>
            <w:tcBorders>
              <w:top w:val="nil"/>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97.62%</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95.74%</w:t>
            </w:r>
          </w:p>
        </w:tc>
      </w:tr>
      <w:tr>
        <w:tblPrEx>
          <w:tblCellMar>
            <w:top w:w="0" w:type="dxa"/>
            <w:left w:w="108" w:type="dxa"/>
            <w:bottom w:w="0" w:type="dxa"/>
            <w:right w:w="108" w:type="dxa"/>
          </w:tblCellMar>
        </w:tblPrEx>
        <w:trPr>
          <w:trHeight w:val="255" w:hRule="atLeast"/>
          <w:jc w:val="center"/>
        </w:trPr>
        <w:tc>
          <w:tcPr>
            <w:tcW w:w="1691" w:type="dxa"/>
            <w:vMerge w:val="continue"/>
            <w:tcBorders>
              <w:top w:val="nil"/>
              <w:left w:val="single" w:color="000000" w:sz="8" w:space="0"/>
              <w:bottom w:val="single" w:color="000000" w:sz="8" w:space="0"/>
              <w:right w:val="single" w:color="000000" w:sz="8" w:space="0"/>
            </w:tcBorders>
            <w:vAlign w:val="center"/>
          </w:tcPr>
          <w:p>
            <w:pPr>
              <w:spacing w:line="240" w:lineRule="auto"/>
              <w:ind w:firstLine="0" w:firstLineChars="0"/>
              <w:jc w:val="left"/>
              <w:rPr>
                <w:color w:val="000000"/>
                <w:kern w:val="0"/>
                <w:sz w:val="18"/>
                <w:szCs w:val="18"/>
              </w:rPr>
            </w:pPr>
          </w:p>
        </w:tc>
        <w:tc>
          <w:tcPr>
            <w:tcW w:w="2268" w:type="dxa"/>
            <w:tcBorders>
              <w:top w:val="nil"/>
              <w:left w:val="nil"/>
              <w:bottom w:val="single" w:color="000000" w:sz="8" w:space="0"/>
              <w:right w:val="single" w:color="000000"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1134"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1258"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801" w:type="dxa"/>
            <w:tcBorders>
              <w:top w:val="nil"/>
              <w:left w:val="nil"/>
              <w:bottom w:val="single" w:color="000000" w:sz="8" w:space="0"/>
              <w:right w:val="single" w:color="000000"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67.36%</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233</w:t>
            </w:r>
          </w:p>
        </w:tc>
        <w:tc>
          <w:tcPr>
            <w:tcW w:w="1134"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183</w:t>
            </w:r>
          </w:p>
        </w:tc>
        <w:tc>
          <w:tcPr>
            <w:tcW w:w="1258"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801" w:type="dxa"/>
            <w:tcBorders>
              <w:top w:val="nil"/>
              <w:left w:val="nil"/>
              <w:bottom w:val="single" w:color="000000" w:sz="8" w:space="0"/>
              <w:right w:val="single" w:color="000000" w:sz="8" w:space="0"/>
            </w:tcBorders>
            <w:shd w:val="clear" w:color="auto" w:fill="F2F2F2"/>
            <w:noWrap/>
            <w:vAlign w:val="center"/>
          </w:tcPr>
          <w:p>
            <w:pPr>
              <w:spacing w:line="240" w:lineRule="auto"/>
              <w:ind w:firstLine="0" w:firstLineChars="0"/>
              <w:jc w:val="center"/>
              <w:rPr>
                <w:color w:val="000000"/>
                <w:kern w:val="0"/>
                <w:sz w:val="18"/>
                <w:szCs w:val="18"/>
              </w:rPr>
            </w:pPr>
            <w:r>
              <w:rPr>
                <w:color w:val="000000"/>
                <w:kern w:val="0"/>
                <w:sz w:val="18"/>
                <w:szCs w:val="18"/>
              </w:rPr>
              <w:t>78.54%</w:t>
            </w:r>
          </w:p>
        </w:tc>
      </w:tr>
      <w:tr>
        <w:tblPrEx>
          <w:tblCellMar>
            <w:top w:w="0" w:type="dxa"/>
            <w:left w:w="108" w:type="dxa"/>
            <w:bottom w:w="0" w:type="dxa"/>
            <w:right w:w="108" w:type="dxa"/>
          </w:tblCellMar>
        </w:tblPrEx>
        <w:trPr>
          <w:trHeight w:val="255" w:hRule="atLeast"/>
          <w:jc w:val="center"/>
        </w:trPr>
        <w:tc>
          <w:tcPr>
            <w:tcW w:w="3959" w:type="dxa"/>
            <w:gridSpan w:val="2"/>
            <w:tcBorders>
              <w:top w:val="nil"/>
              <w:left w:val="single" w:color="000000" w:sz="8" w:space="0"/>
              <w:bottom w:val="single" w:color="000000" w:sz="8" w:space="0"/>
              <w:right w:val="single" w:color="000000" w:sz="8" w:space="0"/>
            </w:tcBorders>
            <w:shd w:val="clear" w:color="auto"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134"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1134"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3666</w:t>
            </w:r>
          </w:p>
        </w:tc>
        <w:tc>
          <w:tcPr>
            <w:tcW w:w="1258"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529</w:t>
            </w:r>
          </w:p>
        </w:tc>
        <w:tc>
          <w:tcPr>
            <w:tcW w:w="801" w:type="dxa"/>
            <w:tcBorders>
              <w:top w:val="nil"/>
              <w:left w:val="nil"/>
              <w:bottom w:val="single" w:color="000000" w:sz="8" w:space="0"/>
              <w:right w:val="single" w:color="000000" w:sz="8" w:space="0"/>
            </w:tcBorders>
            <w:shd w:val="clear" w:color="auto"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87.39%</w:t>
            </w:r>
          </w:p>
        </w:tc>
      </w:tr>
    </w:tbl>
    <w:p>
      <w:pPr>
        <w:ind w:firstLine="420"/>
      </w:pPr>
    </w:p>
    <w:p>
      <w:pPr>
        <w:ind w:firstLine="420"/>
      </w:pPr>
      <w:r>
        <w:t>硕士毕业生整体就业197人，就业率94.26%。就业率达到100%的学院是：物理与电子科学学院、外国语言文学学院和政治与法学学院。就业率达到100%的专业是：物理与电子科学学院的教育、外国语言文学学院的学科教学（英语）、政治与法学学院的教育和中国语言文学学院的中国语言文学</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硕士毕业生分专业就业率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978"/>
        <w:gridCol w:w="1120"/>
        <w:gridCol w:w="1108"/>
        <w:gridCol w:w="112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228"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116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652"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continue"/>
            <w:vAlign w:val="center"/>
          </w:tcPr>
          <w:p>
            <w:pPr>
              <w:spacing w:line="240" w:lineRule="auto"/>
              <w:ind w:firstLine="0" w:firstLineChars="0"/>
              <w:jc w:val="left"/>
              <w:rPr>
                <w:color w:val="000000"/>
                <w:kern w:val="0"/>
                <w:sz w:val="18"/>
                <w:szCs w:val="18"/>
              </w:rPr>
            </w:pP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教育科学学院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教育科学学院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continue"/>
            <w:vAlign w:val="center"/>
          </w:tcPr>
          <w:p>
            <w:pPr>
              <w:spacing w:line="240" w:lineRule="auto"/>
              <w:ind w:firstLine="0" w:firstLineChars="0"/>
              <w:jc w:val="left"/>
              <w:rPr>
                <w:color w:val="000000"/>
                <w:kern w:val="0"/>
                <w:sz w:val="18"/>
                <w:szCs w:val="18"/>
              </w:rPr>
            </w:pP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vMerge w:val="continue"/>
            <w:vAlign w:val="center"/>
          </w:tcPr>
          <w:p>
            <w:pPr>
              <w:spacing w:line="240" w:lineRule="auto"/>
              <w:ind w:firstLine="0" w:firstLineChars="0"/>
              <w:jc w:val="left"/>
              <w:rPr>
                <w:color w:val="000000"/>
                <w:kern w:val="0"/>
                <w:sz w:val="18"/>
                <w:szCs w:val="18"/>
              </w:rPr>
            </w:pP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艺术设计</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28"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1163"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65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197</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12</w:t>
            </w:r>
          </w:p>
        </w:tc>
        <w:tc>
          <w:tcPr>
            <w:tcW w:w="65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94.26%</w:t>
            </w:r>
          </w:p>
        </w:tc>
      </w:tr>
    </w:tbl>
    <w:p>
      <w:pPr>
        <w:ind w:firstLine="420"/>
      </w:pPr>
    </w:p>
    <w:p>
      <w:pPr>
        <w:pStyle w:val="5"/>
        <w:numPr>
          <w:ilvl w:val="0"/>
          <w:numId w:val="0"/>
        </w:numPr>
        <w:ind w:left="420"/>
        <w:rPr>
          <w:rFonts w:ascii="Times New Roman" w:hAnsi="Times New Roman" w:cs="Times New Roman"/>
        </w:rPr>
      </w:pPr>
      <w:r>
        <w:rPr>
          <w:rFonts w:ascii="Times New Roman" w:hAnsi="Times New Roman" w:cs="Times New Roman"/>
        </w:rPr>
        <w:t>4.分生源地就业率</w:t>
      </w:r>
    </w:p>
    <w:p>
      <w:pPr>
        <w:ind w:firstLine="420"/>
      </w:pPr>
      <w:r>
        <w:t>所有生源省份中，海南省、宁夏回族自治区共2个省（自治区）的毕业生就业率为100%。</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毕业生分生源就业率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生源省</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2911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2590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江西省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河北省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江苏省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上海市</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山西省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广东省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山东省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浙江省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贵州省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甘肃省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福建省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天津市</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河南省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陕西省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安徽省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广西壮族自治区</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四川省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新疆维吾尔自治区</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吉林省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北京市</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重庆市</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辽宁省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内蒙古自治区</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黑龙江省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海南省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西藏自治区</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云南省</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青海省</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宁夏回族自治区</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100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4404</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3863</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541</w:t>
            </w:r>
          </w:p>
        </w:tc>
        <w:tc>
          <w:tcPr>
            <w:tcW w:w="100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87.72%</w:t>
            </w:r>
          </w:p>
        </w:tc>
      </w:tr>
    </w:tbl>
    <w:p>
      <w:pPr>
        <w:ind w:firstLine="420"/>
      </w:pPr>
    </w:p>
    <w:p>
      <w:pPr>
        <w:pStyle w:val="5"/>
        <w:numPr>
          <w:ilvl w:val="0"/>
          <w:numId w:val="0"/>
        </w:numPr>
        <w:ind w:left="420"/>
        <w:rPr>
          <w:rFonts w:ascii="Times New Roman" w:hAnsi="Times New Roman" w:cs="Times New Roman"/>
        </w:rPr>
      </w:pPr>
      <w:bookmarkStart w:id="28" w:name="_Toc59184307"/>
      <w:r>
        <w:rPr>
          <w:rFonts w:hint="eastAsia" w:ascii="Times New Roman" w:hAnsi="Times New Roman" w:cs="Times New Roman"/>
        </w:rPr>
        <w:t>5</w:t>
      </w:r>
      <w:r>
        <w:rPr>
          <w:rFonts w:ascii="Times New Roman" w:hAnsi="Times New Roman" w:cs="Times New Roman"/>
        </w:rPr>
        <w:t>.岳阳市生源毕业生就业率</w:t>
      </w:r>
    </w:p>
    <w:p>
      <w:pPr>
        <w:ind w:firstLine="420"/>
      </w:pPr>
      <w:r>
        <w:t>来自岳阳市毕业生人数为415人，总体就业率为87.81%，其中，来自岳阳县的毕业生就业率最高（就业人数40，就业率95.24%），其次是临湘市（就业人数33，就业率91.67%）</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岳阳市生源毕业生就业率</w:t>
      </w:r>
    </w:p>
    <w:tbl>
      <w:tblPr>
        <w:tblStyle w:val="30"/>
        <w:tblW w:w="5000" w:type="pct"/>
        <w:tblInd w:w="0" w:type="dxa"/>
        <w:tblLayout w:type="autofit"/>
        <w:tblCellMar>
          <w:top w:w="0" w:type="dxa"/>
          <w:left w:w="108" w:type="dxa"/>
          <w:bottom w:w="0" w:type="dxa"/>
          <w:right w:w="108" w:type="dxa"/>
        </w:tblCellMar>
      </w:tblPr>
      <w:tblGrid>
        <w:gridCol w:w="1704"/>
        <w:gridCol w:w="1704"/>
        <w:gridCol w:w="1704"/>
        <w:gridCol w:w="1705"/>
        <w:gridCol w:w="1705"/>
      </w:tblGrid>
      <w:tr>
        <w:trPr>
          <w:trHeight w:val="284" w:hRule="atLeast"/>
          <w:tblHeader/>
        </w:trPr>
        <w:tc>
          <w:tcPr>
            <w:tcW w:w="1000" w:type="pct"/>
            <w:tcBorders>
              <w:top w:val="single" w:color="auto" w:sz="8" w:space="0"/>
              <w:left w:val="single" w:color="auto" w:sz="8" w:space="0"/>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生源地区</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就业人数</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未就业人数</w:t>
            </w:r>
          </w:p>
        </w:tc>
        <w:tc>
          <w:tcPr>
            <w:tcW w:w="1000" w:type="pct"/>
            <w:tcBorders>
              <w:top w:val="single" w:color="auto" w:sz="8" w:space="0"/>
              <w:left w:val="nil"/>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就业率</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岳阳县</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95.24%</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临湘市</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湘阴县</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90.00%</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华容县</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87.88%</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平江县</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115</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87.83%</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岳阳市区</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87</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000" w:type="pct"/>
            <w:tcBorders>
              <w:top w:val="nil"/>
              <w:left w:val="nil"/>
              <w:bottom w:val="single" w:color="auto" w:sz="8" w:space="0"/>
              <w:right w:val="single" w:color="auto" w:sz="8"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86.14%</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汨罗市</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000" w:type="pct"/>
            <w:tcBorders>
              <w:top w:val="nil"/>
              <w:left w:val="nil"/>
              <w:bottom w:val="single" w:color="auto" w:sz="8" w:space="0"/>
              <w:right w:val="single" w:color="auto" w:sz="8"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79.17%</w:t>
            </w:r>
          </w:p>
        </w:tc>
      </w:tr>
      <w:tr>
        <w:tblPrEx>
          <w:tblCellMar>
            <w:top w:w="0" w:type="dxa"/>
            <w:left w:w="108" w:type="dxa"/>
            <w:bottom w:w="0" w:type="dxa"/>
            <w:right w:w="108" w:type="dxa"/>
          </w:tblCellMar>
        </w:tblPrEx>
        <w:trPr>
          <w:trHeight w:val="284" w:hRule="atLeast"/>
        </w:trPr>
        <w:tc>
          <w:tcPr>
            <w:tcW w:w="1000" w:type="pct"/>
            <w:tcBorders>
              <w:top w:val="nil"/>
              <w:left w:val="single" w:color="auto" w:sz="8" w:space="0"/>
              <w:bottom w:val="single" w:color="auto" w:sz="8" w:space="0"/>
              <w:right w:val="single" w:color="auto" w:sz="8" w:space="0"/>
            </w:tcBorders>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415</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364</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51</w:t>
            </w:r>
          </w:p>
        </w:tc>
        <w:tc>
          <w:tcPr>
            <w:tcW w:w="1000" w:type="pct"/>
            <w:tcBorders>
              <w:top w:val="nil"/>
              <w:left w:val="nil"/>
              <w:bottom w:val="single" w:color="auto" w:sz="8" w:space="0"/>
              <w:right w:val="single" w:color="auto" w:sz="8" w:space="0"/>
            </w:tcBorders>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87.81%</w:t>
            </w:r>
          </w:p>
        </w:tc>
      </w:tr>
    </w:tbl>
    <w:p>
      <w:pPr>
        <w:ind w:firstLine="420"/>
      </w:pPr>
    </w:p>
    <w:p>
      <w:pPr>
        <w:pStyle w:val="4"/>
        <w:spacing w:before="320"/>
      </w:pPr>
      <w:bookmarkStart w:id="29" w:name="_Toc61594313"/>
      <w:r>
        <w:t>（二）毕业生就业类别</w:t>
      </w:r>
      <w:bookmarkEnd w:id="28"/>
      <w:bookmarkEnd w:id="29"/>
    </w:p>
    <w:p>
      <w:pPr>
        <w:ind w:firstLine="420"/>
      </w:pPr>
      <w:r>
        <w:t>已就业毕业生中就业类别位列前三的分别为：</w:t>
      </w:r>
      <w:r>
        <w:rPr>
          <w:rFonts w:ascii="宋体" w:hAnsi="宋体"/>
        </w:rPr>
        <w:t>“</w:t>
      </w:r>
      <w:r>
        <w:t>其他录用形式就业</w:t>
      </w:r>
      <w:r>
        <w:rPr>
          <w:rFonts w:ascii="宋体" w:hAnsi="宋体"/>
        </w:rPr>
        <w:t>”</w:t>
      </w:r>
      <w:r>
        <w:t>（1433人，占比32.54%）、</w:t>
      </w:r>
      <w:r>
        <w:rPr>
          <w:rFonts w:ascii="宋体" w:hAnsi="宋体"/>
        </w:rPr>
        <w:t>“</w:t>
      </w:r>
      <w:r>
        <w:t>签就业协议形式就业</w:t>
      </w:r>
      <w:r>
        <w:rPr>
          <w:rFonts w:ascii="宋体" w:hAnsi="宋体"/>
        </w:rPr>
        <w:t>”</w:t>
      </w:r>
      <w:r>
        <w:t>（987人，占比22.41%）、</w:t>
      </w:r>
      <w:r>
        <w:rPr>
          <w:rFonts w:ascii="宋体" w:hAnsi="宋体"/>
        </w:rPr>
        <w:t>“</w:t>
      </w:r>
      <w:r>
        <w:t>签劳动合同形式就业</w:t>
      </w:r>
      <w:r>
        <w:rPr>
          <w:rFonts w:ascii="宋体" w:hAnsi="宋体"/>
        </w:rPr>
        <w:t>”</w:t>
      </w:r>
      <w:r>
        <w:t>（783人，占比17.78%）。未就业毕业生主要就业类别为</w:t>
      </w:r>
      <w:r>
        <w:rPr>
          <w:rFonts w:ascii="宋体" w:hAnsi="宋体"/>
        </w:rPr>
        <w:t>“</w:t>
      </w:r>
      <w:r>
        <w:t>待就业</w:t>
      </w:r>
      <w:r>
        <w:rPr>
          <w:rFonts w:ascii="宋体" w:hAnsi="宋体"/>
        </w:rPr>
        <w:t>”</w:t>
      </w:r>
      <w:r>
        <w:t>（390人，占比8.86%）。</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毕业生就业类别</w:t>
      </w:r>
    </w:p>
    <w:tbl>
      <w:tblPr>
        <w:tblStyle w:val="30"/>
        <w:tblW w:w="51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311"/>
        <w:gridCol w:w="1019"/>
        <w:gridCol w:w="1163"/>
        <w:gridCol w:w="1021"/>
        <w:gridCol w:w="1164"/>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82" w:type="pct"/>
            <w:vMerge w:val="restart"/>
            <w:shd w:val="clear" w:color="000000" w:fill="0D3F67"/>
            <w:noWrap/>
            <w:vAlign w:val="center"/>
          </w:tcPr>
          <w:p>
            <w:pPr>
              <w:spacing w:line="240" w:lineRule="auto"/>
              <w:ind w:firstLine="361"/>
              <w:rPr>
                <w:kern w:val="0"/>
                <w:sz w:val="24"/>
                <w:szCs w:val="24"/>
              </w:rPr>
            </w:pPr>
            <w:r>
              <w:rPr>
                <w:b/>
                <w:bCs/>
                <w:color w:val="FFFFFF"/>
                <w:kern w:val="0"/>
                <w:sz w:val="18"/>
                <w:szCs w:val="18"/>
              </w:rPr>
              <w:t>就业类别</w:t>
            </w:r>
          </w:p>
        </w:tc>
        <w:tc>
          <w:tcPr>
            <w:tcW w:w="1335"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本科毕业生</w:t>
            </w:r>
          </w:p>
        </w:tc>
        <w:tc>
          <w:tcPr>
            <w:tcW w:w="125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硕士毕业生</w:t>
            </w:r>
          </w:p>
        </w:tc>
        <w:tc>
          <w:tcPr>
            <w:tcW w:w="1332" w:type="pct"/>
            <w:gridSpan w:val="2"/>
            <w:shd w:val="clear" w:color="000000"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总体毕业生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82" w:type="pct"/>
            <w:vMerge w:val="continue"/>
            <w:shd w:val="clear" w:color="000000" w:fill="0D3F67"/>
            <w:noWrap/>
            <w:vAlign w:val="center"/>
          </w:tcPr>
          <w:p>
            <w:pPr>
              <w:spacing w:line="240" w:lineRule="auto"/>
              <w:ind w:firstLine="0" w:firstLineChars="0"/>
              <w:jc w:val="center"/>
              <w:rPr>
                <w:b/>
                <w:bCs/>
                <w:color w:val="FFFFFF"/>
                <w:kern w:val="0"/>
                <w:sz w:val="18"/>
                <w:szCs w:val="18"/>
              </w:rPr>
            </w:pPr>
          </w:p>
        </w:tc>
        <w:tc>
          <w:tcPr>
            <w:tcW w:w="751"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584"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666"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585"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c>
          <w:tcPr>
            <w:tcW w:w="667" w:type="pct"/>
            <w:shd w:val="clear" w:color="000000"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毕业生人数</w:t>
            </w:r>
          </w:p>
        </w:tc>
        <w:tc>
          <w:tcPr>
            <w:tcW w:w="665" w:type="pct"/>
            <w:shd w:val="clear" w:color="000000" w:fill="0D3F67"/>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其他录用形式就业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1371</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32.68%</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29.67%</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1433</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签就业协议形式就业</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929</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22.15%</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27.75%</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987</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签劳动合同形式就业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719</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17.14%</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30.62%</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783</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升学</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526</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12.54%</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4.31%</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535</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待就业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378</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9.01%</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5.74%</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390</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不就业拟升学</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108</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2.57%</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108</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应征义务兵</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1.10%</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其他暂不就业</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1.03%</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rFonts w:hint="eastAsia"/>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自主创业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0.60%</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出国、出境</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0.64%</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自由职业</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0.45%</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国家基层项目</w:t>
            </w:r>
          </w:p>
        </w:tc>
        <w:tc>
          <w:tcPr>
            <w:tcW w:w="75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58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0.10%</w:t>
            </w:r>
          </w:p>
        </w:tc>
        <w:tc>
          <w:tcPr>
            <w:tcW w:w="666"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665"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科研助理</w:t>
            </w:r>
          </w:p>
        </w:tc>
        <w:tc>
          <w:tcPr>
            <w:tcW w:w="75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58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666"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58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0.48%</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665"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2"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751"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584"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666"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585"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c>
          <w:tcPr>
            <w:tcW w:w="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4404</w:t>
            </w:r>
          </w:p>
        </w:tc>
        <w:tc>
          <w:tcPr>
            <w:tcW w:w="665"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tbl>
    <w:p>
      <w:pPr>
        <w:pStyle w:val="3"/>
        <w:numPr>
          <w:ilvl w:val="0"/>
          <w:numId w:val="0"/>
        </w:numPr>
        <w:rPr>
          <w:rFonts w:cs="Times New Roman"/>
        </w:rPr>
      </w:pPr>
      <w:bookmarkStart w:id="30" w:name="_Toc59184308"/>
      <w:bookmarkStart w:id="31" w:name="_Toc61594314"/>
      <w:r>
        <w:rPr>
          <w:rFonts w:cs="Times New Roman"/>
        </w:rPr>
        <w:t>三、毕业生单位就业情况</w:t>
      </w:r>
      <w:bookmarkEnd w:id="30"/>
      <w:bookmarkEnd w:id="31"/>
    </w:p>
    <w:p>
      <w:pPr>
        <w:ind w:firstLine="420"/>
      </w:pPr>
      <w:r>
        <w:t>本章分析只针对已落实就业单位的毕业生（不含升学、出国和未就业），人数为3301人，占总体毕业生人数的74.95%。</w:t>
      </w:r>
    </w:p>
    <w:p>
      <w:pPr>
        <w:pStyle w:val="4"/>
      </w:pPr>
      <w:bookmarkStart w:id="32" w:name="_Toc61594315"/>
      <w:bookmarkStart w:id="33" w:name="_Toc59184309"/>
      <w:r>
        <w:t>（一）就业单位性质</w:t>
      </w:r>
      <w:bookmarkEnd w:id="32"/>
      <w:bookmarkEnd w:id="33"/>
    </w:p>
    <w:p>
      <w:pPr>
        <w:ind w:firstLine="420"/>
      </w:pPr>
      <w:r>
        <w:t>2020届毕业生主要就业单位性质为</w:t>
      </w:r>
      <w:r>
        <w:rPr>
          <w:rFonts w:ascii="宋体" w:hAnsi="宋体"/>
        </w:rPr>
        <w:t>“</w:t>
      </w:r>
      <w:r>
        <w:t>其他企业</w:t>
      </w:r>
      <w:r>
        <w:rPr>
          <w:rFonts w:ascii="宋体" w:hAnsi="宋体"/>
        </w:rPr>
        <w:t>”</w:t>
      </w:r>
      <w:r>
        <w:t>（1864人，占比56.47%）、</w:t>
      </w:r>
      <w:r>
        <w:rPr>
          <w:rFonts w:ascii="宋体" w:hAnsi="宋体"/>
        </w:rPr>
        <w:t>“</w:t>
      </w:r>
      <w:r>
        <w:t>其他教学单位</w:t>
      </w:r>
      <w:r>
        <w:rPr>
          <w:rFonts w:ascii="宋体" w:hAnsi="宋体"/>
        </w:rPr>
        <w:t>”</w:t>
      </w:r>
      <w:r>
        <w:t>（428人，占比12.97%）、</w:t>
      </w:r>
      <w:r>
        <w:rPr>
          <w:rFonts w:ascii="宋体" w:hAnsi="宋体"/>
        </w:rPr>
        <w:t>“</w:t>
      </w:r>
      <w:r>
        <w:t>三资企业</w:t>
      </w:r>
      <w:r>
        <w:rPr>
          <w:rFonts w:ascii="宋体" w:hAnsi="宋体"/>
        </w:rPr>
        <w:t>”</w:t>
      </w:r>
      <w:r>
        <w:t>（371人，占比11.24%）。</w:t>
      </w:r>
    </w:p>
    <w:p>
      <w:pPr>
        <w:keepNext/>
        <w:ind w:firstLine="0" w:firstLineChars="0"/>
        <w:jc w:val="center"/>
      </w:pPr>
      <w:r>
        <w:drawing>
          <wp:inline distT="0" distB="0" distL="0" distR="0">
            <wp:extent cx="4899025" cy="3521075"/>
            <wp:effectExtent l="0" t="0" r="0" b="317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毕业生就业单位性质</w:t>
      </w:r>
    </w:p>
    <w:p>
      <w:pPr>
        <w:pStyle w:val="4"/>
      </w:pPr>
      <w:bookmarkStart w:id="34" w:name="_Toc61594316"/>
      <w:bookmarkStart w:id="35" w:name="_Toc59184310"/>
      <w:r>
        <w:t>（二）就业行业结构</w:t>
      </w:r>
      <w:bookmarkEnd w:id="34"/>
      <w:bookmarkEnd w:id="35"/>
    </w:p>
    <w:p>
      <w:pPr>
        <w:pStyle w:val="5"/>
        <w:numPr>
          <w:ilvl w:val="0"/>
          <w:numId w:val="0"/>
        </w:numPr>
        <w:rPr>
          <w:rFonts w:ascii="Times New Roman" w:hAnsi="Times New Roman" w:cs="Times New Roman"/>
        </w:rPr>
      </w:pPr>
      <w:r>
        <w:rPr>
          <w:rFonts w:ascii="Times New Roman" w:hAnsi="Times New Roman" w:cs="Times New Roman"/>
        </w:rPr>
        <w:t>1.就业行业分布</w:t>
      </w:r>
    </w:p>
    <w:p>
      <w:pPr>
        <w:ind w:firstLine="420"/>
      </w:pPr>
      <w:r>
        <w:t>按国家统计局国民经济行业分类标准，2020届毕业生就业行业主要集中在</w:t>
      </w:r>
      <w:r>
        <w:rPr>
          <w:rFonts w:ascii="宋体" w:hAnsi="宋体"/>
        </w:rPr>
        <w:t>“</w:t>
      </w:r>
      <w:r>
        <w:t>教育</w:t>
      </w:r>
      <w:r>
        <w:rPr>
          <w:rFonts w:ascii="宋体" w:hAnsi="宋体"/>
        </w:rPr>
        <w:t>”</w:t>
      </w:r>
      <w:r>
        <w:t>（831人，占比25.17%）、</w:t>
      </w:r>
      <w:r>
        <w:rPr>
          <w:rFonts w:ascii="宋体" w:hAnsi="宋体"/>
        </w:rPr>
        <w:t>“</w:t>
      </w:r>
      <w:r>
        <w:t>信息传输、软件和信息技术服务业</w:t>
      </w:r>
      <w:r>
        <w:rPr>
          <w:rFonts w:ascii="宋体" w:hAnsi="宋体"/>
        </w:rPr>
        <w:t>”</w:t>
      </w:r>
      <w:r>
        <w:t>（510人，占比15.45%）、</w:t>
      </w:r>
      <w:r>
        <w:rPr>
          <w:rFonts w:ascii="宋体" w:hAnsi="宋体"/>
        </w:rPr>
        <w:t>“</w:t>
      </w:r>
      <w:r>
        <w:t>制造业</w:t>
      </w:r>
      <w:r>
        <w:rPr>
          <w:rFonts w:ascii="宋体" w:hAnsi="宋体"/>
        </w:rPr>
        <w:t>”</w:t>
      </w:r>
      <w:r>
        <w:t>（460人，占比13.94%）。</w:t>
      </w:r>
    </w:p>
    <w:p>
      <w:pPr>
        <w:keepNext/>
        <w:ind w:firstLine="0" w:firstLineChars="0"/>
        <w:jc w:val="center"/>
      </w:pPr>
      <w:r>
        <w:drawing>
          <wp:inline distT="0" distB="0" distL="0" distR="0">
            <wp:extent cx="4514850" cy="3275330"/>
            <wp:effectExtent l="0" t="0" r="0" b="127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毕业生就业行业结构</w:t>
      </w:r>
    </w:p>
    <w:p>
      <w:pPr>
        <w:pStyle w:val="5"/>
        <w:numPr>
          <w:ilvl w:val="0"/>
          <w:numId w:val="0"/>
        </w:numPr>
        <w:rPr>
          <w:rFonts w:ascii="Times New Roman" w:hAnsi="Times New Roman" w:cs="Times New Roman"/>
        </w:rPr>
      </w:pPr>
      <w:r>
        <w:rPr>
          <w:rFonts w:ascii="Times New Roman" w:hAnsi="Times New Roman" w:cs="Times New Roman"/>
        </w:rPr>
        <w:t>2.分专业就业行业聚集度</w:t>
      </w:r>
    </w:p>
    <w:p>
      <w:pPr>
        <w:ind w:firstLine="420"/>
      </w:pPr>
      <w:r>
        <w:t>选取就业人数位列前三的行业占比之和作为行业聚集度的衡量指标，分专业行业聚集度如下表所示。</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 xml:space="preserve"> 分专业就业行业聚集度</w:t>
      </w:r>
    </w:p>
    <w:tbl>
      <w:tblPr>
        <w:tblStyle w:val="30"/>
        <w:tblW w:w="9924" w:type="dxa"/>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621"/>
        <w:gridCol w:w="6091"/>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073"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专业</w:t>
            </w:r>
          </w:p>
        </w:tc>
        <w:tc>
          <w:tcPr>
            <w:tcW w:w="621"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人数</w:t>
            </w:r>
          </w:p>
        </w:tc>
        <w:tc>
          <w:tcPr>
            <w:tcW w:w="6091"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就业人数位列前三行业</w:t>
            </w:r>
          </w:p>
        </w:tc>
        <w:tc>
          <w:tcPr>
            <w:tcW w:w="1139" w:type="dxa"/>
            <w:shd w:val="clear" w:color="000000" w:fill="0D3F67"/>
            <w:noWrap/>
            <w:vAlign w:val="center"/>
          </w:tcPr>
          <w:p>
            <w:pPr>
              <w:spacing w:line="240" w:lineRule="auto"/>
              <w:ind w:firstLine="0" w:firstLineChars="0"/>
              <w:jc w:val="center"/>
              <w:rPr>
                <w:b/>
                <w:bCs/>
                <w:color w:val="FFFFFF"/>
                <w:kern w:val="0"/>
                <w:sz w:val="16"/>
                <w:szCs w:val="18"/>
              </w:rPr>
            </w:pPr>
            <w:r>
              <w:rPr>
                <w:b/>
                <w:bCs/>
                <w:color w:val="FFFFFF"/>
                <w:kern w:val="0"/>
                <w:sz w:val="16"/>
                <w:szCs w:val="18"/>
              </w:rPr>
              <w:t>行业聚集度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计算机科学与技术</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98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信息传输、软件和信息技术服务业(53.06%);制造业(14.29%);教育(8.16%)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电子信息工程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92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信息传输、软件和信息技术服务业(41.30%);制造业(30.43%);教育(6.52%)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自动化</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制造业(39.19%);信息传输、软件和信息技术服务业(31.08%);电力、热力、燃气及水生产和供应业(8.11%)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软件工程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信息传输、软件和信息技术服务业(63.08%);制造业(7.69%);电力、热力、燃气及水生产和供应业(6.15%)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电气工程及其自动化</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制造业(31.25%);建筑业(25.00%);电力、热力、燃气及水生产和供应业(18.75%)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通信工程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信息传输、软件和信息技术服务业(50.00%);制造业(31.48%);金融业(7.41%)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信息工程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信息传输、软件和信息技术服务业(57.50%);制造业(32.50%);金融业(5.00%)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网络工程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信息传输、软件和信息技术服务业(72.41%);制造业(10.34%);教育(6.90%)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信息与通信工程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信息传输、软件和信息技术服务业(83.33%);科学研究和技术服务业(8.33%);制造业(8.33%)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信息学院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528</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信息传输、软件和信息技术服务业(46.21%);制造业(24.62%);电力、热力、燃气及水生产和供应业(5.30%)</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会计学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120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租赁和商务服务业(15.83%);教育(15.00%);金融业(13.33%)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人力资源管理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63</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信息传输、软件和信息技术服务业(19.05%);批发和零售业(14.29%);教育(12.70%)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46.03%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金融工程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金融业(26.92%);教育(17.31%);科学研究和技术服务业(9.62%)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旅游管理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51</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教育(41.18%);租赁和商务服务业(25.49%);批发和零售业(5.88%)</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国际经济与贸易</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教育(17.95%);信息传输、软件和信息技术服务业(17.95%);租赁和商务服务业(17.95%)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电子商务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批发和零售业(28.21%);租赁和商务服务业(23.08%);信息传输、软件和信息技术服务业(17.95%)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工商管理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36</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住宿和餐饮业(22.22%);科学研究和技术服务业(16.67%);批发和零售业(16.67%)</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经管学院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400</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教育(17.50%);租赁和商务服务业(14.75%);批发和零售业(13.00%)</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45.25%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土木工程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135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建筑业(94.81%);公共管理、社会保障和社会组织(2.22%);电力、热力、燃气及水生产和供应业(0.74%)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工程管理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建筑业(98.31%);电力、热力、燃气及水生产和供应业(1.69%)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城乡规划</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建筑业(68.57%);教育(8.57%);公共管理、社会保障和社会组织(5.71%)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建筑学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建筑业(74.07%);教育(7.41%);房地产业(3.70%)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历史建筑保护工程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23</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建筑业(82.61%);文化、体育和娱乐业(8.70%);教育(4.35%)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土建学院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279</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建筑业(89.25%);教育(2.15%);公共管理、社会保障和社会组织(1.79%)</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93.19%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环境设计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居民服务、修理和其他服务业(30.00%);教育(18.57%);建筑业(17.14%)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视觉传达设计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文化、体育和娱乐业(41.43%);教育(12.86%);信息传输、软件和信息技术服务业(10.00%)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美术学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教育(36.84%);文化、体育和娱乐业(29.82%);居民服务、修理和其他服务业(7.02%)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服装与服饰设计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制造业(28.57%);文化、体育和娱乐业(22.86%);教育(17.14%)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美术学(师范)</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教育(66.67%);文化、体育和娱乐业(16.67%);居民服务、修理和其他服务业(5.56%)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艺术设计</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教育(25.00%);卫生和社会工作(25.00%);租赁和商务服务业(25.00%)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美设学院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258</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文化、体育和娱乐业(24.81%);教育(24.42%);居民服务、修理和其他服务业(11.63%)</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60.85%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汉语言文学(师范)</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教育(62.50%);信息传输、软件和信息技术服务业(7.50%);制造业(7.50%)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秘书学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教育(30.00%);居民服务、修理和其他服务业(10.00%);批发和零售业(10.00%)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汉语言文学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教育(25.00%);制造业(15.91%);信息传输、软件和信息技术服务业(13.64%)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教育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教育(94.74%);租赁和商务服务业(5.26%)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中国语言文学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教育(88.24%);公共管理、社会保障和社会组织(5.88%);房地产业(5.88%)</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中文学院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220</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教育(50.91%);信息传输、软件和信息技术服务业(7.73%);制造业(7.73%)</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66.36%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英语</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166</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教育(48.80%);信息传输、软件和信息技术服务业(16.27%);批发和零售业(7.23%)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朝鲜语</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信息传输、软件和信息技术服务业(31.25%);制造业(25.00%);教育(12.50%)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学科教学(英语)</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教育(89.47%);居民服务、修理和其他服务业(5.26%);制造业(5.26%)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外语学院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217</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教育(47.00%);信息传输、软件和信息技术服务业(17.05%);制造业(8.29%)</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机械设计制造及其自动化</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81</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制造业(79.01%);教育(7.41%);建筑业(4.94%)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机械电子工程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55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制造业(76.36%);建筑业(10.91%);电力、热力、燃气及水生产和供应业(3.64%)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材料成型及控制工程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制造业(85.71%);建筑业(7.14%);交通运输、仓储和邮政业(3.57%)</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汽车服务工程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制造业(70.59%);批发和零售业(11.76%);住宿和餐饮业(11.76%)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机械工程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16</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制造业(56.25%);电力、热力、燃气及水生产和供应业(18.75%);教育(18.75%)</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机械学院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197</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制造业(76.65%);建筑业(6.09%);教育(5.08%)</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87.82%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音乐学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108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教育(60.19%);文化、体育和娱乐业(12.96%);卫生和社会工作(9.26%)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舞蹈学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教育(46.94%);文化、体育和娱乐业(30.61%);卫生和社会工作(8.16%)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舞蹈表演</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教育(51.85%);文化、体育和娱乐业(25.93%);批发和零售业(7.41%)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音乐</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11</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教育(63.64%);文化、体育和娱乐业(27.27%);房地产业(9.09%)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音乐学院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195</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教育(55.90%);文化、体育和娱乐业(20.00%);卫生和社会工作(7.69%)</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83.59%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应用化学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62</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制造业(53.23%);批发和零售业(11.29%);教育(8.06%)</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制药工程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制造业(41.18%);教育(11.76%);房地产业(8.82%)</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化学工程与工艺</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制造业(41.38%);教育(20.69%);批发和零售业(13.79%)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化学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教育(88.00%);科学研究和技术服务业(4.00%);信息传输、软件和信息技术服务业(4.00%)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生物工程</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24</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批发和零售业(29.17%);批发和零售业(29.17%);教育(20.83%)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化学工程与技术</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10</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制造业(40.00%);教育(30.00%);金融业(10.00%)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学科教学(化学)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9</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教育(100.00%)</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化工学院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193</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制造业(36.27%);教育(27.98%);批发和零售业(10.88%)</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体育教育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118</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教育(54.24%);文化、体育和娱乐业(19.49%);军队(5.93%)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社会体育指导与管理</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47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教育(34.04%);文化、体育和娱乐业(29.79%);军队(10.64%)</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74.47%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学科教学(体育)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7</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教育(85.71%);科学研究和技术服务业(14.29%)</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教育</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3</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教育(66.67%);公共管理、社会保障和社会组织(33.33%)</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000000" w:fill="F2F2F2"/>
            <w:noWrap/>
          </w:tcPr>
          <w:p>
            <w:pPr>
              <w:spacing w:line="240" w:lineRule="auto"/>
              <w:ind w:firstLine="0" w:firstLineChars="0"/>
              <w:jc w:val="center"/>
              <w:rPr>
                <w:kern w:val="0"/>
                <w:sz w:val="16"/>
                <w:szCs w:val="16"/>
              </w:rPr>
            </w:pPr>
            <w:r>
              <w:rPr>
                <w:rFonts w:hint="eastAsia"/>
                <w:sz w:val="16"/>
                <w:szCs w:val="16"/>
              </w:rPr>
              <w:t>体育学院 汇总</w:t>
            </w:r>
          </w:p>
        </w:tc>
        <w:tc>
          <w:tcPr>
            <w:tcW w:w="621" w:type="dxa"/>
            <w:shd w:val="clear" w:color="000000" w:fill="F2F2F2"/>
            <w:noWrap/>
          </w:tcPr>
          <w:p>
            <w:pPr>
              <w:spacing w:line="240" w:lineRule="auto"/>
              <w:ind w:firstLine="0" w:firstLineChars="0"/>
              <w:jc w:val="center"/>
              <w:rPr>
                <w:kern w:val="0"/>
                <w:sz w:val="16"/>
                <w:szCs w:val="16"/>
              </w:rPr>
            </w:pPr>
            <w:r>
              <w:rPr>
                <w:rFonts w:hint="eastAsia"/>
                <w:sz w:val="16"/>
                <w:szCs w:val="16"/>
              </w:rPr>
              <w:t>175</w:t>
            </w:r>
          </w:p>
        </w:tc>
        <w:tc>
          <w:tcPr>
            <w:tcW w:w="6091" w:type="dxa"/>
            <w:shd w:val="clear" w:color="000000" w:fill="F2F2F2"/>
            <w:noWrap/>
          </w:tcPr>
          <w:p>
            <w:pPr>
              <w:spacing w:line="240" w:lineRule="auto"/>
              <w:ind w:firstLine="0" w:firstLineChars="0"/>
              <w:jc w:val="center"/>
              <w:rPr>
                <w:kern w:val="0"/>
                <w:sz w:val="16"/>
                <w:szCs w:val="16"/>
              </w:rPr>
            </w:pPr>
            <w:r>
              <w:rPr>
                <w:rFonts w:hint="eastAsia"/>
                <w:sz w:val="16"/>
                <w:szCs w:val="16"/>
              </w:rPr>
              <w:t>教育(50.29%);文化、体育和娱乐业(21.14%);军队(6.86%)</w:t>
            </w:r>
          </w:p>
        </w:tc>
        <w:tc>
          <w:tcPr>
            <w:tcW w:w="1139" w:type="dxa"/>
            <w:shd w:val="clear" w:color="000000" w:fill="F2F2F2"/>
            <w:noWrap/>
          </w:tcPr>
          <w:p>
            <w:pPr>
              <w:spacing w:line="240" w:lineRule="auto"/>
              <w:ind w:firstLine="0" w:firstLineChars="0"/>
              <w:jc w:val="center"/>
              <w:rPr>
                <w:kern w:val="0"/>
                <w:sz w:val="16"/>
                <w:szCs w:val="16"/>
              </w:rPr>
            </w:pPr>
            <w:r>
              <w:rPr>
                <w:rFonts w:hint="eastAsia"/>
                <w:sz w:val="16"/>
                <w:szCs w:val="16"/>
              </w:rPr>
              <w:t>78.29%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kern w:val="0"/>
                <w:sz w:val="16"/>
                <w:szCs w:val="16"/>
              </w:rPr>
            </w:pPr>
            <w:r>
              <w:rPr>
                <w:rFonts w:hint="eastAsia"/>
                <w:sz w:val="16"/>
                <w:szCs w:val="16"/>
              </w:rPr>
              <w:t>法学</w:t>
            </w:r>
          </w:p>
        </w:tc>
        <w:tc>
          <w:tcPr>
            <w:tcW w:w="621" w:type="dxa"/>
            <w:shd w:val="clear" w:color="auto" w:fill="auto"/>
            <w:noWrap/>
          </w:tcPr>
          <w:p>
            <w:pPr>
              <w:spacing w:line="240" w:lineRule="auto"/>
              <w:ind w:firstLine="0" w:firstLineChars="0"/>
              <w:jc w:val="center"/>
              <w:rPr>
                <w:kern w:val="0"/>
                <w:sz w:val="16"/>
                <w:szCs w:val="16"/>
              </w:rPr>
            </w:pPr>
            <w:r>
              <w:rPr>
                <w:rFonts w:hint="eastAsia"/>
                <w:sz w:val="16"/>
                <w:szCs w:val="16"/>
              </w:rPr>
              <w:t>85</w:t>
            </w:r>
          </w:p>
        </w:tc>
        <w:tc>
          <w:tcPr>
            <w:tcW w:w="6091" w:type="dxa"/>
            <w:shd w:val="clear" w:color="auto" w:fill="auto"/>
            <w:noWrap/>
          </w:tcPr>
          <w:p>
            <w:pPr>
              <w:spacing w:line="240" w:lineRule="auto"/>
              <w:ind w:firstLine="0" w:firstLineChars="0"/>
              <w:jc w:val="center"/>
              <w:rPr>
                <w:kern w:val="0"/>
                <w:sz w:val="16"/>
                <w:szCs w:val="16"/>
              </w:rPr>
            </w:pPr>
            <w:r>
              <w:rPr>
                <w:rFonts w:hint="eastAsia"/>
                <w:sz w:val="16"/>
                <w:szCs w:val="16"/>
              </w:rPr>
              <w:t>居民服务、修理和其他服务业(49.41%);教育(9.41%);租赁和商务服务业(9.41%)</w:t>
            </w:r>
          </w:p>
        </w:tc>
        <w:tc>
          <w:tcPr>
            <w:tcW w:w="1139" w:type="dxa"/>
            <w:shd w:val="clear" w:color="auto" w:fill="auto"/>
            <w:noWrap/>
          </w:tcPr>
          <w:p>
            <w:pPr>
              <w:spacing w:line="240" w:lineRule="auto"/>
              <w:ind w:firstLine="0" w:firstLineChars="0"/>
              <w:jc w:val="center"/>
              <w:rPr>
                <w:kern w:val="0"/>
                <w:sz w:val="16"/>
                <w:szCs w:val="16"/>
              </w:rPr>
            </w:pPr>
            <w:r>
              <w:rPr>
                <w:rFonts w:hint="eastAsia"/>
                <w:sz w:val="16"/>
                <w:szCs w:val="16"/>
              </w:rPr>
              <w:t>68.24%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思想政治教育</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教育(80.00%);公共管理、社会保障和社会组织(5.71%);文化、体育和娱乐业(5.71%)</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思想政治教育</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35</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教育(80.00%);公共管理、社会保障和社会组织(5.71%);文化、体育和娱乐业(5.71%)</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15</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教育(80.00%);卫生和社会工作(13.33%);交通运输、仓储和邮政业(6.67%)</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政法学院 汇总</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173</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教育(30.64%);居民服务、修理和其他服务业(30.64%);租赁和商务服务业(6.94%)</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68.21%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广告学</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84</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文化、体育和娱乐业(55.95%);信息传输、软件和信息技术服务业(13.10%);教育(10.71%)</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网络与新媒体</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43</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文化、体育和娱乐业(60.47%);信息传输、软件和信息技术服务业(13.95%);教育(9.30%)</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83.72%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新闻学</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33</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文化、体育和娱乐业(45.45%);信息传输、软件和信息技术服务业(18.18%);租赁和商务服务业(9.09%)</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新闻学院 汇总</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160</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文化、体育和娱乐业(55.00%);信息传输、软件和信息技术服务业(14.38%);教育(8.75%)</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信息与计算科学</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76</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信息传输、软件和信息技术服务业(43.42%);教育(18.42%);制造业(11.84%)</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数学与应用数学</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59</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教育(83.05%);信息传输、软件和信息技术服务业(5.08%);批发和零售业(3.39%)</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12</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教育(66.67%);金融业(25.00%);交通运输、仓储和邮政业(8.33%)</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数学学院 汇总</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147</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教育(48.30%);信息传输、软件和信息技术服务业(24.49%);制造业(6.12%)</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电子科学与技术</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73</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信息传输、软件和信息技术服务业(49.32%);教育(16.44%);制造业(16.44%)</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82.19%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rPr>
            </w:pPr>
            <w:r>
              <w:rPr>
                <w:rFonts w:hint="eastAsia"/>
                <w:sz w:val="16"/>
                <w:szCs w:val="16"/>
              </w:rPr>
              <w:t>光电信息科学与工程</w:t>
            </w:r>
          </w:p>
        </w:tc>
        <w:tc>
          <w:tcPr>
            <w:tcW w:w="62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38</w:t>
            </w:r>
          </w:p>
        </w:tc>
        <w:tc>
          <w:tcPr>
            <w:tcW w:w="6091" w:type="dxa"/>
            <w:shd w:val="clear" w:color="auto" w:fill="auto"/>
            <w:noWrap/>
          </w:tcPr>
          <w:p>
            <w:pPr>
              <w:spacing w:line="240" w:lineRule="auto"/>
              <w:ind w:firstLine="0" w:firstLineChars="0"/>
              <w:jc w:val="center"/>
              <w:rPr>
                <w:color w:val="000000"/>
                <w:kern w:val="0"/>
                <w:sz w:val="16"/>
                <w:szCs w:val="16"/>
              </w:rPr>
            </w:pPr>
            <w:r>
              <w:rPr>
                <w:rFonts w:hint="eastAsia"/>
                <w:sz w:val="16"/>
                <w:szCs w:val="16"/>
              </w:rPr>
              <w:t>信息传输、软件和信息技术服务业(44.74%);教育(15.79%);制造业(13.16%)</w:t>
            </w:r>
          </w:p>
        </w:tc>
        <w:tc>
          <w:tcPr>
            <w:tcW w:w="1139" w:type="dxa"/>
            <w:shd w:val="clear" w:color="auto" w:fill="auto"/>
            <w:noWrap/>
          </w:tcPr>
          <w:p>
            <w:pPr>
              <w:spacing w:line="240" w:lineRule="auto"/>
              <w:ind w:firstLine="0" w:firstLineChars="0"/>
              <w:jc w:val="center"/>
              <w:rPr>
                <w:color w:val="000000"/>
                <w:kern w:val="0"/>
                <w:sz w:val="16"/>
                <w:szCs w:val="16"/>
              </w:rPr>
            </w:pPr>
            <w:r>
              <w:rPr>
                <w:rFonts w:hint="eastAsia"/>
                <w:sz w:val="16"/>
                <w:szCs w:val="16"/>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物理学</w:t>
            </w:r>
          </w:p>
        </w:tc>
        <w:tc>
          <w:tcPr>
            <w:tcW w:w="62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18</w:t>
            </w:r>
          </w:p>
        </w:tc>
        <w:tc>
          <w:tcPr>
            <w:tcW w:w="609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教育(72.22%);信息传输、软件和信息技术服务业(11.11%);公共管理、社会保障和社会组织(5.56%)</w:t>
            </w:r>
          </w:p>
        </w:tc>
        <w:tc>
          <w:tcPr>
            <w:tcW w:w="1139"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16</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教育(87.50%);公共管理、社会保障和社会组织(6.25%);制造业(6.25%)</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73"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物电学院 汇总</w:t>
            </w:r>
          </w:p>
        </w:tc>
        <w:tc>
          <w:tcPr>
            <w:tcW w:w="62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145</w:t>
            </w:r>
          </w:p>
        </w:tc>
        <w:tc>
          <w:tcPr>
            <w:tcW w:w="6091"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信息传输、软件和信息技术服务业(37.93%);教育(31.03%);制造业(12.41%)</w:t>
            </w:r>
          </w:p>
        </w:tc>
        <w:tc>
          <w:tcPr>
            <w:tcW w:w="1139" w:type="dxa"/>
            <w:shd w:val="clear" w:color="auto" w:fill="auto"/>
            <w:noWrap/>
          </w:tcPr>
          <w:p>
            <w:pPr>
              <w:spacing w:line="240" w:lineRule="auto"/>
              <w:ind w:firstLine="0" w:firstLineChars="0"/>
              <w:jc w:val="center"/>
              <w:rPr>
                <w:color w:val="000000"/>
                <w:kern w:val="0"/>
                <w:sz w:val="16"/>
                <w:szCs w:val="16"/>
                <w:highlight w:val="magenta"/>
              </w:rPr>
            </w:pPr>
            <w:r>
              <w:rPr>
                <w:rFonts w:hint="eastAsia"/>
                <w:sz w:val="16"/>
                <w:szCs w:val="16"/>
              </w:rPr>
              <w:t>81.38%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73"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w:t>
            </w:r>
          </w:p>
        </w:tc>
        <w:tc>
          <w:tcPr>
            <w:tcW w:w="62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14</w:t>
            </w:r>
          </w:p>
        </w:tc>
        <w:tc>
          <w:tcPr>
            <w:tcW w:w="6091"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教育(85.71%);卫生和社会工作(14.29%)</w:t>
            </w:r>
          </w:p>
        </w:tc>
        <w:tc>
          <w:tcPr>
            <w:tcW w:w="1139" w:type="dxa"/>
            <w:shd w:val="clear" w:color="000000" w:fill="F2F2F2"/>
            <w:noWrap/>
          </w:tcPr>
          <w:p>
            <w:pPr>
              <w:spacing w:line="240" w:lineRule="auto"/>
              <w:ind w:firstLine="0" w:firstLineChars="0"/>
              <w:jc w:val="center"/>
              <w:rPr>
                <w:color w:val="000000"/>
                <w:kern w:val="0"/>
                <w:sz w:val="16"/>
                <w:szCs w:val="16"/>
              </w:rPr>
            </w:pPr>
            <w:r>
              <w:rPr>
                <w:rFonts w:hint="eastAsia"/>
                <w:sz w:val="16"/>
                <w:szCs w:val="16"/>
              </w:rPr>
              <w:t>100.00%</w:t>
            </w:r>
          </w:p>
        </w:tc>
      </w:tr>
    </w:tbl>
    <w:p>
      <w:pPr>
        <w:ind w:firstLine="420"/>
      </w:pPr>
      <w:bookmarkStart w:id="36" w:name="_Toc61594317"/>
      <w:bookmarkStart w:id="37" w:name="_Toc59184311"/>
    </w:p>
    <w:p>
      <w:pPr>
        <w:pStyle w:val="4"/>
      </w:pPr>
      <w:r>
        <w:t>（三）工作职位类别</w:t>
      </w:r>
      <w:bookmarkEnd w:id="36"/>
      <w:bookmarkEnd w:id="37"/>
    </w:p>
    <w:p>
      <w:pPr>
        <w:ind w:firstLine="420"/>
      </w:pPr>
      <w:r>
        <w:t>毕业生工作职位主要为</w:t>
      </w:r>
      <w:r>
        <w:rPr>
          <w:rFonts w:ascii="宋体" w:hAnsi="宋体"/>
        </w:rPr>
        <w:t>“</w:t>
      </w:r>
      <w:r>
        <w:t>其他人员</w:t>
      </w:r>
      <w:r>
        <w:rPr>
          <w:rFonts w:ascii="宋体" w:hAnsi="宋体"/>
        </w:rPr>
        <w:t>”</w:t>
      </w:r>
      <w:r>
        <w:t>（904人，35.41%）、其次为</w:t>
      </w:r>
      <w:r>
        <w:rPr>
          <w:rFonts w:ascii="宋体" w:hAnsi="宋体"/>
        </w:rPr>
        <w:t>“</w:t>
      </w:r>
      <w:r>
        <w:t>商业和服务业人员</w:t>
      </w:r>
      <w:r>
        <w:rPr>
          <w:rFonts w:ascii="宋体" w:hAnsi="宋体"/>
        </w:rPr>
        <w:t>”</w:t>
      </w:r>
      <w:r>
        <w:t>（274人，10.73%）、</w:t>
      </w:r>
      <w:r>
        <w:rPr>
          <w:rFonts w:ascii="宋体" w:hAnsi="宋体"/>
        </w:rPr>
        <w:t>“</w:t>
      </w:r>
      <w:r>
        <w:t>其他专业技术人员</w:t>
      </w:r>
      <w:r>
        <w:rPr>
          <w:rFonts w:ascii="宋体" w:hAnsi="宋体"/>
        </w:rPr>
        <w:t>”</w:t>
      </w:r>
      <w:r>
        <w:t>（262人，10.26%）。</w:t>
      </w:r>
    </w:p>
    <w:p>
      <w:pPr>
        <w:keepNext/>
        <w:ind w:firstLine="0" w:firstLineChars="0"/>
        <w:jc w:val="center"/>
      </w:pPr>
      <w:r>
        <w:drawing>
          <wp:inline distT="0" distB="0" distL="0" distR="0">
            <wp:extent cx="5007610" cy="2955290"/>
            <wp:effectExtent l="0" t="0" r="254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毕业生工作职位类别</w:t>
      </w:r>
    </w:p>
    <w:p>
      <w:pPr>
        <w:ind w:firstLine="420"/>
      </w:pPr>
    </w:p>
    <w:p>
      <w:pPr>
        <w:pStyle w:val="4"/>
      </w:pPr>
      <w:bookmarkStart w:id="38" w:name="_Toc59184313"/>
      <w:bookmarkStart w:id="39" w:name="_Toc61594318"/>
      <w:r>
        <w:t>（四）就业地域流向</w:t>
      </w:r>
      <w:bookmarkEnd w:id="38"/>
      <w:bookmarkEnd w:id="39"/>
    </w:p>
    <w:p>
      <w:pPr>
        <w:pStyle w:val="5"/>
        <w:numPr>
          <w:ilvl w:val="0"/>
          <w:numId w:val="0"/>
        </w:numPr>
        <w:rPr>
          <w:rFonts w:ascii="Times New Roman" w:hAnsi="Times New Roman" w:cs="Times New Roman"/>
        </w:rPr>
      </w:pPr>
      <w:r>
        <w:rPr>
          <w:rFonts w:ascii="Times New Roman" w:hAnsi="Times New Roman" w:cs="Times New Roman"/>
        </w:rPr>
        <w:t>1.就业省份</w:t>
      </w:r>
    </w:p>
    <w:p>
      <w:pPr>
        <w:ind w:firstLine="420"/>
      </w:pPr>
      <w:r>
        <w:t>2020届毕业生就业地区覆盖31个省（直辖市、自治区、行政区），湖南省就业人数最多，共有1565人（占比47.41%），非湖南省就业人数1736人（占比52.59%）。非湖南省就业人数位列前三的地区分别为：广东省679人（占比20.57%）；浙江省148人（占比4.48%）；上海</w:t>
      </w:r>
      <w:r>
        <w:rPr>
          <w:rFonts w:hint="eastAsia"/>
          <w:lang w:val="en-US" w:eastAsia="zh-CN"/>
        </w:rPr>
        <w:t>市</w:t>
      </w:r>
      <w:r>
        <w:t>147人（占比4.45%）。</w:t>
      </w:r>
    </w:p>
    <w:p>
      <w:pPr>
        <w:ind w:firstLine="0" w:firstLineChars="0"/>
        <w:jc w:val="center"/>
      </w:pPr>
      <w:r>
        <w:drawing>
          <wp:anchor distT="0" distB="0" distL="114300" distR="114300" simplePos="0" relativeHeight="251661312" behindDoc="1" locked="0" layoutInCell="1" allowOverlap="1">
            <wp:simplePos x="0" y="0"/>
            <wp:positionH relativeFrom="margin">
              <wp:align>right</wp:align>
            </wp:positionH>
            <wp:positionV relativeFrom="paragraph">
              <wp:posOffset>348615</wp:posOffset>
            </wp:positionV>
            <wp:extent cx="5144135" cy="3770630"/>
            <wp:effectExtent l="0" t="0" r="0" b="190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4133" cy="3770465"/>
                    </a:xfrm>
                    <a:prstGeom prst="rect">
                      <a:avLst/>
                    </a:prstGeom>
                  </pic:spPr>
                </pic:pic>
              </a:graphicData>
            </a:graphic>
          </wp:anchor>
        </w:drawing>
      </w:r>
      <w:r>
        <w:drawing>
          <wp:inline distT="0" distB="0" distL="0" distR="0">
            <wp:extent cx="4922520" cy="5198745"/>
            <wp:effectExtent l="0" t="0" r="0" b="0"/>
            <wp:docPr id="249" name="图表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毕业生就业省份分布</w:t>
      </w:r>
    </w:p>
    <w:p>
      <w:pPr>
        <w:pStyle w:val="5"/>
        <w:numPr>
          <w:ilvl w:val="0"/>
          <w:numId w:val="0"/>
        </w:numPr>
        <w:rPr>
          <w:rFonts w:ascii="Times New Roman" w:hAnsi="Times New Roman" w:cs="Times New Roman"/>
        </w:rPr>
      </w:pPr>
      <w:r>
        <w:rPr>
          <w:rFonts w:ascii="Times New Roman" w:hAnsi="Times New Roman" w:cs="Times New Roman"/>
        </w:rPr>
        <w:t>2.省内就业</w:t>
      </w:r>
    </w:p>
    <w:p>
      <w:pPr>
        <w:ind w:firstLine="420"/>
      </w:pPr>
      <w:r>
        <w:t>2020届毕业生省内就业人数1565人，省内就业人数位列前三的分别为：长沙市689人（占比20.87%）、岳阳市518人（占比15.69%）、株洲市66人（占比2.00%）。</w:t>
      </w:r>
    </w:p>
    <w:p>
      <w:pPr>
        <w:ind w:firstLine="420"/>
      </w:pPr>
    </w:p>
    <w:p>
      <w:pPr>
        <w:keepNext/>
        <w:tabs>
          <w:tab w:val="right" w:pos="8306"/>
        </w:tabs>
        <w:ind w:firstLine="0" w:firstLineChars="0"/>
        <w:jc w:val="center"/>
      </w:pPr>
      <w:r>
        <w:drawing>
          <wp:anchor distT="0" distB="0" distL="114300" distR="114300" simplePos="0" relativeHeight="251662336" behindDoc="1" locked="0" layoutInCell="1" allowOverlap="1">
            <wp:simplePos x="0" y="0"/>
            <wp:positionH relativeFrom="margin">
              <wp:align>left</wp:align>
            </wp:positionH>
            <wp:positionV relativeFrom="paragraph">
              <wp:posOffset>63500</wp:posOffset>
            </wp:positionV>
            <wp:extent cx="5434330" cy="4338320"/>
            <wp:effectExtent l="0" t="0" r="0" b="571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1" cstate="print">
                      <a:extLst>
                        <a:ext uri="{28A0092B-C50C-407E-A947-70E740481C1C}">
                          <a14:useLocalDpi xmlns:a14="http://schemas.microsoft.com/office/drawing/2010/main" val="0"/>
                        </a:ext>
                      </a:extLst>
                    </a:blip>
                    <a:srcRect l="25181" t="13007" r="26382" b="192"/>
                    <a:stretch>
                      <a:fillRect/>
                    </a:stretch>
                  </pic:blipFill>
                  <pic:spPr>
                    <a:xfrm>
                      <a:off x="0" y="0"/>
                      <a:ext cx="5434334" cy="4338084"/>
                    </a:xfrm>
                    <a:prstGeom prst="rect">
                      <a:avLst/>
                    </a:prstGeom>
                    <a:ln>
                      <a:noFill/>
                    </a:ln>
                  </pic:spPr>
                </pic:pic>
              </a:graphicData>
            </a:graphic>
          </wp:anchor>
        </w:drawing>
      </w:r>
      <w:r>
        <w:drawing>
          <wp:inline distT="0" distB="0" distL="0" distR="0">
            <wp:extent cx="4784090" cy="400812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56"/>
        <w:rPr>
          <w:rFonts w:ascii="Times New Roman" w:cs="Times New Roman"/>
          <w:szCs w:val="21"/>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w:t>
      </w:r>
      <w:r>
        <w:rPr>
          <w:rFonts w:ascii="Times New Roman" w:cs="Times New Roman"/>
          <w:szCs w:val="21"/>
        </w:rPr>
        <w:t>毕业生省内就业分布</w:t>
      </w:r>
    </w:p>
    <w:p>
      <w:pPr>
        <w:pStyle w:val="5"/>
        <w:numPr>
          <w:ilvl w:val="0"/>
          <w:numId w:val="0"/>
        </w:numPr>
        <w:rPr>
          <w:rFonts w:ascii="Times New Roman" w:hAnsi="Times New Roman" w:cs="Times New Roman"/>
        </w:rPr>
      </w:pPr>
      <w:r>
        <w:rPr>
          <w:rFonts w:ascii="Times New Roman" w:hAnsi="Times New Roman" w:cs="Times New Roman"/>
        </w:rPr>
        <w:t>3.回生源地情况</w:t>
      </w:r>
    </w:p>
    <w:p>
      <w:pPr>
        <w:ind w:firstLine="420"/>
      </w:pPr>
      <w:r>
        <w:t>2020届已落实就业单位毕业生3301人，回生源地就业1881人，回生源地就业比例为56.98%。其中湖南省回生源地比例为61.26%（已就业生源人数2158人，回生源地人数1322人）。就业人数与生源人数比值位列前三的地区为：广东省（比值1113.11%）、北京市（比值423.81%）、云南省（比值285.71%）。</w:t>
      </w:r>
    </w:p>
    <w:p>
      <w:pPr>
        <w:pStyle w:val="12"/>
        <w:keepNext/>
        <w:ind w:firstLine="360"/>
        <w:rPr>
          <w:rFonts w:ascii="Times New Roman" w:hAnsi="Times New Roman" w:cs="Times New Roman"/>
        </w:rPr>
      </w:pPr>
      <w:r>
        <w:rPr>
          <w:rFonts w:ascii="Times New Roman" w:hAnsi="Times New Roman" w:cs="Times New Roman"/>
        </w:rPr>
        <w:t>表1-</w:t>
      </w:r>
      <w:r>
        <w:rPr>
          <w:rFonts w:ascii="Times New Roman" w:hAnsi="Times New Roman" w:cs="Times New Roman"/>
        </w:rPr>
        <w:fldChar w:fldCharType="begin"/>
      </w:r>
      <w:r>
        <w:rPr>
          <w:rFonts w:ascii="Times New Roman" w:hAnsi="Times New Roman" w:cs="Times New Roman"/>
        </w:rPr>
        <w:instrText xml:space="preserve"> SEQ 表1- \* ARABIC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 xml:space="preserve"> 毕业生回生源地情况</w:t>
      </w:r>
    </w:p>
    <w:tbl>
      <w:tblPr>
        <w:tblStyle w:val="30"/>
        <w:tblW w:w="51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1164"/>
        <w:gridCol w:w="1557"/>
        <w:gridCol w:w="1304"/>
        <w:gridCol w:w="120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trPr>
        <w:tc>
          <w:tcPr>
            <w:tcW w:w="1083"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地区</w:t>
            </w:r>
          </w:p>
        </w:tc>
        <w:tc>
          <w:tcPr>
            <w:tcW w:w="667"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生源人数</w:t>
            </w:r>
          </w:p>
        </w:tc>
        <w:tc>
          <w:tcPr>
            <w:tcW w:w="892"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回生源地就业</w:t>
            </w:r>
          </w:p>
        </w:tc>
        <w:tc>
          <w:tcPr>
            <w:tcW w:w="747"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回生源地就业比例</w:t>
            </w:r>
          </w:p>
        </w:tc>
        <w:tc>
          <w:tcPr>
            <w:tcW w:w="690"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该地区就业人数</w:t>
            </w:r>
          </w:p>
        </w:tc>
        <w:tc>
          <w:tcPr>
            <w:tcW w:w="921" w:type="pct"/>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该地就业人数与生源人数的比值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广东省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78.69%</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679</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北京市</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80.95%</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云南省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42.86%</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浙江省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63.64%</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148</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上海市</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87.14%</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147</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湖北省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28.57%</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青海省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西藏自治区</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四川省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江苏省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82</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陕西省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36.11%</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天津市</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51.61%</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福建省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61.82%</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内蒙古自治区</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64.71%</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海南省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江西省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47.31%</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69</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山东省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50.88%</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湖南省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2158</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1322</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61.26%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1565</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重庆市</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42.86%</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广西壮族自治区</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38.46%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宁夏回族自治区</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57.14%</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贵州省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48.33%</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新疆维吾尔自治区</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15.00%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安徽省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31.25%</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河南省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34.38%</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河北省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40.96%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山西省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63</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38.10%</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甘肃省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34.48%</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辽宁省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黑龙江省</w:t>
            </w:r>
          </w:p>
        </w:tc>
        <w:tc>
          <w:tcPr>
            <w:tcW w:w="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89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4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5.26%</w:t>
            </w:r>
          </w:p>
        </w:tc>
        <w:tc>
          <w:tcPr>
            <w:tcW w:w="69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21"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吉林省</w:t>
            </w:r>
          </w:p>
        </w:tc>
        <w:tc>
          <w:tcPr>
            <w:tcW w:w="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89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4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15.79%</w:t>
            </w:r>
          </w:p>
        </w:tc>
        <w:tc>
          <w:tcPr>
            <w:tcW w:w="69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921"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3"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3301</w:t>
            </w:r>
          </w:p>
        </w:tc>
        <w:tc>
          <w:tcPr>
            <w:tcW w:w="89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1881</w:t>
            </w:r>
          </w:p>
        </w:tc>
        <w:tc>
          <w:tcPr>
            <w:tcW w:w="74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56.98%</w:t>
            </w:r>
          </w:p>
        </w:tc>
        <w:tc>
          <w:tcPr>
            <w:tcW w:w="69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3301</w:t>
            </w:r>
          </w:p>
        </w:tc>
        <w:tc>
          <w:tcPr>
            <w:tcW w:w="921"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w:t>
            </w:r>
          </w:p>
        </w:tc>
      </w:tr>
    </w:tbl>
    <w:p>
      <w:pPr>
        <w:pStyle w:val="5"/>
        <w:numPr>
          <w:ilvl w:val="0"/>
          <w:numId w:val="0"/>
        </w:numPr>
        <w:rPr>
          <w:rFonts w:ascii="Times New Roman" w:hAnsi="Times New Roman" w:cs="Times New Roman"/>
        </w:rPr>
      </w:pPr>
      <w:r>
        <w:rPr>
          <w:rFonts w:ascii="Times New Roman" w:hAnsi="Times New Roman" w:cs="Times New Roman"/>
        </w:rPr>
        <w:t>4.国家战略地区就业情况</w:t>
      </w:r>
      <w:r>
        <w:rPr>
          <w:rFonts w:ascii="Times New Roman" w:hAnsi="Times New Roman" w:cs="Times New Roman"/>
          <w:vertAlign w:val="superscript"/>
        </w:rPr>
        <w:t>[</w:t>
      </w:r>
      <w:r>
        <w:rPr>
          <w:rStyle w:val="37"/>
          <w:rFonts w:ascii="Times New Roman" w:hAnsi="Times New Roman" w:cs="Times New Roman"/>
        </w:rPr>
        <w:footnoteReference w:id="1"/>
      </w:r>
      <w:r>
        <w:rPr>
          <w:rFonts w:ascii="Times New Roman" w:hAnsi="Times New Roman" w:cs="Times New Roman"/>
          <w:vertAlign w:val="superscript"/>
        </w:rPr>
        <w:t>]</w:t>
      </w:r>
    </w:p>
    <w:p>
      <w:pPr>
        <w:ind w:firstLine="420"/>
      </w:pPr>
      <w:r>
        <w:t>为实现区域均衡发展和人才资源的有效配置，学校积极响应国家号召，有效引导毕业生服务国家发展战略 ，参加国家就业项目。其中在</w:t>
      </w:r>
      <w:r>
        <w:rPr>
          <w:rFonts w:hint="eastAsia"/>
        </w:rPr>
        <w:t>“</w:t>
      </w:r>
      <w:r>
        <w:t>长江经济带</w:t>
      </w:r>
      <w:r>
        <w:rPr>
          <w:rFonts w:hint="eastAsia"/>
        </w:rPr>
        <w:t>”</w:t>
      </w:r>
      <w:r>
        <w:t>就业2183人（占比66.13%），</w:t>
      </w:r>
      <w:r>
        <w:rPr>
          <w:rFonts w:hint="eastAsia"/>
        </w:rPr>
        <w:t>“</w:t>
      </w:r>
      <w:r>
        <w:t>一带一路</w:t>
      </w:r>
      <w:r>
        <w:rPr>
          <w:rFonts w:hint="eastAsia"/>
        </w:rPr>
        <w:t>”</w:t>
      </w:r>
      <w:r>
        <w:t>经济带就业1207人（占比36.56%），</w:t>
      </w:r>
      <w:r>
        <w:rPr>
          <w:rFonts w:hint="eastAsia"/>
        </w:rPr>
        <w:t>“</w:t>
      </w:r>
      <w:r>
        <w:t>粤港澳大湾区</w:t>
      </w:r>
      <w:r>
        <w:rPr>
          <w:rFonts w:hint="eastAsia"/>
        </w:rPr>
        <w:t>”</w:t>
      </w:r>
      <w:r>
        <w:t>就业658人（占比19.93%），</w:t>
      </w:r>
      <w:r>
        <w:rPr>
          <w:rFonts w:hint="eastAsia"/>
        </w:rPr>
        <w:t>“</w:t>
      </w:r>
      <w:r>
        <w:t>西部地区</w:t>
      </w:r>
      <w:r>
        <w:rPr>
          <w:rFonts w:hint="eastAsia"/>
        </w:rPr>
        <w:t>”</w:t>
      </w:r>
      <w:r>
        <w:t>就业221人（占比6.69%），</w:t>
      </w:r>
      <w:r>
        <w:rPr>
          <w:rFonts w:hint="eastAsia"/>
        </w:rPr>
        <w:t>“</w:t>
      </w:r>
      <w:r>
        <w:t>京津冀经济圈</w:t>
      </w:r>
      <w:r>
        <w:rPr>
          <w:rFonts w:hint="eastAsia"/>
        </w:rPr>
        <w:t>”</w:t>
      </w:r>
      <w:r>
        <w:t>就业141人（占比4.27%）。</w:t>
      </w:r>
    </w:p>
    <w:p>
      <w:pPr>
        <w:ind w:firstLine="0" w:firstLineChars="0"/>
        <w:jc w:val="center"/>
      </w:pPr>
      <w:r>
        <w:drawing>
          <wp:inline distT="0" distB="0" distL="0" distR="0">
            <wp:extent cx="1765935" cy="1254125"/>
            <wp:effectExtent l="0" t="0" r="5715"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93105" cy="1273558"/>
                    </a:xfrm>
                    <a:prstGeom prst="rect">
                      <a:avLst/>
                    </a:prstGeom>
                    <a:noFill/>
                  </pic:spPr>
                </pic:pic>
              </a:graphicData>
            </a:graphic>
          </wp:inline>
        </w:drawing>
      </w:r>
      <w:r>
        <w:drawing>
          <wp:inline distT="0" distB="0" distL="0" distR="0">
            <wp:extent cx="1605915" cy="12801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09105" cy="1282713"/>
                    </a:xfrm>
                    <a:prstGeom prst="rect">
                      <a:avLst/>
                    </a:prstGeom>
                    <a:noFill/>
                  </pic:spPr>
                </pic:pic>
              </a:graphicData>
            </a:graphic>
          </wp:inline>
        </w:drawing>
      </w:r>
      <w:r>
        <w:t xml:space="preserve"> </w:t>
      </w:r>
      <w:r>
        <w:drawing>
          <wp:inline distT="0" distB="0" distL="0" distR="0">
            <wp:extent cx="1657350" cy="1325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60438" cy="1328472"/>
                    </a:xfrm>
                    <a:prstGeom prst="rect">
                      <a:avLst/>
                    </a:prstGeom>
                    <a:noFill/>
                  </pic:spPr>
                </pic:pic>
              </a:graphicData>
            </a:graphic>
          </wp:inline>
        </w:drawing>
      </w:r>
    </w:p>
    <w:p>
      <w:pPr>
        <w:ind w:firstLine="0" w:firstLineChars="0"/>
        <w:jc w:val="center"/>
      </w:pPr>
      <w:r>
        <w:drawing>
          <wp:inline distT="0" distB="0" distL="0" distR="0">
            <wp:extent cx="1697355" cy="135763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98323" cy="1358782"/>
                    </a:xfrm>
                    <a:prstGeom prst="rect">
                      <a:avLst/>
                    </a:prstGeom>
                    <a:noFill/>
                  </pic:spPr>
                </pic:pic>
              </a:graphicData>
            </a:graphic>
          </wp:inline>
        </w:drawing>
      </w:r>
      <w:r>
        <w:drawing>
          <wp:inline distT="0" distB="0" distL="0" distR="0">
            <wp:extent cx="1677670" cy="134175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78420" cy="1342859"/>
                    </a:xfrm>
                    <a:prstGeom prst="rect">
                      <a:avLst/>
                    </a:prstGeom>
                    <a:noFill/>
                  </pic:spPr>
                </pic:pic>
              </a:graphicData>
            </a:graphic>
          </wp:inline>
        </w:drawing>
      </w:r>
    </w:p>
    <w:p>
      <w:pPr>
        <w:pStyle w:val="56"/>
        <w:rPr>
          <w:rFonts w:ascii="Times New Roman" w:cs="Times New Roman"/>
        </w:rPr>
      </w:pPr>
      <w:r>
        <w:rPr>
          <w:rFonts w:ascii="Times New Roman" w:cs="Times New Roman"/>
        </w:rPr>
        <w:t>图1-</w:t>
      </w:r>
      <w:r>
        <w:rPr>
          <w:rFonts w:ascii="Times New Roman" w:cs="Times New Roman"/>
        </w:rPr>
        <w:fldChar w:fldCharType="begin"/>
      </w:r>
      <w:r>
        <w:rPr>
          <w:rFonts w:ascii="Times New Roman" w:cs="Times New Roman"/>
        </w:rPr>
        <w:instrText xml:space="preserve"> SEQ 图1-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毕业生国家战略地区就业情况</w:t>
      </w:r>
    </w:p>
    <w:p>
      <w:pPr>
        <w:pStyle w:val="5"/>
        <w:numPr>
          <w:ilvl w:val="0"/>
          <w:numId w:val="0"/>
        </w:numPr>
        <w:rPr>
          <w:rFonts w:ascii="Times New Roman" w:hAnsi="Times New Roman" w:cs="Times New Roman"/>
        </w:rPr>
      </w:pPr>
      <w:r>
        <w:rPr>
          <w:rFonts w:ascii="Times New Roman" w:hAnsi="Times New Roman" w:cs="Times New Roman"/>
        </w:rPr>
        <w:t>5.基层就业情况</w:t>
      </w:r>
    </w:p>
    <w:p>
      <w:pPr>
        <w:ind w:firstLine="420"/>
      </w:pPr>
      <w:r>
        <w:t>已落实就业单位的毕业生基层就业</w:t>
      </w:r>
      <w:r>
        <w:rPr>
          <w:szCs w:val="24"/>
          <w:vertAlign w:val="superscript"/>
        </w:rPr>
        <w:t>[</w:t>
      </w:r>
      <w:r>
        <w:rPr>
          <w:szCs w:val="24"/>
          <w:vertAlign w:val="superscript"/>
        </w:rPr>
        <w:footnoteReference w:id="2"/>
      </w:r>
      <w:r>
        <w:rPr>
          <w:szCs w:val="24"/>
          <w:vertAlign w:val="superscript"/>
        </w:rPr>
        <w:t>]</w:t>
      </w:r>
      <w:r>
        <w:t>308人，占比9.33%</w:t>
      </w:r>
    </w:p>
    <w:p>
      <w:pPr>
        <w:pStyle w:val="56"/>
        <w:keepNext/>
        <w:rPr>
          <w:rFonts w:ascii="Times New Roman" w:cs="Times New Roman"/>
        </w:rPr>
      </w:pPr>
      <w:r>
        <w:rPr>
          <w:rFonts w:ascii="Times New Roman" w:cs="Times New Roman"/>
        </w:rPr>
        <w:drawing>
          <wp:inline distT="0" distB="0" distL="0" distR="0">
            <wp:extent cx="3616960" cy="1947545"/>
            <wp:effectExtent l="0" t="0" r="254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t xml:space="preserve"> 毕业生基层就业情况</w:t>
      </w:r>
    </w:p>
    <w:p>
      <w:pPr>
        <w:pStyle w:val="5"/>
        <w:numPr>
          <w:ilvl w:val="0"/>
          <w:numId w:val="0"/>
        </w:numPr>
        <w:rPr>
          <w:rFonts w:ascii="Times New Roman" w:hAnsi="Times New Roman" w:cs="Times New Roman"/>
        </w:rPr>
      </w:pPr>
      <w:r>
        <w:rPr>
          <w:rFonts w:ascii="Times New Roman" w:hAnsi="Times New Roman" w:cs="Times New Roman"/>
        </w:rPr>
        <w:t>6.重点领域就业流向情况</w:t>
      </w:r>
      <w:r>
        <w:rPr>
          <w:rFonts w:ascii="Times New Roman" w:hAnsi="Times New Roman" w:cs="Times New Roman"/>
          <w:vertAlign w:val="superscript"/>
        </w:rPr>
        <w:t>[</w:t>
      </w:r>
      <w:r>
        <w:rPr>
          <w:rStyle w:val="37"/>
          <w:rFonts w:ascii="Times New Roman" w:hAnsi="Times New Roman" w:cs="Times New Roman"/>
        </w:rPr>
        <w:footnoteReference w:id="3"/>
      </w:r>
      <w:r>
        <w:rPr>
          <w:rFonts w:ascii="Times New Roman" w:hAnsi="Times New Roman" w:cs="Times New Roman"/>
          <w:vertAlign w:val="superscript"/>
        </w:rPr>
        <w:t>]</w:t>
      </w:r>
    </w:p>
    <w:p>
      <w:pPr>
        <w:ind w:firstLine="420"/>
      </w:pPr>
      <w:r>
        <w:t>按照毕业生所在生源地经济大区和就业地所在经济大区分布，可以看到：长江中游经济区的生源人数（2318人）和就业人数（1711人）最多。</w:t>
      </w:r>
    </w:p>
    <w:p>
      <w:pPr>
        <w:keepNext/>
        <w:ind w:firstLine="420"/>
        <w:jc w:val="center"/>
      </w:pPr>
      <w:r>
        <w:drawing>
          <wp:inline distT="0" distB="0" distL="0" distR="0">
            <wp:extent cx="4838065" cy="3315335"/>
            <wp:effectExtent l="0" t="0" r="63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9">
                      <a:extLst>
                        <a:ext uri="{28A0092B-C50C-407E-A947-70E740481C1C}">
                          <a14:useLocalDpi xmlns:a14="http://schemas.microsoft.com/office/drawing/2010/main" val="0"/>
                        </a:ext>
                      </a:extLst>
                    </a:blip>
                    <a:srcRect t="1938"/>
                    <a:stretch>
                      <a:fillRect/>
                    </a:stretch>
                  </pic:blipFill>
                  <pic:spPr>
                    <a:xfrm>
                      <a:off x="0" y="0"/>
                      <a:ext cx="4920641" cy="3371875"/>
                    </a:xfrm>
                    <a:prstGeom prst="rect">
                      <a:avLst/>
                    </a:prstGeom>
                    <a:ln>
                      <a:noFill/>
                    </a:ln>
                  </pic:spPr>
                </pic:pic>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毕业生重点领域就业流向情况</w:t>
      </w:r>
    </w:p>
    <w:p>
      <w:pPr>
        <w:pStyle w:val="4"/>
      </w:pPr>
      <w:bookmarkStart w:id="40" w:name="_Toc61594319"/>
      <w:r>
        <w:t>（五）岳阳市就业情况</w:t>
      </w:r>
      <w:bookmarkEnd w:id="40"/>
    </w:p>
    <w:p>
      <w:pPr>
        <w:pStyle w:val="5"/>
        <w:numPr>
          <w:ilvl w:val="0"/>
          <w:numId w:val="0"/>
        </w:numPr>
        <w:rPr>
          <w:rFonts w:ascii="Times New Roman" w:hAnsi="Times New Roman" w:cs="Times New Roman"/>
        </w:rPr>
      </w:pPr>
      <w:r>
        <w:rPr>
          <w:rFonts w:ascii="Times New Roman" w:hAnsi="Times New Roman" w:cs="Times New Roman"/>
        </w:rPr>
        <w:t>1.就业行业结构</w:t>
      </w:r>
    </w:p>
    <w:p>
      <w:pPr>
        <w:ind w:firstLine="420"/>
      </w:pPr>
      <w:r>
        <w:t>在岳阳市的毕业生工作行业主要为</w:t>
      </w:r>
      <w:r>
        <w:rPr>
          <w:rFonts w:ascii="宋体" w:hAnsi="宋体"/>
        </w:rPr>
        <w:t>“</w:t>
      </w:r>
      <w:r>
        <w:t>教育</w:t>
      </w:r>
      <w:r>
        <w:rPr>
          <w:rFonts w:ascii="宋体" w:hAnsi="宋体"/>
        </w:rPr>
        <w:t>”</w:t>
      </w:r>
      <w:r>
        <w:t>（258人，49.81%）、其次为</w:t>
      </w:r>
      <w:r>
        <w:rPr>
          <w:rFonts w:ascii="宋体" w:hAnsi="宋体"/>
        </w:rPr>
        <w:t>“</w:t>
      </w:r>
      <w:r>
        <w:t>文化、体育和娱乐业</w:t>
      </w:r>
      <w:r>
        <w:rPr>
          <w:rFonts w:ascii="宋体" w:hAnsi="宋体"/>
        </w:rPr>
        <w:t>”</w:t>
      </w:r>
      <w:r>
        <w:t>（46人，8.88%）、</w:t>
      </w:r>
      <w:r>
        <w:rPr>
          <w:rFonts w:ascii="宋体" w:hAnsi="宋体"/>
        </w:rPr>
        <w:t>“</w:t>
      </w:r>
      <w:r>
        <w:t>信息传输、软件和信息技术服务业</w:t>
      </w:r>
      <w:r>
        <w:rPr>
          <w:rFonts w:ascii="宋体" w:hAnsi="宋体"/>
        </w:rPr>
        <w:t>”</w:t>
      </w:r>
      <w:r>
        <w:t>（32人，6.18%）。</w:t>
      </w:r>
    </w:p>
    <w:p>
      <w:pPr>
        <w:keepNext/>
        <w:ind w:firstLine="0" w:firstLineChars="0"/>
        <w:jc w:val="center"/>
      </w:pPr>
      <w:r>
        <w:drawing>
          <wp:inline distT="0" distB="0" distL="0" distR="0">
            <wp:extent cx="5120640" cy="3476625"/>
            <wp:effectExtent l="0" t="0" r="381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 xml:space="preserve"> 岳阳市就业毕业生就业行业结构</w:t>
      </w:r>
    </w:p>
    <w:p>
      <w:pPr>
        <w:ind w:firstLine="420"/>
      </w:pPr>
    </w:p>
    <w:p>
      <w:pPr>
        <w:pStyle w:val="5"/>
        <w:numPr>
          <w:ilvl w:val="0"/>
          <w:numId w:val="0"/>
        </w:numPr>
        <w:rPr>
          <w:rFonts w:ascii="Times New Roman" w:hAnsi="Times New Roman" w:cs="Times New Roman"/>
        </w:rPr>
      </w:pPr>
      <w:r>
        <w:rPr>
          <w:rFonts w:ascii="Times New Roman" w:hAnsi="Times New Roman" w:cs="Times New Roman"/>
        </w:rPr>
        <w:t>2.就业单位性质结构</w:t>
      </w:r>
    </w:p>
    <w:p>
      <w:pPr>
        <w:ind w:firstLine="420"/>
      </w:pPr>
      <w:r>
        <w:t>在岳阳市的毕业生工作单位性质主要为</w:t>
      </w:r>
      <w:r>
        <w:rPr>
          <w:rFonts w:ascii="宋体" w:hAnsi="宋体"/>
        </w:rPr>
        <w:t>“</w:t>
      </w:r>
      <w:r>
        <w:t>其他企业</w:t>
      </w:r>
      <w:r>
        <w:rPr>
          <w:rFonts w:ascii="宋体" w:hAnsi="宋体"/>
        </w:rPr>
        <w:t>”</w:t>
      </w:r>
      <w:r>
        <w:t>（232人，44.79%）、其次为</w:t>
      </w:r>
      <w:r>
        <w:rPr>
          <w:rFonts w:ascii="宋体" w:hAnsi="宋体"/>
        </w:rPr>
        <w:t>“</w:t>
      </w:r>
      <w:r>
        <w:t>其他教学单位</w:t>
      </w:r>
      <w:r>
        <w:rPr>
          <w:rFonts w:ascii="宋体" w:hAnsi="宋体"/>
        </w:rPr>
        <w:t>”</w:t>
      </w:r>
      <w:r>
        <w:t>（131人，25.29%）、</w:t>
      </w:r>
      <w:r>
        <w:rPr>
          <w:rFonts w:ascii="宋体" w:hAnsi="宋体"/>
        </w:rPr>
        <w:t>“</w:t>
      </w:r>
      <w:r>
        <w:t>三资企业</w:t>
      </w:r>
      <w:r>
        <w:rPr>
          <w:rFonts w:ascii="宋体" w:hAnsi="宋体"/>
        </w:rPr>
        <w:t>”</w:t>
      </w:r>
      <w:r>
        <w:t>（39人，25.29%）。</w:t>
      </w:r>
    </w:p>
    <w:p>
      <w:pPr>
        <w:keepNext/>
        <w:ind w:firstLine="0" w:firstLineChars="0"/>
        <w:jc w:val="center"/>
      </w:pPr>
      <w:r>
        <w:drawing>
          <wp:inline distT="0" distB="0" distL="0" distR="0">
            <wp:extent cx="4810125" cy="3476625"/>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2"/>
        <w:ind w:firstLine="360"/>
        <w:rPr>
          <w:rFonts w:ascii="Times New Roman" w:hAnsi="Times New Roman" w:cs="Times New Roman"/>
        </w:rPr>
      </w:pPr>
      <w:r>
        <w:rPr>
          <w:rFonts w:ascii="Times New Roman" w:hAnsi="Times New Roman" w:cs="Times New Roman"/>
        </w:rPr>
        <w:t>图1-</w:t>
      </w:r>
      <w:r>
        <w:rPr>
          <w:rFonts w:ascii="Times New Roman" w:hAnsi="Times New Roman" w:cs="Times New Roman"/>
        </w:rPr>
        <w:fldChar w:fldCharType="begin"/>
      </w:r>
      <w:r>
        <w:rPr>
          <w:rFonts w:ascii="Times New Roman" w:hAnsi="Times New Roman" w:cs="Times New Roman"/>
        </w:rPr>
        <w:instrText xml:space="preserve"> SEQ 图1- \* ARABIC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 xml:space="preserve"> 岳阳市就业毕业生就业单位性质结构</w:t>
      </w:r>
    </w:p>
    <w:p>
      <w:pPr>
        <w:ind w:firstLine="420"/>
      </w:pPr>
    </w:p>
    <w:p>
      <w:pPr>
        <w:pStyle w:val="3"/>
        <w:numPr>
          <w:ilvl w:val="0"/>
          <w:numId w:val="0"/>
        </w:numPr>
        <w:rPr>
          <w:rFonts w:cs="Times New Roman"/>
        </w:rPr>
      </w:pPr>
      <w:bookmarkStart w:id="41" w:name="_Toc61594320"/>
      <w:bookmarkStart w:id="42" w:name="_Toc59184314"/>
      <w:r>
        <w:rPr>
          <w:rFonts w:cs="Times New Roman"/>
        </w:rPr>
        <w:t>四、毕业生继续深造情况</w:t>
      </w:r>
      <w:bookmarkEnd w:id="41"/>
      <w:bookmarkEnd w:id="42"/>
    </w:p>
    <w:p>
      <w:pPr>
        <w:pStyle w:val="4"/>
      </w:pPr>
      <w:bookmarkStart w:id="43" w:name="_Toc61594321"/>
      <w:r>
        <w:t>（一）毕业生升学情况</w:t>
      </w:r>
      <w:bookmarkEnd w:id="43"/>
    </w:p>
    <w:p>
      <w:pPr>
        <w:pStyle w:val="5"/>
        <w:numPr>
          <w:ilvl w:val="0"/>
          <w:numId w:val="0"/>
        </w:numPr>
        <w:rPr>
          <w:rFonts w:ascii="Times New Roman" w:hAnsi="Times New Roman" w:cs="Times New Roman"/>
        </w:rPr>
      </w:pPr>
      <w:bookmarkStart w:id="44" w:name="OLE_LINK8"/>
      <w:bookmarkStart w:id="45" w:name="OLE_LINK7"/>
      <w:r>
        <w:rPr>
          <w:rFonts w:ascii="Times New Roman" w:hAnsi="Times New Roman" w:cs="Times New Roman"/>
        </w:rPr>
        <w:t>1.本科毕业生升学情况</w:t>
      </w:r>
    </w:p>
    <w:bookmarkEnd w:id="44"/>
    <w:bookmarkEnd w:id="45"/>
    <w:p>
      <w:pPr>
        <w:ind w:firstLine="420"/>
      </w:pPr>
      <w:r>
        <w:t>本科毕业生整体升学526人，升学率12.54%。升学率位列前三的学院为：化学化工学院（升学人数88人，升学率31.10%）；物理与电子科学学院（升学人数51人，升学率24.52%）；数学学院（升学人数48人，升学率22.86%）。</w:t>
      </w:r>
    </w:p>
    <w:p>
      <w:pPr>
        <w:ind w:firstLine="420"/>
      </w:pPr>
      <w:r>
        <w:t>本科毕业生升学率位列前三的专业为：物理学（升学人数25人，升学率52.08%）；化学工程与工艺（升学人数19人，升学率37.25%）；制药工程（升学人数21人，升学率36.21%）。</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本科毕业生国内升学情况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3177"/>
        <w:gridCol w:w="1278"/>
        <w:gridCol w:w="127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87"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1864"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750"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750"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升学人数</w:t>
            </w:r>
          </w:p>
        </w:tc>
        <w:tc>
          <w:tcPr>
            <w:tcW w:w="750" w:type="pct"/>
            <w:shd w:val="clear" w:color="FFFFFF"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物理与电子科学学院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数学学院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707</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中国语言文学学院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中国语言文学学院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249</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新闻传播学院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新闻传播学院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212</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体育学院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216</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政治与法学学院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政治与法学学院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土木建筑工程学院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土木建筑工程学院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324</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美术与设计学院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美术学（师范）</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美术与设计学院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外国语言文学学院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外国语言文学学院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经济与管理学院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64</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经济与管理学院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495</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restar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音乐学院</w:t>
            </w: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141</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7" w:type="pct"/>
            <w:vMerge w:val="continue"/>
            <w:vAlign w:val="center"/>
          </w:tcPr>
          <w:p>
            <w:pPr>
              <w:spacing w:line="240" w:lineRule="auto"/>
              <w:ind w:firstLine="0" w:firstLineChars="0"/>
              <w:jc w:val="left"/>
              <w:rPr>
                <w:color w:val="000000"/>
                <w:kern w:val="0"/>
                <w:sz w:val="18"/>
                <w:szCs w:val="18"/>
              </w:rPr>
            </w:pPr>
          </w:p>
        </w:tc>
        <w:tc>
          <w:tcPr>
            <w:tcW w:w="1864"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750"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音乐学院 汇总</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227</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750"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1" w:type="pct"/>
            <w:gridSpan w:val="2"/>
            <w:shd w:val="clear" w:color="000000" w:fill="0D3F67"/>
            <w:vAlign w:val="center"/>
          </w:tcPr>
          <w:p>
            <w:pPr>
              <w:spacing w:line="240" w:lineRule="auto"/>
              <w:ind w:firstLine="0" w:firstLineChars="0"/>
              <w:jc w:val="center"/>
              <w:rPr>
                <w:b/>
                <w:bCs/>
                <w:color w:val="FFFFFF"/>
                <w:kern w:val="0"/>
                <w:sz w:val="18"/>
                <w:szCs w:val="18"/>
              </w:rPr>
            </w:pPr>
            <w:r>
              <w:rPr>
                <w:b/>
                <w:bCs/>
                <w:color w:val="FFFFFF"/>
                <w:kern w:val="0"/>
                <w:sz w:val="18"/>
                <w:szCs w:val="18"/>
              </w:rPr>
              <w:t>总体</w:t>
            </w:r>
          </w:p>
        </w:tc>
        <w:tc>
          <w:tcPr>
            <w:tcW w:w="75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4195</w:t>
            </w:r>
          </w:p>
        </w:tc>
        <w:tc>
          <w:tcPr>
            <w:tcW w:w="75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526</w:t>
            </w:r>
          </w:p>
        </w:tc>
        <w:tc>
          <w:tcPr>
            <w:tcW w:w="750"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12.54%</w:t>
            </w:r>
          </w:p>
        </w:tc>
      </w:tr>
    </w:tbl>
    <w:p>
      <w:pPr>
        <w:pStyle w:val="5"/>
        <w:numPr>
          <w:ilvl w:val="0"/>
          <w:numId w:val="0"/>
        </w:numPr>
        <w:rPr>
          <w:rFonts w:ascii="Times New Roman" w:hAnsi="Times New Roman" w:cs="Times New Roman"/>
        </w:rPr>
      </w:pPr>
      <w:r>
        <w:rPr>
          <w:rFonts w:ascii="Times New Roman" w:hAnsi="Times New Roman" w:cs="Times New Roman"/>
        </w:rPr>
        <w:t>2.硕士毕业生升学情况</w:t>
      </w:r>
    </w:p>
    <w:p>
      <w:pPr>
        <w:ind w:firstLine="420"/>
      </w:pPr>
      <w:r>
        <w:t>硕士毕业生整体升学9人，升学率4.31%。各学院专业升学详情如下表。</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12</w:t>
      </w:r>
      <w:r>
        <w:rPr>
          <w:rFonts w:ascii="Times New Roman" w:cs="Times New Roman"/>
        </w:rPr>
        <w:fldChar w:fldCharType="end"/>
      </w:r>
      <w:r>
        <w:rPr>
          <w:rFonts w:ascii="Times New Roman" w:cs="Times New Roman"/>
        </w:rPr>
        <w:t xml:space="preserve"> </w:t>
      </w:r>
      <w:r>
        <w:rPr>
          <w:rFonts w:hint="eastAsia" w:ascii="Times New Roman" w:cs="Times New Roman"/>
        </w:rPr>
        <w:t>硕士</w:t>
      </w:r>
      <w:r>
        <w:rPr>
          <w:rFonts w:ascii="Times New Roman" w:cs="Times New Roman"/>
        </w:rPr>
        <w:t>毕业生国内升学情况</w:t>
      </w:r>
    </w:p>
    <w:tbl>
      <w:tblPr>
        <w:tblStyle w:val="30"/>
        <w:tblW w:w="5000" w:type="pct"/>
        <w:jc w:val="center"/>
        <w:tblLayout w:type="autofit"/>
        <w:tblCellMar>
          <w:top w:w="15" w:type="dxa"/>
          <w:left w:w="15" w:type="dxa"/>
          <w:bottom w:w="15" w:type="dxa"/>
          <w:right w:w="15" w:type="dxa"/>
        </w:tblCellMar>
      </w:tblPr>
      <w:tblGrid>
        <w:gridCol w:w="2252"/>
        <w:gridCol w:w="2253"/>
        <w:gridCol w:w="1277"/>
        <w:gridCol w:w="1277"/>
        <w:gridCol w:w="1277"/>
      </w:tblGrid>
      <w:tr>
        <w:tblPrEx>
          <w:tblCellMar>
            <w:top w:w="15" w:type="dxa"/>
            <w:left w:w="15" w:type="dxa"/>
            <w:bottom w:w="15" w:type="dxa"/>
            <w:right w:w="15" w:type="dxa"/>
          </w:tblCellMar>
        </w:tblPrEx>
        <w:trPr>
          <w:trHeight w:val="195" w:hRule="atLeast"/>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院系</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专业</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毕业生人数</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升学人数</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升学率</w:t>
            </w:r>
          </w:p>
        </w:tc>
      </w:tr>
      <w:tr>
        <w:tblPrEx>
          <w:tblCellMar>
            <w:top w:w="15" w:type="dxa"/>
            <w:left w:w="15" w:type="dxa"/>
            <w:bottom w:w="15" w:type="dxa"/>
            <w:right w:w="15" w:type="dxa"/>
          </w:tblCellMar>
        </w:tblPrEx>
        <w:trPr>
          <w:trHeight w:val="285" w:hRule="atLeast"/>
          <w:jc w:val="center"/>
        </w:trPr>
        <w:tc>
          <w:tcPr>
            <w:tcW w:w="135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化学化工学院</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29.41%</w:t>
            </w:r>
          </w:p>
        </w:tc>
      </w:tr>
      <w:tr>
        <w:tblPrEx>
          <w:tblCellMar>
            <w:top w:w="15" w:type="dxa"/>
            <w:left w:w="15" w:type="dxa"/>
            <w:bottom w:w="15" w:type="dxa"/>
            <w:right w:w="15" w:type="dxa"/>
          </w:tblCellMar>
        </w:tblPrEx>
        <w:trPr>
          <w:trHeight w:val="36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left"/>
              <w:rPr>
                <w:color w:val="000000"/>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化学化工学院 汇总</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19.23%</w:t>
            </w:r>
          </w:p>
        </w:tc>
      </w:tr>
      <w:tr>
        <w:tblPrEx>
          <w:tblCellMar>
            <w:top w:w="15" w:type="dxa"/>
            <w:left w:w="15" w:type="dxa"/>
            <w:bottom w:w="15" w:type="dxa"/>
            <w:right w:w="15" w:type="dxa"/>
          </w:tblCellMar>
        </w:tblPrEx>
        <w:trPr>
          <w:trHeight w:val="329"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18.75%</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信息科学与工程学院 汇总</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18.75%</w:t>
            </w:r>
          </w:p>
        </w:tc>
      </w:tr>
      <w:tr>
        <w:tblPrEx>
          <w:tblCellMar>
            <w:top w:w="15" w:type="dxa"/>
            <w:left w:w="15" w:type="dxa"/>
            <w:bottom w:w="15" w:type="dxa"/>
            <w:right w:w="15" w:type="dxa"/>
          </w:tblCellMar>
        </w:tblPrEx>
        <w:trPr>
          <w:trHeight w:val="210"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机械工程学院</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5.00%</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机械工程学院 汇总</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5.00%</w:t>
            </w:r>
          </w:p>
        </w:tc>
      </w:tr>
      <w:tr>
        <w:tblPrEx>
          <w:tblCellMar>
            <w:top w:w="15" w:type="dxa"/>
            <w:left w:w="15" w:type="dxa"/>
            <w:bottom w:w="15" w:type="dxa"/>
            <w:right w:w="15" w:type="dxa"/>
          </w:tblCellMar>
        </w:tblPrEx>
        <w:trPr>
          <w:trHeight w:val="195" w:hRule="atLeast"/>
          <w:jc w:val="center"/>
        </w:trPr>
        <w:tc>
          <w:tcPr>
            <w:tcW w:w="2700" w:type="dxa"/>
            <w:gridSpan w:val="2"/>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总计</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209</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9</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4.31%</w:t>
            </w:r>
          </w:p>
        </w:tc>
      </w:tr>
    </w:tbl>
    <w:p>
      <w:pPr>
        <w:ind w:firstLine="420"/>
      </w:pPr>
    </w:p>
    <w:p>
      <w:pPr>
        <w:ind w:firstLine="420"/>
      </w:pPr>
    </w:p>
    <w:p>
      <w:pPr>
        <w:pStyle w:val="4"/>
      </w:pPr>
      <w:bookmarkStart w:id="46" w:name="_Toc61594322"/>
      <w:r>
        <w:t>（二）升学高校类型</w:t>
      </w:r>
      <w:bookmarkEnd w:id="46"/>
    </w:p>
    <w:p>
      <w:pPr>
        <w:ind w:firstLine="420"/>
      </w:pPr>
      <w:r>
        <w:t>毕业生升学到</w:t>
      </w:r>
      <w:r>
        <w:rPr>
          <w:rFonts w:hint="eastAsia"/>
        </w:rPr>
        <w:t>“</w:t>
      </w:r>
      <w:r>
        <w:t>双一流</w:t>
      </w:r>
      <w:r>
        <w:rPr>
          <w:rFonts w:hint="eastAsia"/>
        </w:rPr>
        <w:t>”</w:t>
      </w:r>
      <w:r>
        <w:t>高校人数为168人，占比31.40%。</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13</w:t>
      </w:r>
      <w:r>
        <w:rPr>
          <w:rFonts w:ascii="Times New Roman" w:cs="Times New Roman"/>
        </w:rPr>
        <w:fldChar w:fldCharType="end"/>
      </w:r>
      <w:r>
        <w:rPr>
          <w:rFonts w:ascii="Times New Roman" w:cs="Times New Roman"/>
        </w:rPr>
        <w:t xml:space="preserve"> </w:t>
      </w:r>
      <w:r>
        <w:rPr>
          <w:rFonts w:hint="eastAsia" w:ascii="Times New Roman" w:cs="Times New Roman"/>
        </w:rPr>
        <w:t>毕业生升学高校类型</w:t>
      </w:r>
    </w:p>
    <w:tbl>
      <w:tblPr>
        <w:tblStyle w:val="30"/>
        <w:tblW w:w="5000" w:type="pct"/>
        <w:jc w:val="center"/>
        <w:tblLayout w:type="autofit"/>
        <w:tblCellMar>
          <w:top w:w="15" w:type="dxa"/>
          <w:left w:w="15" w:type="dxa"/>
          <w:bottom w:w="15" w:type="dxa"/>
          <w:right w:w="15" w:type="dxa"/>
        </w:tblCellMar>
      </w:tblPr>
      <w:tblGrid>
        <w:gridCol w:w="3908"/>
        <w:gridCol w:w="2214"/>
        <w:gridCol w:w="2214"/>
      </w:tblGrid>
      <w:tr>
        <w:tblPrEx>
          <w:tblCellMar>
            <w:top w:w="15" w:type="dxa"/>
            <w:left w:w="15" w:type="dxa"/>
            <w:bottom w:w="15" w:type="dxa"/>
            <w:right w:w="15" w:type="dxa"/>
          </w:tblCellMar>
        </w:tblPrEx>
        <w:trPr>
          <w:trHeight w:val="285" w:hRule="atLeast"/>
          <w:tblHeader/>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bookmarkStart w:id="47" w:name="OLE_LINK2"/>
            <w:bookmarkStart w:id="48" w:name="OLE_LINK1"/>
            <w:r>
              <w:rPr>
                <w:b/>
                <w:bCs/>
                <w:color w:val="FFFFFF"/>
                <w:kern w:val="0"/>
                <w:sz w:val="18"/>
                <w:szCs w:val="18"/>
              </w:rPr>
              <w:t>国内升学高校层次</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人数</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普通</w:t>
            </w:r>
            <w:r>
              <w:rPr>
                <w:rFonts w:hint="eastAsia"/>
                <w:color w:val="000000"/>
                <w:kern w:val="0"/>
                <w:sz w:val="18"/>
                <w:szCs w:val="18"/>
              </w:rPr>
              <w:t>高等院校</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367</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68.60%</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世界一流大学建设高校</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765" w:type="dxa"/>
            <w:tcBorders>
              <w:top w:val="single" w:color="000000" w:sz="4" w:space="0"/>
              <w:left w:val="single" w:color="000000" w:sz="4" w:space="0"/>
              <w:bottom w:val="single" w:color="000000" w:sz="4" w:space="0"/>
              <w:right w:val="single" w:color="000000" w:sz="4" w:space="0"/>
            </w:tcBorders>
            <w:shd w:val="clear" w:color="auto" w:fill="F2F2F2"/>
            <w:vAlign w:val="center"/>
          </w:tcPr>
          <w:p>
            <w:pPr>
              <w:spacing w:line="240" w:lineRule="auto"/>
              <w:ind w:firstLine="0" w:firstLineChars="0"/>
              <w:jc w:val="center"/>
              <w:rPr>
                <w:color w:val="000000"/>
                <w:kern w:val="0"/>
                <w:sz w:val="18"/>
                <w:szCs w:val="18"/>
              </w:rPr>
            </w:pPr>
            <w:r>
              <w:rPr>
                <w:color w:val="000000"/>
                <w:kern w:val="0"/>
                <w:sz w:val="18"/>
                <w:szCs w:val="18"/>
              </w:rPr>
              <w:t>8.22%</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世界一流学科建设高校</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124</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color w:val="000000"/>
                <w:kern w:val="0"/>
                <w:sz w:val="18"/>
                <w:szCs w:val="18"/>
              </w:rPr>
            </w:pPr>
            <w:r>
              <w:rPr>
                <w:color w:val="000000"/>
                <w:kern w:val="0"/>
                <w:sz w:val="18"/>
                <w:szCs w:val="18"/>
              </w:rPr>
              <w:t>23.18%</w:t>
            </w:r>
          </w:p>
        </w:tc>
      </w:tr>
      <w:tr>
        <w:tblPrEx>
          <w:tblCellMar>
            <w:top w:w="15" w:type="dxa"/>
            <w:left w:w="15" w:type="dxa"/>
            <w:bottom w:w="15" w:type="dxa"/>
            <w:right w:w="15" w:type="dxa"/>
          </w:tblCellMar>
        </w:tblPrEx>
        <w:trPr>
          <w:trHeight w:val="285" w:hRule="atLeast"/>
          <w:jc w:val="center"/>
        </w:trPr>
        <w:tc>
          <w:tcPr>
            <w:tcW w:w="1350"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总计</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535</w:t>
            </w:r>
          </w:p>
        </w:tc>
        <w:tc>
          <w:tcPr>
            <w:tcW w:w="765" w:type="dxa"/>
            <w:tcBorders>
              <w:top w:val="single" w:color="000000" w:sz="4" w:space="0"/>
              <w:left w:val="single" w:color="000000" w:sz="4" w:space="0"/>
              <w:bottom w:val="single" w:color="000000" w:sz="4" w:space="0"/>
              <w:right w:val="single" w:color="000000" w:sz="4" w:space="0"/>
            </w:tcBorders>
            <w:shd w:val="clear" w:color="auto" w:fill="093D64"/>
            <w:vAlign w:val="center"/>
          </w:tcPr>
          <w:p>
            <w:pPr>
              <w:spacing w:line="240" w:lineRule="auto"/>
              <w:ind w:firstLine="0" w:firstLineChars="0"/>
              <w:jc w:val="center"/>
              <w:rPr>
                <w:b/>
                <w:bCs/>
                <w:color w:val="FFFFFF"/>
                <w:kern w:val="0"/>
                <w:sz w:val="18"/>
                <w:szCs w:val="18"/>
              </w:rPr>
            </w:pPr>
            <w:r>
              <w:rPr>
                <w:b/>
                <w:bCs/>
                <w:color w:val="FFFFFF"/>
                <w:kern w:val="0"/>
                <w:sz w:val="18"/>
                <w:szCs w:val="18"/>
              </w:rPr>
              <w:t>100.00%</w:t>
            </w:r>
          </w:p>
        </w:tc>
      </w:tr>
      <w:bookmarkEnd w:id="47"/>
      <w:bookmarkEnd w:id="48"/>
    </w:tbl>
    <w:p>
      <w:pPr>
        <w:ind w:firstLine="420"/>
      </w:pPr>
    </w:p>
    <w:p>
      <w:pPr>
        <w:pStyle w:val="4"/>
      </w:pPr>
      <w:bookmarkStart w:id="49" w:name="_Toc61594323"/>
      <w:r>
        <w:t>（三）升学高校</w:t>
      </w:r>
      <w:r>
        <w:rPr>
          <w:rFonts w:hint="eastAsia"/>
        </w:rPr>
        <w:t>名称</w:t>
      </w:r>
      <w:bookmarkEnd w:id="49"/>
    </w:p>
    <w:p>
      <w:pPr>
        <w:ind w:firstLine="420"/>
      </w:pPr>
      <w:r>
        <w:t>国内升学本科毕业生中，有近两成选择升学至湖南理工学院（93人）。国内升学名单详见下表。</w:t>
      </w:r>
    </w:p>
    <w:p>
      <w:pPr>
        <w:pStyle w:val="56"/>
        <w:rPr>
          <w:rFonts w:ascii="Times New Roman" w:cs="Times New Roman"/>
        </w:rPr>
      </w:pPr>
      <w:r>
        <w:rPr>
          <w:rFonts w:ascii="Times New Roman" w:cs="Times New Roman"/>
        </w:rPr>
        <w:t>表1-</w:t>
      </w:r>
      <w:r>
        <w:rPr>
          <w:rFonts w:ascii="Times New Roman" w:cs="Times New Roman"/>
        </w:rPr>
        <w:fldChar w:fldCharType="begin"/>
      </w:r>
      <w:r>
        <w:rPr>
          <w:rFonts w:ascii="Times New Roman" w:cs="Times New Roman"/>
        </w:rPr>
        <w:instrText xml:space="preserve"> SEQ 表1- \* ARABIC </w:instrText>
      </w:r>
      <w:r>
        <w:rPr>
          <w:rFonts w:ascii="Times New Roman" w:cs="Times New Roman"/>
        </w:rPr>
        <w:fldChar w:fldCharType="separate"/>
      </w:r>
      <w:r>
        <w:rPr>
          <w:rFonts w:ascii="Times New Roman" w:cs="Times New Roman"/>
        </w:rPr>
        <w:t>14</w:t>
      </w:r>
      <w:r>
        <w:rPr>
          <w:rFonts w:ascii="Times New Roman" w:cs="Times New Roman"/>
        </w:rPr>
        <w:fldChar w:fldCharType="end"/>
      </w:r>
      <w:r>
        <w:rPr>
          <w:rFonts w:ascii="Times New Roman" w:cs="Times New Roman"/>
        </w:rPr>
        <w:t xml:space="preserve"> 毕业生国内升学学校（10人以上）</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高校名称</w:t>
            </w:r>
          </w:p>
        </w:tc>
        <w:tc>
          <w:tcPr>
            <w:tcW w:w="1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人数</w:t>
            </w:r>
          </w:p>
        </w:tc>
        <w:tc>
          <w:tcPr>
            <w:tcW w:w="166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湖南理工学院</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湘潭大学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湖南师范大学</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长沙理工大学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湖南科技大学</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华南师范大学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auto" w:fill="auto"/>
            <w:vAlign w:val="center"/>
          </w:tcPr>
          <w:p>
            <w:pPr>
              <w:spacing w:line="240" w:lineRule="auto"/>
              <w:ind w:firstLine="0" w:firstLineChars="0"/>
              <w:jc w:val="center"/>
              <w:rPr>
                <w:color w:val="000000"/>
                <w:kern w:val="0"/>
                <w:sz w:val="18"/>
                <w:szCs w:val="18"/>
              </w:rPr>
            </w:pPr>
            <w:r>
              <w:rPr>
                <w:color w:val="000000"/>
                <w:kern w:val="0"/>
                <w:sz w:val="18"/>
                <w:szCs w:val="18"/>
              </w:rPr>
              <w:t>湖南大学</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66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7" w:type="pct"/>
            <w:shd w:val="clear" w:color="000000" w:fill="F2F2F2"/>
            <w:vAlign w:val="center"/>
          </w:tcPr>
          <w:p>
            <w:pPr>
              <w:spacing w:line="240" w:lineRule="auto"/>
              <w:ind w:firstLine="0" w:firstLineChars="0"/>
              <w:jc w:val="center"/>
              <w:rPr>
                <w:color w:val="000000"/>
                <w:kern w:val="0"/>
                <w:sz w:val="18"/>
                <w:szCs w:val="18"/>
              </w:rPr>
            </w:pPr>
            <w:r>
              <w:rPr>
                <w:color w:val="000000"/>
                <w:kern w:val="0"/>
                <w:sz w:val="18"/>
                <w:szCs w:val="18"/>
              </w:rPr>
              <w:t>广东工业大学</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66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2.09%</w:t>
            </w:r>
          </w:p>
        </w:tc>
      </w:tr>
    </w:tbl>
    <w:p>
      <w:pPr>
        <w:spacing w:line="240" w:lineRule="auto"/>
        <w:ind w:firstLine="0" w:firstLineChars="0"/>
        <w:jc w:val="left"/>
      </w:pPr>
    </w:p>
    <w:p>
      <w:pPr>
        <w:spacing w:line="240" w:lineRule="auto"/>
        <w:ind w:firstLine="0" w:firstLineChars="0"/>
        <w:jc w:val="left"/>
      </w:pPr>
      <w:r>
        <w:br w:type="page"/>
      </w:r>
    </w:p>
    <w:p>
      <w:pPr>
        <w:pStyle w:val="2"/>
      </w:pPr>
      <w:bookmarkStart w:id="50" w:name="_Toc61594324"/>
      <w:r>
        <w:t>第二章 毕业生就业创业工作举措</w:t>
      </w:r>
      <w:bookmarkEnd w:id="50"/>
    </w:p>
    <w:p>
      <w:pPr>
        <w:ind w:firstLine="420"/>
      </w:pPr>
      <w:r>
        <w:rPr>
          <w:rFonts w:hint="eastAsia"/>
        </w:rPr>
        <w:t>学校党委、行政高度重视毕业生就业创业工作，始终把毕业生就业创业工作放在突出位置，把毕业生高质量的就业作为工作的目标，把家长和学生的诉求作为努力的方向，全面实行毕业生就业创业工作“一把手工程”。</w:t>
      </w:r>
    </w:p>
    <w:p>
      <w:pPr>
        <w:pStyle w:val="3"/>
        <w:numPr>
          <w:ilvl w:val="0"/>
          <w:numId w:val="0"/>
        </w:numPr>
        <w:rPr>
          <w:rFonts w:cs="Times New Roman"/>
        </w:rPr>
      </w:pPr>
      <w:bookmarkStart w:id="51" w:name="_Toc61594325"/>
      <w:r>
        <w:rPr>
          <w:rFonts w:hint="eastAsia" w:cs="Times New Roman"/>
        </w:rPr>
        <w:t>一、领导高度重视，构建就业创业工作长效机制</w:t>
      </w:r>
      <w:bookmarkEnd w:id="51"/>
    </w:p>
    <w:p>
      <w:pPr>
        <w:ind w:firstLine="420"/>
      </w:pPr>
      <w:r>
        <w:rPr>
          <w:rFonts w:hint="eastAsia"/>
        </w:rPr>
        <w:t>学校实行毕业生就业创业工作“一把手工程”，成立了以校党委书记、校长为组长的毕业生就业创业工作领导小组。各学院成立了以院长为组长的毕业生就业创业工作领导小组，从上至下强化了对毕业生就业创业工作的组织领导，构建了“党政齐抓、部门联动、院为基础”的毕业生就业创业工作长效机制，并将毕业生就业创业工作作为学院主要领导干部年度考核和学院工作考核的重要内容，实行“一票否决”制。</w:t>
      </w:r>
    </w:p>
    <w:p>
      <w:pPr>
        <w:ind w:firstLine="420"/>
      </w:pPr>
      <w:r>
        <w:rPr>
          <w:rFonts w:hint="eastAsia"/>
        </w:rPr>
        <w:t>学校建立了完善的就业创业工作制度。制定了校领导院系联系制度、毕业生就业创业工作暂行规定、毕业生就业市场建设实施方案、就业困难学生帮扶办法等，出台了《湖南理工学院毕业生就业创业工作奖励办法》，营造了全员帮就业、人人做贡献的良好氛围，确保了工作落实到位。</w:t>
      </w:r>
    </w:p>
    <w:p>
      <w:pPr>
        <w:pStyle w:val="3"/>
        <w:numPr>
          <w:ilvl w:val="0"/>
          <w:numId w:val="0"/>
        </w:numPr>
        <w:rPr>
          <w:rFonts w:cs="Times New Roman"/>
        </w:rPr>
      </w:pPr>
      <w:bookmarkStart w:id="52" w:name="_Toc61594326"/>
      <w:r>
        <w:rPr>
          <w:rFonts w:hint="eastAsia" w:cs="Times New Roman"/>
        </w:rPr>
        <w:t>二、搭建招聘平台，确保毕业生就业信息岗位充足</w:t>
      </w:r>
      <w:bookmarkEnd w:id="52"/>
    </w:p>
    <w:p>
      <w:pPr>
        <w:pStyle w:val="4"/>
      </w:pPr>
      <w:bookmarkStart w:id="53" w:name="_Toc61594327"/>
      <w:r>
        <w:rPr>
          <w:rFonts w:hint="eastAsia"/>
        </w:rPr>
        <w:t>（一）应对新冠疫情，迅速启动线上招聘</w:t>
      </w:r>
      <w:bookmarkEnd w:id="53"/>
    </w:p>
    <w:p>
      <w:pPr>
        <w:ind w:firstLine="420"/>
      </w:pPr>
      <w:r>
        <w:rPr>
          <w:rFonts w:hint="eastAsia"/>
        </w:rPr>
        <w:t>2020年上半年校园招聘受疫情影响，线下招聘基本停滞，学校迅速转变招聘模式，搭建线上供需交流平台，畅通就业信息发布渠道；发布《致广大用人单位一封信》介绍当前校招现状并引导企业积极开展线上招聘；打造“空中宣讲会”、“空中双选会”等新型线上网络视频招聘方式；开通“就业协议书网签”系统，实现了线上信息发布、交流、签约的校园招聘全过程。疫情期间累计举办11场空中双选会，邀请用人单位1123家，提供就业岗位数141691个，累计参加毕业生5258人次。</w:t>
      </w:r>
    </w:p>
    <w:p>
      <w:pPr>
        <w:pStyle w:val="4"/>
      </w:pPr>
      <w:bookmarkStart w:id="54" w:name="_Toc61594328"/>
      <w:r>
        <w:rPr>
          <w:rFonts w:hint="eastAsia"/>
        </w:rPr>
        <w:t>（二）创造就业机会，重点开展专场招聘会</w:t>
      </w:r>
      <w:bookmarkEnd w:id="54"/>
    </w:p>
    <w:p>
      <w:pPr>
        <w:ind w:firstLine="420"/>
      </w:pPr>
      <w:r>
        <w:rPr>
          <w:rFonts w:hint="eastAsia"/>
        </w:rPr>
        <w:t>2020年下半年共组织了829家企业进校招聘，累计提供总就业岗位数54798个。其中举办大中型双选会13场，提供就业岗位28635个；举办专场招聘会237场，提供就业岗位26163个，专场招聘会举办频次为历史同期最高。参会企业中国有企业、上市公司、民营企业500强、行业百强等高质量就业企业数占到28.5%。今年还尝试组织举办了信息、机械、物电、音乐、政法等以学院为单位的专场招聘会，毕业生反响较好。专场招聘会组织方式的创新和进校企业质量的提升激发了毕业生求职的热情，全年共有14761人次毕业生参与招聘活动。</w:t>
      </w:r>
    </w:p>
    <w:p>
      <w:pPr>
        <w:pStyle w:val="3"/>
        <w:numPr>
          <w:ilvl w:val="0"/>
          <w:numId w:val="0"/>
        </w:numPr>
        <w:rPr>
          <w:rFonts w:cs="Times New Roman"/>
        </w:rPr>
      </w:pPr>
      <w:bookmarkStart w:id="55" w:name="_Toc61594329"/>
      <w:r>
        <w:rPr>
          <w:rFonts w:hint="eastAsia" w:cs="Times New Roman"/>
        </w:rPr>
        <w:t>三、精准困难帮扶，确保毕业生顺利充分就业</w:t>
      </w:r>
      <w:bookmarkEnd w:id="55"/>
    </w:p>
    <w:p>
      <w:pPr>
        <w:ind w:firstLine="420"/>
      </w:pPr>
      <w:r>
        <w:rPr>
          <w:rFonts w:hint="eastAsia"/>
        </w:rPr>
        <w:t>帮助困难毕业生就业是学校就业工作的一大特色，学校做到“不漏一个学生”。学校通过困难摸底、就业意向调查、建立台账实时掌握困难毕业生学习、生活和就业状况，采取求职专项指导、一对一帮扶，精准岗位推送、组织外出求职等形式，确保他们都能顺利充分就业。2020年，学校共有建立台账帮扶毕业生1272人（含2020届、2021届），帮助他们每人申请1500元的一次性求职创业补贴1908000元。考虑到疫情影响，学校还专门设立就业求职专项资金，鼓励和引导2020届就业困难毕业生主动求职。对于到用人单位应聘的就业困难毕业生，给予一次性求职差旅补助 500 元；对与用人单位签约成功的，再给予一次性签约奖励 500 元，累计发放补贴105500元，确保了有就业意向的2020届建档立卡贫困毕业生100%就业。</w:t>
      </w:r>
    </w:p>
    <w:p>
      <w:pPr>
        <w:pStyle w:val="3"/>
        <w:numPr>
          <w:ilvl w:val="0"/>
          <w:numId w:val="0"/>
        </w:numPr>
        <w:rPr>
          <w:rFonts w:cs="Times New Roman"/>
        </w:rPr>
      </w:pPr>
      <w:bookmarkStart w:id="56" w:name="_Toc61594330"/>
      <w:r>
        <w:rPr>
          <w:rFonts w:hint="eastAsia" w:cs="Times New Roman"/>
        </w:rPr>
        <w:t>四、深化就业指导，提升毕业生就业竞争力</w:t>
      </w:r>
      <w:bookmarkEnd w:id="56"/>
    </w:p>
    <w:p>
      <w:pPr>
        <w:ind w:firstLine="420"/>
      </w:pPr>
      <w:r>
        <w:rPr>
          <w:rFonts w:hint="eastAsia"/>
        </w:rPr>
        <w:t>学校十分重视学生的职业发展与就业指导教育，将大学生职业发展与就业指导作为必修课列入了专业培养计划，开展了形式多样的职业生涯规划与就业指导活动，通过求职简历大赛、模拟招聘大赛、职业生涯规划大赛、公务员考试讲座、优秀大学生事迹巡回报告会等丰富多彩的活动不断培养学生的职业意识，提高就业能力。2020年，学校考虑到毕业生参与线上招聘的特点，狠抓毕业生“求职简历设计制作”，组织就业专职人员、就业指导教师对全体毕业生求职简历进行“一对一”指导修改，累计共有3487名毕业生接受指导并完成简历制作和修改。此举强化了与毕业生沟通联系，通过评估学生就业能力，更加精准化的开展就业指导，就业指导工作实效显著。</w:t>
      </w:r>
    </w:p>
    <w:p>
      <w:pPr>
        <w:pStyle w:val="3"/>
        <w:numPr>
          <w:ilvl w:val="0"/>
          <w:numId w:val="0"/>
        </w:numPr>
        <w:rPr>
          <w:rFonts w:cs="Times New Roman"/>
        </w:rPr>
      </w:pPr>
      <w:bookmarkStart w:id="57" w:name="_Toc61594331"/>
      <w:r>
        <w:rPr>
          <w:rFonts w:hint="eastAsia" w:cs="Times New Roman"/>
        </w:rPr>
        <w:t>五、强化校政合作，建立相对稳固的规模就业基地</w:t>
      </w:r>
      <w:bookmarkEnd w:id="57"/>
    </w:p>
    <w:p>
      <w:pPr>
        <w:ind w:firstLine="420"/>
      </w:pPr>
      <w:r>
        <w:rPr>
          <w:rFonts w:hint="eastAsia"/>
        </w:rPr>
        <w:t>学校在继续加强传统的校企实习就业一体化基地建设的基础上，把毕业生就业市场开拓的重点转向政府人社部门、经济开发区和工业园区的管理部门，开辟了新的校政合作模式。校政合作模式的建立，实现了地方政府、人社部门及行业协会成规模组织所属用人单位集中来校开展招聘活动，组团招聘利于地方引才和毕业生求职，学校、政府、企业三方受益。2020年学校相继与浙江省金华市、广州市黄埔区、长沙市经开区、长沙县人社局、望城县经开区、郴州市高新区等8个人社部门、工业园区联系，邀请起其组团来校招聘，带来了207家企业，1412个就业岗位。同时还与珠海市人社局，南昌市人社局、浙江省绍兴市、台州市、平阳县、嵊州市人社局，长沙开福区人社局建立了新的校政人才合作交流联系。</w:t>
      </w:r>
      <w:r>
        <w:br w:type="page"/>
      </w:r>
    </w:p>
    <w:p>
      <w:pPr>
        <w:pStyle w:val="2"/>
      </w:pPr>
      <w:bookmarkStart w:id="58" w:name="_Toc61594332"/>
      <w:r>
        <w:t>第三章 毕业生就业质量分析</w:t>
      </w:r>
      <w:bookmarkEnd w:id="58"/>
    </w:p>
    <w:p>
      <w:pPr>
        <w:ind w:firstLine="420"/>
      </w:pPr>
      <w:r>
        <w:t>毕业生就业质量主要从就业满意度、薪资福利情况、人职适配情况、职业发展情况、岗位评价、离职情况等方面进行分析。</w:t>
      </w:r>
    </w:p>
    <w:p>
      <w:pPr>
        <w:pStyle w:val="3"/>
        <w:numPr>
          <w:ilvl w:val="0"/>
          <w:numId w:val="0"/>
        </w:numPr>
        <w:rPr>
          <w:rFonts w:cs="Times New Roman"/>
        </w:rPr>
      </w:pPr>
      <w:bookmarkStart w:id="59" w:name="_Toc27239609"/>
      <w:bookmarkStart w:id="60" w:name="_Toc59184333"/>
      <w:bookmarkStart w:id="61" w:name="_Toc61594333"/>
      <w:r>
        <w:rPr>
          <w:rFonts w:cs="Times New Roman"/>
        </w:rPr>
        <w:t>一、就业满意度</w:t>
      </w:r>
      <w:bookmarkEnd w:id="59"/>
      <w:bookmarkEnd w:id="60"/>
      <w:bookmarkEnd w:id="61"/>
    </w:p>
    <w:p>
      <w:pPr>
        <w:pStyle w:val="4"/>
      </w:pPr>
      <w:bookmarkStart w:id="62" w:name="_Toc27239610"/>
      <w:bookmarkStart w:id="63" w:name="_Toc61594334"/>
      <w:bookmarkStart w:id="64" w:name="_Toc59184334"/>
      <w:r>
        <w:t>（一）总体就业满意度</w:t>
      </w:r>
      <w:bookmarkEnd w:id="62"/>
      <w:bookmarkEnd w:id="63"/>
      <w:bookmarkEnd w:id="64"/>
    </w:p>
    <w:p>
      <w:pPr>
        <w:ind w:firstLine="420"/>
        <w:rPr>
          <w:szCs w:val="21"/>
        </w:rPr>
      </w:pPr>
      <w:r>
        <w:rPr>
          <w:szCs w:val="21"/>
        </w:rPr>
        <w:t>总体上，毕业生的就业满意度是83.12%</w:t>
      </w:r>
      <w:r>
        <w:rPr>
          <w:szCs w:val="21"/>
          <w:vertAlign w:val="superscript"/>
        </w:rPr>
        <w:t>[</w:t>
      </w:r>
      <w:r>
        <w:rPr>
          <w:rStyle w:val="37"/>
          <w:szCs w:val="21"/>
        </w:rPr>
        <w:footnoteReference w:id="4"/>
      </w:r>
      <w:r>
        <w:rPr>
          <w:szCs w:val="21"/>
          <w:vertAlign w:val="superscript"/>
        </w:rPr>
        <w:t>]</w:t>
      </w:r>
      <w:r>
        <w:rPr>
          <w:szCs w:val="21"/>
        </w:rPr>
        <w:t>，其中，</w:t>
      </w:r>
      <w:r>
        <w:rPr>
          <w:rFonts w:ascii="宋体" w:hAnsi="宋体"/>
          <w:szCs w:val="21"/>
        </w:rPr>
        <w:t>“</w:t>
      </w:r>
      <w:r>
        <w:rPr>
          <w:szCs w:val="21"/>
        </w:rPr>
        <w:t>非常满意</w:t>
      </w:r>
      <w:r>
        <w:rPr>
          <w:rFonts w:ascii="宋体" w:hAnsi="宋体"/>
          <w:szCs w:val="21"/>
        </w:rPr>
        <w:t>”</w:t>
      </w:r>
      <w:r>
        <w:rPr>
          <w:szCs w:val="21"/>
        </w:rPr>
        <w:t>占比4.19%，</w:t>
      </w:r>
      <w:r>
        <w:rPr>
          <w:rFonts w:ascii="宋体" w:hAnsi="宋体"/>
          <w:szCs w:val="21"/>
        </w:rPr>
        <w:t>“</w:t>
      </w:r>
      <w:r>
        <w:rPr>
          <w:szCs w:val="21"/>
        </w:rPr>
        <w:t>比较满意</w:t>
      </w:r>
      <w:r>
        <w:rPr>
          <w:rFonts w:ascii="宋体" w:hAnsi="宋体"/>
          <w:szCs w:val="21"/>
        </w:rPr>
        <w:t>”</w:t>
      </w:r>
      <w:r>
        <w:rPr>
          <w:szCs w:val="21"/>
        </w:rPr>
        <w:t>占比29.16%，</w:t>
      </w:r>
      <w:r>
        <w:rPr>
          <w:rFonts w:ascii="宋体" w:hAnsi="宋体"/>
          <w:szCs w:val="21"/>
        </w:rPr>
        <w:t>“</w:t>
      </w:r>
      <w:r>
        <w:rPr>
          <w:szCs w:val="21"/>
        </w:rPr>
        <w:t>一般</w:t>
      </w:r>
      <w:r>
        <w:rPr>
          <w:rFonts w:ascii="宋体" w:hAnsi="宋体"/>
          <w:szCs w:val="21"/>
        </w:rPr>
        <w:t>”</w:t>
      </w:r>
      <w:r>
        <w:rPr>
          <w:szCs w:val="21"/>
        </w:rPr>
        <w:t>占比49.77%。</w:t>
      </w:r>
    </w:p>
    <w:p>
      <w:pPr>
        <w:keepNext/>
        <w:ind w:firstLine="0" w:firstLineChars="0"/>
        <w:jc w:val="center"/>
      </w:pPr>
      <w:r>
        <w:drawing>
          <wp:inline distT="0" distB="0" distL="0" distR="0">
            <wp:extent cx="4679950" cy="2339975"/>
            <wp:effectExtent l="0" t="0" r="6350" b="317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2"/>
        <w:ind w:firstLine="360"/>
        <w:rPr>
          <w:rFonts w:ascii="Times New Roman" w:hAnsi="Times New Roman" w:cs="Times New Roman"/>
        </w:rPr>
      </w:pPr>
      <w:r>
        <w:rPr>
          <w:rFonts w:ascii="Times New Roman" w:hAnsi="Times New Roman" w:cs="Times New Roman"/>
        </w:rPr>
        <w:t>图3-</w:t>
      </w:r>
      <w:r>
        <w:rPr>
          <w:rFonts w:ascii="Times New Roman" w:hAnsi="Times New Roman" w:cs="Times New Roman"/>
        </w:rPr>
        <w:fldChar w:fldCharType="begin"/>
      </w:r>
      <w:r>
        <w:rPr>
          <w:rFonts w:ascii="Times New Roman" w:hAnsi="Times New Roman" w:cs="Times New Roman"/>
        </w:rPr>
        <w:instrText xml:space="preserve"> SEQ 图3-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毕业生总体就业满意度</w:t>
      </w:r>
    </w:p>
    <w:p>
      <w:pPr>
        <w:pStyle w:val="4"/>
      </w:pPr>
      <w:bookmarkStart w:id="65" w:name="_Toc61594335"/>
      <w:r>
        <w:t>（二）分专业就业满意度</w:t>
      </w:r>
      <w:bookmarkEnd w:id="65"/>
    </w:p>
    <w:p>
      <w:pPr>
        <w:ind w:firstLine="420"/>
        <w:rPr>
          <w:szCs w:val="21"/>
        </w:rPr>
      </w:pPr>
      <w:r>
        <w:rPr>
          <w:szCs w:val="21"/>
        </w:rPr>
        <w:t>毕业生所修专业中，有8个就业满意度达到100%，有32个专业就业满意度高于全校平均（不含调研人数较少的专业）。部分专业就业满意度详见下表。</w:t>
      </w:r>
    </w:p>
    <w:p>
      <w:pPr>
        <w:pStyle w:val="56"/>
        <w:rPr>
          <w:rFonts w:ascii="Times New Roman" w:cs="Times New Roman"/>
          <w:szCs w:val="21"/>
        </w:rPr>
      </w:pPr>
      <w:r>
        <w:rPr>
          <w:rFonts w:ascii="Times New Roman" w:cs="Times New Roman"/>
        </w:rPr>
        <w:t>表3-</w:t>
      </w:r>
      <w:r>
        <w:rPr>
          <w:rFonts w:ascii="Times New Roman" w:cs="Times New Roman"/>
        </w:rPr>
        <w:fldChar w:fldCharType="begin"/>
      </w:r>
      <w:r>
        <w:rPr>
          <w:rFonts w:ascii="Times New Roman" w:cs="Times New Roman"/>
        </w:rPr>
        <w:instrText xml:space="preserve"> SEQ 表3-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毕业生分专业满意度（部分</w:t>
      </w:r>
      <w:r>
        <w:rPr>
          <w:rFonts w:ascii="Times New Roman" w:cs="Times New Roman"/>
          <w:vertAlign w:val="superscript"/>
        </w:rPr>
        <w:t>[</w:t>
      </w:r>
      <w:r>
        <w:rPr>
          <w:rStyle w:val="37"/>
          <w:rFonts w:ascii="Times New Roman" w:cs="Times New Roman"/>
        </w:rPr>
        <w:footnoteReference w:id="5"/>
      </w:r>
      <w:r>
        <w:rPr>
          <w:rFonts w:ascii="Times New Roman" w:cs="Times New Roman"/>
          <w:vertAlign w:val="superscript"/>
        </w:rPr>
        <w:t>]</w:t>
      </w:r>
      <w:r>
        <w:rPr>
          <w:rFonts w:ascii="Times New Roman" w:cs="Times New Roman"/>
        </w:rPr>
        <w:t>）</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888"/>
        <w:gridCol w:w="1094"/>
        <w:gridCol w:w="1094"/>
        <w:gridCol w:w="225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108"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满意度</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324"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324" w:type="pct"/>
            <w:shd w:val="clear" w:color="auto" w:fill="auto"/>
            <w:noWrap/>
            <w:vAlign w:val="center"/>
          </w:tcPr>
          <w:p>
            <w:pPr>
              <w:spacing w:line="240" w:lineRule="auto"/>
              <w:ind w:firstLine="0" w:firstLineChars="0"/>
              <w:jc w:val="center"/>
              <w:rPr>
                <w:b/>
                <w:bCs/>
                <w:color w:val="000000"/>
                <w:kern w:val="0"/>
                <w:sz w:val="18"/>
                <w:szCs w:val="18"/>
              </w:rPr>
            </w:pPr>
            <w:r>
              <w:rPr>
                <w:b/>
                <w:bCs/>
                <w:color w:val="000000"/>
                <w:kern w:val="0"/>
                <w:sz w:val="18"/>
                <w:szCs w:val="18"/>
              </w:rPr>
              <w:t>全校平均</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96.43%</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96.15%</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95.24%</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94.87%</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93.02%</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92.86%</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92.31%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92.00%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90.63%</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88.24%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87.50%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87.50%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物理学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86.84%</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85.37%</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84.44%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1108"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84.30%</w:t>
            </w:r>
          </w:p>
        </w:tc>
        <w:tc>
          <w:tcPr>
            <w:tcW w:w="642" w:type="pct"/>
            <w:tcBorders>
              <w:bottom w:val="single" w:color="auto" w:sz="4"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63</w:t>
            </w:r>
          </w:p>
        </w:tc>
        <w:tc>
          <w:tcPr>
            <w:tcW w:w="1324" w:type="pct"/>
            <w:tcBorders>
              <w:bottom w:val="single" w:color="auto" w:sz="4"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舞蹈表演</w:t>
            </w:r>
          </w:p>
        </w:tc>
        <w:tc>
          <w:tcPr>
            <w:tcW w:w="642" w:type="pct"/>
            <w:tcBorders>
              <w:bottom w:val="single" w:color="auto" w:sz="4" w:space="0"/>
            </w:tcBorders>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1108"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642" w:type="pct"/>
            <w:tcBorders>
              <w:right w:val="single" w:color="auto" w:sz="4" w:space="0"/>
            </w:tcBorders>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tcBorders>
              <w:top w:val="single" w:color="auto" w:sz="4" w:space="0"/>
              <w:left w:val="single" w:color="auto" w:sz="4" w:space="0"/>
              <w:bottom w:val="single" w:color="auto" w:sz="4" w:space="0"/>
              <w:right w:val="nil"/>
            </w:tcBorders>
            <w:shd w:val="clear" w:color="000000" w:fill="0D3F67"/>
            <w:noWrap/>
            <w:vAlign w:val="center"/>
          </w:tcPr>
          <w:p>
            <w:pPr>
              <w:spacing w:line="240" w:lineRule="auto"/>
              <w:ind w:firstLine="0" w:firstLineChars="0"/>
              <w:jc w:val="center"/>
              <w:rPr>
                <w:b/>
                <w:bCs/>
                <w:color w:val="FFFFFF"/>
                <w:kern w:val="0"/>
                <w:sz w:val="18"/>
                <w:szCs w:val="18"/>
              </w:rPr>
            </w:pPr>
          </w:p>
        </w:tc>
        <w:tc>
          <w:tcPr>
            <w:tcW w:w="1324" w:type="pct"/>
            <w:tcBorders>
              <w:top w:val="single" w:color="auto" w:sz="4" w:space="0"/>
              <w:left w:val="nil"/>
              <w:bottom w:val="single" w:color="auto" w:sz="4" w:space="0"/>
              <w:right w:val="nil"/>
            </w:tcBorders>
            <w:shd w:val="clear" w:color="000000" w:fill="0D3F67"/>
            <w:noWrap/>
            <w:vAlign w:val="center"/>
          </w:tcPr>
          <w:p>
            <w:pPr>
              <w:spacing w:line="240" w:lineRule="auto"/>
              <w:ind w:firstLine="0" w:firstLineChars="0"/>
              <w:jc w:val="center"/>
              <w:rPr>
                <w:b/>
                <w:bCs/>
                <w:color w:val="FFFFFF"/>
                <w:kern w:val="0"/>
                <w:sz w:val="18"/>
                <w:szCs w:val="18"/>
              </w:rPr>
            </w:pPr>
          </w:p>
        </w:tc>
        <w:tc>
          <w:tcPr>
            <w:tcW w:w="642" w:type="pct"/>
            <w:tcBorders>
              <w:top w:val="single" w:color="auto" w:sz="4" w:space="0"/>
              <w:left w:val="nil"/>
              <w:bottom w:val="single" w:color="auto" w:sz="4" w:space="0"/>
              <w:right w:val="single" w:color="auto" w:sz="4" w:space="0"/>
            </w:tcBorders>
            <w:shd w:val="clear" w:color="000000" w:fill="0D3F67"/>
            <w:noWrap/>
            <w:vAlign w:val="center"/>
          </w:tcPr>
          <w:p>
            <w:pPr>
              <w:spacing w:line="240" w:lineRule="auto"/>
              <w:ind w:firstLine="0" w:firstLineChars="0"/>
              <w:jc w:val="center"/>
              <w:rPr>
                <w:b/>
                <w:bCs/>
                <w:color w:val="FFFFFF"/>
                <w:kern w:val="0"/>
                <w:sz w:val="18"/>
                <w:szCs w:val="18"/>
              </w:rPr>
            </w:pPr>
          </w:p>
        </w:tc>
      </w:tr>
    </w:tbl>
    <w:p>
      <w:pPr>
        <w:ind w:firstLine="420"/>
      </w:pPr>
      <w:bookmarkStart w:id="66" w:name="_Toc27239612"/>
      <w:bookmarkStart w:id="67" w:name="_Toc61594336"/>
      <w:bookmarkStart w:id="68" w:name="_Toc59184336"/>
    </w:p>
    <w:p>
      <w:pPr>
        <w:pStyle w:val="3"/>
        <w:numPr>
          <w:ilvl w:val="0"/>
          <w:numId w:val="0"/>
        </w:numPr>
        <w:spacing w:before="312" w:beforeLines="100"/>
        <w:rPr>
          <w:rFonts w:cs="Times New Roman"/>
        </w:rPr>
      </w:pPr>
      <w:r>
        <w:rPr>
          <w:rFonts w:cs="Times New Roman"/>
        </w:rPr>
        <w:t>二、薪资福利情况</w:t>
      </w:r>
      <w:bookmarkEnd w:id="66"/>
      <w:bookmarkEnd w:id="67"/>
      <w:bookmarkEnd w:id="68"/>
    </w:p>
    <w:p>
      <w:pPr>
        <w:pStyle w:val="4"/>
      </w:pPr>
      <w:bookmarkStart w:id="69" w:name="_Toc59184337"/>
      <w:bookmarkStart w:id="70" w:name="_Toc27239613"/>
      <w:bookmarkStart w:id="71" w:name="_Toc61594337"/>
      <w:r>
        <w:t>（一）薪资水平及满意度</w:t>
      </w:r>
      <w:bookmarkEnd w:id="69"/>
      <w:bookmarkEnd w:id="70"/>
      <w:bookmarkEnd w:id="71"/>
    </w:p>
    <w:p>
      <w:pPr>
        <w:pStyle w:val="5"/>
        <w:numPr>
          <w:ilvl w:val="0"/>
          <w:numId w:val="0"/>
        </w:numPr>
        <w:ind w:left="420"/>
        <w:rPr>
          <w:rFonts w:ascii="Times New Roman" w:hAnsi="Times New Roman" w:cs="Times New Roman"/>
        </w:rPr>
      </w:pPr>
      <w:r>
        <w:rPr>
          <w:rFonts w:ascii="Times New Roman" w:hAnsi="Times New Roman" w:cs="Times New Roman"/>
        </w:rPr>
        <w:t>1.总体薪资情况</w:t>
      </w:r>
    </w:p>
    <w:p>
      <w:pPr>
        <w:ind w:firstLine="420"/>
      </w:pPr>
      <w:r>
        <w:rPr>
          <w:szCs w:val="21"/>
        </w:rPr>
        <w:t>毕业生月平均薪资是5402元，薪资区间主要集中于</w:t>
      </w:r>
      <w:r>
        <w:rPr>
          <w:rFonts w:ascii="宋体" w:hAnsi="宋体"/>
          <w:szCs w:val="21"/>
        </w:rPr>
        <w:t>“</w:t>
      </w:r>
      <w:r>
        <w:rPr>
          <w:szCs w:val="21"/>
        </w:rPr>
        <w:t>4001-5000元</w:t>
      </w:r>
      <w:r>
        <w:rPr>
          <w:rFonts w:ascii="宋体" w:hAnsi="宋体"/>
          <w:szCs w:val="21"/>
        </w:rPr>
        <w:t>”</w:t>
      </w:r>
      <w:r>
        <w:rPr>
          <w:szCs w:val="21"/>
        </w:rPr>
        <w:t>（36.69%）、</w:t>
      </w:r>
      <w:r>
        <w:rPr>
          <w:rFonts w:ascii="宋体" w:hAnsi="宋体"/>
          <w:szCs w:val="21"/>
        </w:rPr>
        <w:t>“</w:t>
      </w:r>
      <w:r>
        <w:rPr>
          <w:szCs w:val="21"/>
        </w:rPr>
        <w:t>5001-7000元</w:t>
      </w:r>
      <w:r>
        <w:rPr>
          <w:rFonts w:ascii="宋体" w:hAnsi="宋体"/>
          <w:szCs w:val="21"/>
        </w:rPr>
        <w:t>”</w:t>
      </w:r>
      <w:r>
        <w:rPr>
          <w:szCs w:val="21"/>
        </w:rPr>
        <w:t>（28.49%），合计占比约六成。</w:t>
      </w:r>
    </w:p>
    <w:p>
      <w:pPr>
        <w:keepNext/>
        <w:ind w:firstLine="0" w:firstLineChars="0"/>
        <w:jc w:val="center"/>
      </w:pPr>
      <w:r>
        <w:drawing>
          <wp:inline distT="0" distB="0" distL="0" distR="0">
            <wp:extent cx="4651375" cy="3042920"/>
            <wp:effectExtent l="0" t="0" r="0"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毕业生薪资区间分布</w:t>
      </w:r>
    </w:p>
    <w:p>
      <w:pPr>
        <w:pStyle w:val="56"/>
        <w:rPr>
          <w:rFonts w:ascii="Times New Roman" w:cs="Times New Roman"/>
        </w:rPr>
      </w:pPr>
    </w:p>
    <w:p>
      <w:pPr>
        <w:pStyle w:val="5"/>
        <w:numPr>
          <w:ilvl w:val="0"/>
          <w:numId w:val="0"/>
        </w:numPr>
        <w:ind w:left="420"/>
        <w:rPr>
          <w:rFonts w:ascii="Times New Roman" w:hAnsi="Times New Roman" w:cs="Times New Roman"/>
        </w:rPr>
      </w:pPr>
      <w:r>
        <w:rPr>
          <w:rFonts w:ascii="Times New Roman" w:hAnsi="Times New Roman" w:cs="Times New Roman"/>
        </w:rPr>
        <w:t>2.薪资满意度</w:t>
      </w:r>
    </w:p>
    <w:p>
      <w:pPr>
        <w:ind w:firstLine="420"/>
      </w:pPr>
      <w:r>
        <w:t>毕业生对月平均收入的满意度是72.96%。其中，</w:t>
      </w:r>
      <w:r>
        <w:rPr>
          <w:rFonts w:ascii="宋体" w:hAnsi="宋体"/>
        </w:rPr>
        <w:t>“</w:t>
      </w:r>
      <w:r>
        <w:t>非常满意</w:t>
      </w:r>
      <w:r>
        <w:rPr>
          <w:rFonts w:ascii="宋体" w:hAnsi="宋体"/>
        </w:rPr>
        <w:t>”</w:t>
      </w:r>
      <w:r>
        <w:t>占比0.67%，</w:t>
      </w:r>
      <w:r>
        <w:rPr>
          <w:rFonts w:ascii="宋体" w:hAnsi="宋体"/>
        </w:rPr>
        <w:t>“</w:t>
      </w:r>
      <w:r>
        <w:t>比较满意</w:t>
      </w:r>
      <w:r>
        <w:rPr>
          <w:rFonts w:ascii="宋体" w:hAnsi="宋体"/>
        </w:rPr>
        <w:t>”</w:t>
      </w:r>
      <w:r>
        <w:t>占比20.37%，</w:t>
      </w:r>
      <w:r>
        <w:rPr>
          <w:rFonts w:ascii="宋体" w:hAnsi="宋体"/>
        </w:rPr>
        <w:t>“</w:t>
      </w:r>
      <w:r>
        <w:t>一般</w:t>
      </w:r>
      <w:r>
        <w:rPr>
          <w:rFonts w:ascii="宋体" w:hAnsi="宋体"/>
        </w:rPr>
        <w:t>”</w:t>
      </w:r>
      <w:r>
        <w:t>占比51.92%。</w:t>
      </w:r>
    </w:p>
    <w:p>
      <w:pPr>
        <w:keepNext/>
        <w:ind w:firstLine="0" w:firstLineChars="0"/>
        <w:jc w:val="center"/>
      </w:pPr>
      <w:r>
        <w:drawing>
          <wp:inline distT="0" distB="0" distL="0" distR="0">
            <wp:extent cx="4644390" cy="2616200"/>
            <wp:effectExtent l="0" t="0" r="3810" b="0"/>
            <wp:docPr id="228" name="图表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毕业生薪资满意度</w:t>
      </w:r>
    </w:p>
    <w:p>
      <w:pPr>
        <w:pStyle w:val="4"/>
      </w:pPr>
      <w:bookmarkStart w:id="72" w:name="_Toc61594338"/>
      <w:r>
        <w:t>（二）社会保障获得情况及满意度</w:t>
      </w:r>
      <w:bookmarkEnd w:id="72"/>
    </w:p>
    <w:p>
      <w:pPr>
        <w:ind w:firstLine="420"/>
      </w:pPr>
      <w:r>
        <w:t>毕业生的社会保障度为87.89%</w:t>
      </w:r>
      <w:r>
        <w:rPr>
          <w:szCs w:val="21"/>
          <w:vertAlign w:val="superscript"/>
        </w:rPr>
        <w:t>[</w:t>
      </w:r>
      <w:r>
        <w:rPr>
          <w:rStyle w:val="37"/>
          <w:szCs w:val="21"/>
        </w:rPr>
        <w:footnoteReference w:id="6"/>
      </w:r>
      <w:r>
        <w:rPr>
          <w:szCs w:val="21"/>
          <w:vertAlign w:val="superscript"/>
        </w:rPr>
        <w:t>]</w:t>
      </w:r>
      <w:r>
        <w:t>。其中，</w:t>
      </w:r>
      <w:r>
        <w:rPr>
          <w:rFonts w:ascii="宋体" w:hAnsi="宋体"/>
        </w:rPr>
        <w:t>“</w:t>
      </w:r>
      <w:r>
        <w:t>除提供四险</w:t>
      </w:r>
      <w:bookmarkStart w:id="73" w:name="_Hlk59456104"/>
      <w:r>
        <w:rPr>
          <w:vertAlign w:val="superscript"/>
        </w:rPr>
        <w:t>[</w:t>
      </w:r>
      <w:r>
        <w:rPr>
          <w:rStyle w:val="37"/>
        </w:rPr>
        <w:footnoteReference w:id="7"/>
      </w:r>
      <w:r>
        <w:rPr>
          <w:vertAlign w:val="superscript"/>
        </w:rPr>
        <w:t>]</w:t>
      </w:r>
      <w:bookmarkEnd w:id="73"/>
      <w:r>
        <w:t>一金外，还提供其他保障和补贴</w:t>
      </w:r>
      <w:r>
        <w:rPr>
          <w:rFonts w:ascii="宋体" w:hAnsi="宋体"/>
        </w:rPr>
        <w:t>”</w:t>
      </w:r>
      <w:r>
        <w:t>占比35.31%，</w:t>
      </w:r>
      <w:r>
        <w:rPr>
          <w:rFonts w:ascii="宋体" w:hAnsi="宋体"/>
        </w:rPr>
        <w:t>“</w:t>
      </w:r>
      <w:r>
        <w:t>提供四险一金</w:t>
      </w:r>
      <w:r>
        <w:rPr>
          <w:rFonts w:ascii="宋体" w:hAnsi="宋体"/>
        </w:rPr>
        <w:t>”</w:t>
      </w:r>
      <w:r>
        <w:t>占比27.96%，</w:t>
      </w:r>
      <w:r>
        <w:rPr>
          <w:rFonts w:ascii="宋体" w:hAnsi="宋体"/>
        </w:rPr>
        <w:t>“</w:t>
      </w:r>
      <w:r>
        <w:t>提供基本保障—四险</w:t>
      </w:r>
      <w:r>
        <w:rPr>
          <w:rFonts w:ascii="宋体" w:hAnsi="宋体"/>
        </w:rPr>
        <w:t>”</w:t>
      </w:r>
      <w:r>
        <w:t>占比24.62%。</w:t>
      </w:r>
    </w:p>
    <w:p>
      <w:pPr>
        <w:keepNext/>
        <w:ind w:firstLine="0" w:firstLineChars="0"/>
        <w:jc w:val="center"/>
      </w:pPr>
      <w:r>
        <w:drawing>
          <wp:inline distT="0" distB="0" distL="0" distR="0">
            <wp:extent cx="4888865" cy="2317115"/>
            <wp:effectExtent l="0" t="0" r="6985" b="6985"/>
            <wp:docPr id="230"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2"/>
        <w:ind w:firstLine="360"/>
        <w:rPr>
          <w:rFonts w:ascii="Times New Roman" w:hAnsi="Times New Roman" w:cs="Times New Roman"/>
        </w:rPr>
      </w:pPr>
      <w:r>
        <w:rPr>
          <w:rFonts w:ascii="Times New Roman" w:hAnsi="Times New Roman" w:cs="Times New Roman"/>
        </w:rPr>
        <w:t>图3-</w:t>
      </w:r>
      <w:r>
        <w:rPr>
          <w:rFonts w:ascii="Times New Roman" w:hAnsi="Times New Roman" w:cs="Times New Roman"/>
        </w:rPr>
        <w:fldChar w:fldCharType="begin"/>
      </w:r>
      <w:r>
        <w:rPr>
          <w:rFonts w:ascii="Times New Roman" w:hAnsi="Times New Roman" w:cs="Times New Roman"/>
        </w:rPr>
        <w:instrText xml:space="preserve"> SEQ 图3-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毕业生福利保障获得情况</w:t>
      </w:r>
    </w:p>
    <w:p>
      <w:pPr>
        <w:pStyle w:val="3"/>
        <w:numPr>
          <w:ilvl w:val="0"/>
          <w:numId w:val="0"/>
        </w:numPr>
        <w:rPr>
          <w:rFonts w:cs="Times New Roman"/>
        </w:rPr>
      </w:pPr>
      <w:bookmarkStart w:id="74" w:name="_Toc61594339"/>
      <w:r>
        <w:rPr>
          <w:rFonts w:cs="Times New Roman"/>
        </w:rPr>
        <w:t>三、人职适配情况</w:t>
      </w:r>
      <w:bookmarkEnd w:id="74"/>
    </w:p>
    <w:p>
      <w:pPr>
        <w:pStyle w:val="4"/>
      </w:pPr>
      <w:bookmarkStart w:id="75" w:name="_Toc61594340"/>
      <w:r>
        <w:t>（一）就业专业相关度</w:t>
      </w:r>
      <w:bookmarkEnd w:id="75"/>
    </w:p>
    <w:p>
      <w:pPr>
        <w:pStyle w:val="5"/>
        <w:numPr>
          <w:ilvl w:val="0"/>
          <w:numId w:val="0"/>
        </w:numPr>
        <w:ind w:left="567"/>
        <w:rPr>
          <w:rFonts w:ascii="Times New Roman" w:hAnsi="Times New Roman" w:cs="Times New Roman"/>
        </w:rPr>
      </w:pPr>
      <w:r>
        <w:rPr>
          <w:rFonts w:ascii="Times New Roman" w:hAnsi="Times New Roman" w:cs="Times New Roman"/>
        </w:rPr>
        <w:t>1.总体就业专业相关度</w:t>
      </w:r>
    </w:p>
    <w:p>
      <w:pPr>
        <w:ind w:firstLine="420"/>
      </w:pPr>
      <w:r>
        <w:t>毕业生所修专业与就业岗位的相关度为74.12%</w:t>
      </w:r>
      <w:r>
        <w:rPr>
          <w:szCs w:val="21"/>
          <w:vertAlign w:val="superscript"/>
        </w:rPr>
        <w:t>[</w:t>
      </w:r>
      <w:r>
        <w:rPr>
          <w:rStyle w:val="37"/>
          <w:szCs w:val="21"/>
        </w:rPr>
        <w:footnoteReference w:id="8"/>
      </w:r>
      <w:r>
        <w:rPr>
          <w:szCs w:val="21"/>
          <w:vertAlign w:val="superscript"/>
        </w:rPr>
        <w:t>]</w:t>
      </w:r>
      <w:r>
        <w:t>。其中，</w:t>
      </w:r>
      <w:r>
        <w:rPr>
          <w:rFonts w:ascii="宋体" w:hAnsi="宋体"/>
        </w:rPr>
        <w:t>“</w:t>
      </w:r>
      <w:r>
        <w:t>非常相关</w:t>
      </w:r>
      <w:r>
        <w:rPr>
          <w:rFonts w:ascii="宋体" w:hAnsi="宋体"/>
        </w:rPr>
        <w:t>”</w:t>
      </w:r>
      <w:r>
        <w:t>占比21.62%，</w:t>
      </w:r>
      <w:r>
        <w:rPr>
          <w:rFonts w:ascii="宋体" w:hAnsi="宋体"/>
        </w:rPr>
        <w:t>“</w:t>
      </w:r>
      <w:r>
        <w:t>比较相关</w:t>
      </w:r>
      <w:r>
        <w:rPr>
          <w:rFonts w:ascii="宋体" w:hAnsi="宋体"/>
        </w:rPr>
        <w:t>”</w:t>
      </w:r>
      <w:r>
        <w:t>占比33.72%，</w:t>
      </w:r>
      <w:r>
        <w:rPr>
          <w:rFonts w:ascii="宋体" w:hAnsi="宋体"/>
        </w:rPr>
        <w:t>“</w:t>
      </w:r>
      <w:r>
        <w:t>一般</w:t>
      </w:r>
      <w:r>
        <w:rPr>
          <w:rFonts w:ascii="宋体" w:hAnsi="宋体"/>
        </w:rPr>
        <w:t>”</w:t>
      </w:r>
      <w:r>
        <w:t>占比18.78%。</w:t>
      </w:r>
    </w:p>
    <w:p>
      <w:pPr>
        <w:keepNext/>
        <w:ind w:firstLine="0" w:firstLineChars="0"/>
        <w:jc w:val="center"/>
      </w:pPr>
      <w:r>
        <w:drawing>
          <wp:inline distT="0" distB="0" distL="0" distR="0">
            <wp:extent cx="4679950" cy="2339975"/>
            <wp:effectExtent l="0" t="0" r="6350" b="3175"/>
            <wp:docPr id="231"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w:t>
      </w:r>
      <w:r>
        <w:rPr>
          <w:rFonts w:ascii="Times New Roman" w:cs="Times New Roman"/>
          <w:szCs w:val="18"/>
        </w:rPr>
        <w:t>毕业生就业专业相关度</w:t>
      </w:r>
    </w:p>
    <w:p>
      <w:pPr>
        <w:pStyle w:val="5"/>
        <w:numPr>
          <w:ilvl w:val="0"/>
          <w:numId w:val="0"/>
        </w:numPr>
        <w:ind w:left="420"/>
        <w:rPr>
          <w:rFonts w:ascii="Times New Roman" w:hAnsi="Times New Roman" w:cs="Times New Roman"/>
        </w:rPr>
      </w:pPr>
      <w:r>
        <w:rPr>
          <w:rFonts w:ascii="Times New Roman" w:hAnsi="Times New Roman" w:cs="Times New Roman"/>
        </w:rPr>
        <w:t>2.分专业就业专业相关度</w:t>
      </w:r>
    </w:p>
    <w:p>
      <w:pPr>
        <w:ind w:firstLine="420"/>
      </w:pPr>
      <w:r>
        <w:t>毕业生所修专业中，有5个专业就业专业相关度达到100%，有32个就业专业相关度高于全校平均（不含调研人数较少的专业）。部分专业就业专业相关度详见下表。</w:t>
      </w:r>
    </w:p>
    <w:p>
      <w:pPr>
        <w:pStyle w:val="56"/>
        <w:rPr>
          <w:rFonts w:ascii="Times New Roman" w:cs="Times New Roman"/>
        </w:rPr>
      </w:pPr>
      <w:r>
        <w:rPr>
          <w:rFonts w:ascii="Times New Roman" w:cs="Times New Roman"/>
        </w:rPr>
        <w:t>表3-</w:t>
      </w:r>
      <w:r>
        <w:rPr>
          <w:rFonts w:ascii="Times New Roman" w:cs="Times New Roman"/>
        </w:rPr>
        <w:fldChar w:fldCharType="begin"/>
      </w:r>
      <w:r>
        <w:rPr>
          <w:rFonts w:ascii="Times New Roman" w:cs="Times New Roman"/>
        </w:rPr>
        <w:instrText xml:space="preserve"> SEQ 表3-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毕业生分专业就业专业相关度（部分）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257"/>
        <w:gridCol w:w="1094"/>
        <w:gridCol w:w="1094"/>
        <w:gridCol w:w="1888"/>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324"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lang w:val="en-US" w:eastAsia="zh-CN"/>
              </w:rPr>
              <w:t>专业</w:t>
            </w:r>
            <w:r>
              <w:rPr>
                <w:b/>
                <w:bCs/>
                <w:color w:val="FFFFFF"/>
                <w:kern w:val="0"/>
                <w:sz w:val="18"/>
                <w:szCs w:val="18"/>
              </w:rPr>
              <w:t>度</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序号</w:t>
            </w:r>
          </w:p>
        </w:tc>
        <w:tc>
          <w:tcPr>
            <w:tcW w:w="1107" w:type="pct"/>
            <w:shd w:val="clear" w:color="000000" w:fill="0D3F67"/>
            <w:noWrap/>
            <w:vAlign w:val="center"/>
          </w:tcPr>
          <w:p>
            <w:pPr>
              <w:spacing w:line="240" w:lineRule="auto"/>
              <w:ind w:firstLine="0" w:firstLineChars="0"/>
              <w:jc w:val="center"/>
              <w:rPr>
                <w:b/>
                <w:bCs/>
                <w:color w:val="FFFFFF"/>
                <w:kern w:val="0"/>
                <w:sz w:val="18"/>
                <w:szCs w:val="18"/>
              </w:rPr>
            </w:pPr>
            <w:r>
              <w:rPr>
                <w:b/>
                <w:bCs/>
                <w:color w:val="FFFFFF"/>
                <w:kern w:val="0"/>
                <w:sz w:val="18"/>
                <w:szCs w:val="18"/>
              </w:rPr>
              <w:t>专业名称</w:t>
            </w:r>
          </w:p>
        </w:tc>
        <w:tc>
          <w:tcPr>
            <w:tcW w:w="642" w:type="pct"/>
            <w:shd w:val="clear" w:color="000000" w:fill="0D3F67"/>
            <w:noWrap/>
            <w:vAlign w:val="center"/>
          </w:tcPr>
          <w:p>
            <w:pPr>
              <w:spacing w:line="240" w:lineRule="auto"/>
              <w:ind w:firstLine="0" w:firstLineChars="0"/>
              <w:jc w:val="center"/>
              <w:rPr>
                <w:b/>
                <w:bCs/>
                <w:color w:val="FFFFFF"/>
                <w:kern w:val="0"/>
                <w:sz w:val="18"/>
                <w:szCs w:val="18"/>
              </w:rPr>
            </w:pPr>
            <w:r>
              <w:rPr>
                <w:rFonts w:hint="eastAsia"/>
                <w:b/>
                <w:bCs/>
                <w:color w:val="FFFFFF"/>
                <w:kern w:val="0"/>
                <w:sz w:val="18"/>
                <w:szCs w:val="18"/>
                <w:lang w:val="en-US" w:eastAsia="zh-CN"/>
              </w:rPr>
              <w:t>专业</w:t>
            </w:r>
            <w:r>
              <w:rPr>
                <w:b/>
                <w:bCs/>
                <w:color w:val="FFFFFF"/>
                <w:kern w:val="0"/>
                <w:sz w:val="18"/>
                <w:szCs w:val="18"/>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中国语言文学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32</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城乡规划</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学科教学（化学）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全校平均</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思想政治教育</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34</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广告学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电子信息工程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学科教学（体育）</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100.00%</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36</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汉语言文学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97.14%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37</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计算机科学与技术</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软件工程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97.06%</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38</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网络与新媒体</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工程管理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96.00%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39</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环境设计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汉语言文学（师范）</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93.75%</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40</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生物工程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土木工程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92.45%</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41</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网络工程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电子商务</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42</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应用化学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数学与应用数学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91.67%</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43</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机械电子工程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信息工程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44</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学科教学（英语）</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90.91%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45</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工商管理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金融工程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88.89%</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46</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公共事业管理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法学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88.24%</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47</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通信工程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信息与通信工程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48</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化学工程与工艺</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18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美术学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49</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信息与计算科学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19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历史建筑保护工程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电子科学与技术</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建筑学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85.71%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51</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社会体育指导与管理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电气工程及其自动化</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84.62%</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52</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秘书学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22</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化学工程与技术</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53</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材料成型及控制工程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23</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化学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54</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服装与服饰设计</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24</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视觉传达设计</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83.33%</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55</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汽车服务工程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25</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音乐学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81.82%</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56</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朝鲜语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26</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机械设计制造及其自动化</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80.00%</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57</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光电信息科学与工程</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27</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人力资源管理</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77.78%</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58</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制药工程</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28</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新闻学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77.78%</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59</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舞蹈学</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29</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英语</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77.27%</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60</w:t>
            </w:r>
          </w:p>
        </w:tc>
        <w:tc>
          <w:tcPr>
            <w:tcW w:w="1107"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国际经济与贸易</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30</w:t>
            </w:r>
          </w:p>
        </w:tc>
        <w:tc>
          <w:tcPr>
            <w:tcW w:w="1324"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体育教育</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76.81%</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61</w:t>
            </w:r>
          </w:p>
        </w:tc>
        <w:tc>
          <w:tcPr>
            <w:tcW w:w="1107"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旅游管理</w:t>
            </w:r>
          </w:p>
        </w:tc>
        <w:tc>
          <w:tcPr>
            <w:tcW w:w="642" w:type="pct"/>
            <w:shd w:val="clear" w:color="000000" w:fill="F2F2F2"/>
            <w:noWrap/>
            <w:vAlign w:val="center"/>
          </w:tcPr>
          <w:p>
            <w:pPr>
              <w:spacing w:line="240" w:lineRule="auto"/>
              <w:ind w:firstLine="0" w:firstLineChars="0"/>
              <w:jc w:val="center"/>
              <w:rPr>
                <w:color w:val="000000"/>
                <w:kern w:val="0"/>
                <w:sz w:val="18"/>
                <w:szCs w:val="18"/>
              </w:rPr>
            </w:pPr>
            <w:r>
              <w:rPr>
                <w:color w:val="000000"/>
                <w:kern w:val="0"/>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31</w:t>
            </w:r>
          </w:p>
        </w:tc>
        <w:tc>
          <w:tcPr>
            <w:tcW w:w="1324"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会计学</w:t>
            </w:r>
          </w:p>
        </w:tc>
        <w:tc>
          <w:tcPr>
            <w:tcW w:w="642" w:type="pct"/>
            <w:shd w:val="clear" w:color="auto" w:fill="auto"/>
            <w:noWrap/>
            <w:vAlign w:val="center"/>
          </w:tcPr>
          <w:p>
            <w:pPr>
              <w:spacing w:line="240" w:lineRule="auto"/>
              <w:ind w:firstLine="0" w:firstLineChars="0"/>
              <w:jc w:val="center"/>
              <w:rPr>
                <w:color w:val="000000"/>
                <w:kern w:val="0"/>
                <w:sz w:val="18"/>
                <w:szCs w:val="18"/>
              </w:rPr>
            </w:pPr>
            <w:r>
              <w:rPr>
                <w:color w:val="000000"/>
                <w:kern w:val="0"/>
                <w:sz w:val="18"/>
                <w:szCs w:val="18"/>
              </w:rPr>
              <w:t>75.76%</w:t>
            </w:r>
          </w:p>
        </w:tc>
        <w:tc>
          <w:tcPr>
            <w:tcW w:w="642" w:type="pct"/>
            <w:shd w:val="clear" w:color="000000" w:fill="0D3F67"/>
            <w:noWrap/>
            <w:vAlign w:val="center"/>
          </w:tcPr>
          <w:p>
            <w:pPr>
              <w:spacing w:line="240" w:lineRule="auto"/>
              <w:ind w:firstLine="0" w:firstLineChars="0"/>
              <w:jc w:val="center"/>
              <w:rPr>
                <w:color w:val="FFFFFF"/>
                <w:kern w:val="0"/>
                <w:sz w:val="18"/>
                <w:szCs w:val="18"/>
              </w:rPr>
            </w:pPr>
            <w:r>
              <w:rPr>
                <w:color w:val="FFFFFF"/>
                <w:kern w:val="0"/>
                <w:sz w:val="18"/>
                <w:szCs w:val="18"/>
              </w:rPr>
              <w:t>　</w:t>
            </w:r>
          </w:p>
        </w:tc>
        <w:tc>
          <w:tcPr>
            <w:tcW w:w="1107" w:type="pct"/>
            <w:shd w:val="clear" w:color="000000" w:fill="0D3F67"/>
            <w:noWrap/>
            <w:vAlign w:val="center"/>
          </w:tcPr>
          <w:p>
            <w:pPr>
              <w:spacing w:line="240" w:lineRule="auto"/>
              <w:ind w:firstLine="0" w:firstLineChars="0"/>
              <w:jc w:val="center"/>
              <w:rPr>
                <w:color w:val="FFFFFF"/>
                <w:kern w:val="0"/>
                <w:sz w:val="18"/>
                <w:szCs w:val="18"/>
              </w:rPr>
            </w:pPr>
            <w:r>
              <w:rPr>
                <w:color w:val="FFFFFF"/>
                <w:kern w:val="0"/>
                <w:sz w:val="18"/>
                <w:szCs w:val="18"/>
              </w:rPr>
              <w:t>　</w:t>
            </w:r>
          </w:p>
        </w:tc>
        <w:tc>
          <w:tcPr>
            <w:tcW w:w="642" w:type="pct"/>
            <w:shd w:val="clear" w:color="000000" w:fill="0D3F67"/>
            <w:noWrap/>
            <w:vAlign w:val="center"/>
          </w:tcPr>
          <w:p>
            <w:pPr>
              <w:spacing w:line="240" w:lineRule="auto"/>
              <w:ind w:firstLine="0" w:firstLineChars="0"/>
              <w:jc w:val="center"/>
              <w:rPr>
                <w:color w:val="FFFFFF"/>
                <w:kern w:val="0"/>
                <w:sz w:val="18"/>
                <w:szCs w:val="18"/>
              </w:rPr>
            </w:pPr>
            <w:r>
              <w:rPr>
                <w:color w:val="FFFFFF"/>
                <w:kern w:val="0"/>
                <w:sz w:val="18"/>
                <w:szCs w:val="18"/>
              </w:rPr>
              <w:t>　</w:t>
            </w:r>
          </w:p>
        </w:tc>
      </w:tr>
    </w:tbl>
    <w:p>
      <w:pPr>
        <w:pStyle w:val="5"/>
        <w:numPr>
          <w:ilvl w:val="0"/>
          <w:numId w:val="0"/>
        </w:numPr>
        <w:spacing w:before="312" w:beforeLines="100"/>
        <w:ind w:left="420"/>
        <w:rPr>
          <w:rFonts w:ascii="Times New Roman" w:hAnsi="Times New Roman" w:cs="Times New Roman"/>
        </w:rPr>
      </w:pPr>
      <w:r>
        <w:rPr>
          <w:rFonts w:ascii="Times New Roman" w:hAnsi="Times New Roman" w:cs="Times New Roman"/>
        </w:rPr>
        <w:t>3.从事专业不相关工作原因</w:t>
      </w:r>
    </w:p>
    <w:p>
      <w:pPr>
        <w:ind w:firstLine="420"/>
      </w:pPr>
      <w:r>
        <w:t>除</w:t>
      </w:r>
      <w:r>
        <w:rPr>
          <w:rFonts w:ascii="宋体" w:hAnsi="宋体"/>
        </w:rPr>
        <w:t>“</w:t>
      </w:r>
      <w:r>
        <w:t>其他</w:t>
      </w:r>
      <w:r>
        <w:rPr>
          <w:rFonts w:ascii="宋体" w:hAnsi="宋体"/>
        </w:rPr>
        <w:t>”</w:t>
      </w:r>
      <w:r>
        <w:t>因素外，毕业生选择从事专业不相关工作的原因主要为</w:t>
      </w:r>
      <w:r>
        <w:rPr>
          <w:rFonts w:ascii="宋体" w:hAnsi="宋体"/>
        </w:rPr>
        <w:t>“</w:t>
      </w:r>
      <w:r>
        <w:t>本专业相关工作与自己的兴趣不符</w:t>
      </w:r>
      <w:r>
        <w:rPr>
          <w:rFonts w:ascii="宋体" w:hAnsi="宋体"/>
        </w:rPr>
        <w:t>”</w:t>
      </w:r>
      <w:r>
        <w:t>（28.97%），其次为</w:t>
      </w:r>
      <w:r>
        <w:rPr>
          <w:rFonts w:ascii="宋体" w:hAnsi="宋体"/>
        </w:rPr>
        <w:t>“</w:t>
      </w:r>
      <w:r>
        <w:t>本专业相关的工作就业机会少</w:t>
      </w:r>
      <w:r>
        <w:rPr>
          <w:rFonts w:ascii="宋体" w:hAnsi="宋体"/>
        </w:rPr>
        <w:t>”</w:t>
      </w:r>
      <w:r>
        <w:t>（24.92%），</w:t>
      </w:r>
      <w:r>
        <w:rPr>
          <w:rFonts w:ascii="宋体" w:hAnsi="宋体"/>
        </w:rPr>
        <w:t>“</w:t>
      </w:r>
      <w:r>
        <w:t>本专业相关的工作收入待遇较低</w:t>
      </w:r>
      <w:r>
        <w:rPr>
          <w:rFonts w:ascii="宋体" w:hAnsi="宋体"/>
        </w:rPr>
        <w:t>”</w:t>
      </w:r>
      <w:r>
        <w:t>（10.59%）。</w:t>
      </w:r>
    </w:p>
    <w:p>
      <w:pPr>
        <w:keepNext/>
        <w:ind w:firstLine="0" w:firstLineChars="0"/>
        <w:jc w:val="center"/>
      </w:pPr>
      <w:r>
        <w:drawing>
          <wp:inline distT="0" distB="0" distL="0" distR="0">
            <wp:extent cx="4678680" cy="2543175"/>
            <wp:effectExtent l="0" t="0" r="7620" b="0"/>
            <wp:docPr id="240" name="图表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56"/>
        <w:rPr>
          <w:rFonts w:ascii="Times New Roman" w:cs="Times New Roman"/>
          <w:szCs w:val="21"/>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w:t>
      </w:r>
      <w:r>
        <w:rPr>
          <w:rFonts w:ascii="Times New Roman" w:cs="Times New Roman"/>
          <w:szCs w:val="21"/>
        </w:rPr>
        <w:t>毕业生从事专业不相关工作的原因</w:t>
      </w:r>
    </w:p>
    <w:p>
      <w:pPr>
        <w:pStyle w:val="56"/>
        <w:rPr>
          <w:rFonts w:ascii="Times New Roman" w:cs="Times New Roman"/>
          <w:szCs w:val="21"/>
        </w:rPr>
      </w:pPr>
    </w:p>
    <w:p>
      <w:pPr>
        <w:pStyle w:val="4"/>
      </w:pPr>
      <w:bookmarkStart w:id="76" w:name="_Toc61594341"/>
      <w:r>
        <w:t>（二）职业期待吻合度</w:t>
      </w:r>
      <w:bookmarkEnd w:id="76"/>
    </w:p>
    <w:p>
      <w:pPr>
        <w:ind w:firstLine="420"/>
      </w:pPr>
      <w:r>
        <w:t>毕业生的职业期待吻合度为87.31%</w:t>
      </w:r>
      <w:r>
        <w:rPr>
          <w:szCs w:val="21"/>
          <w:vertAlign w:val="superscript"/>
        </w:rPr>
        <w:t>[</w:t>
      </w:r>
      <w:r>
        <w:rPr>
          <w:rStyle w:val="37"/>
          <w:szCs w:val="21"/>
        </w:rPr>
        <w:footnoteReference w:id="9"/>
      </w:r>
      <w:r>
        <w:rPr>
          <w:szCs w:val="21"/>
          <w:vertAlign w:val="superscript"/>
        </w:rPr>
        <w:t>]</w:t>
      </w:r>
      <w:r>
        <w:t>。其中，</w:t>
      </w:r>
      <w:r>
        <w:rPr>
          <w:rFonts w:ascii="宋体" w:hAnsi="宋体"/>
        </w:rPr>
        <w:t>“</w:t>
      </w:r>
      <w:r>
        <w:t>非常匹配</w:t>
      </w:r>
      <w:r>
        <w:rPr>
          <w:rFonts w:ascii="宋体" w:hAnsi="宋体"/>
        </w:rPr>
        <w:t>”</w:t>
      </w:r>
      <w:r>
        <w:t>占比7.93%，</w:t>
      </w:r>
      <w:r>
        <w:rPr>
          <w:rFonts w:ascii="宋体" w:hAnsi="宋体"/>
        </w:rPr>
        <w:t>“</w:t>
      </w:r>
      <w:r>
        <w:t>比较匹配</w:t>
      </w:r>
      <w:r>
        <w:rPr>
          <w:rFonts w:ascii="宋体" w:hAnsi="宋体"/>
        </w:rPr>
        <w:t>”</w:t>
      </w:r>
      <w:r>
        <w:t>占比38.40%，</w:t>
      </w:r>
      <w:r>
        <w:rPr>
          <w:rFonts w:ascii="宋体" w:hAnsi="宋体"/>
        </w:rPr>
        <w:t>“</w:t>
      </w:r>
      <w:r>
        <w:t>一般</w:t>
      </w:r>
      <w:r>
        <w:rPr>
          <w:rFonts w:ascii="宋体" w:hAnsi="宋体"/>
        </w:rPr>
        <w:t>”</w:t>
      </w:r>
      <w:r>
        <w:t>占比40.98%。</w:t>
      </w:r>
    </w:p>
    <w:p>
      <w:pPr>
        <w:keepNext/>
        <w:ind w:firstLine="0" w:firstLineChars="0"/>
        <w:jc w:val="center"/>
      </w:pPr>
      <w:r>
        <w:drawing>
          <wp:inline distT="0" distB="0" distL="0" distR="0">
            <wp:extent cx="4752975" cy="2425700"/>
            <wp:effectExtent l="0" t="0" r="0" b="0"/>
            <wp:docPr id="248" name="图表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毕业生职业期待吻合度</w:t>
      </w:r>
    </w:p>
    <w:p>
      <w:pPr>
        <w:pStyle w:val="3"/>
        <w:numPr>
          <w:ilvl w:val="0"/>
          <w:numId w:val="0"/>
        </w:numPr>
        <w:rPr>
          <w:rFonts w:cs="Times New Roman"/>
        </w:rPr>
      </w:pPr>
      <w:bookmarkStart w:id="77" w:name="_Toc61594342"/>
      <w:r>
        <w:rPr>
          <w:rFonts w:cs="Times New Roman"/>
        </w:rPr>
        <w:t>四、职业发展评价</w:t>
      </w:r>
      <w:bookmarkEnd w:id="77"/>
    </w:p>
    <w:p>
      <w:pPr>
        <w:pStyle w:val="4"/>
      </w:pPr>
      <w:bookmarkStart w:id="78" w:name="_Toc61594343"/>
      <w:r>
        <w:t>（一）晋升空间满意度</w:t>
      </w:r>
      <w:bookmarkEnd w:id="78"/>
    </w:p>
    <w:p>
      <w:pPr>
        <w:ind w:firstLine="420"/>
      </w:pPr>
      <w:r>
        <w:t>毕业生对晋升空间满意度为88.14%。</w:t>
      </w:r>
      <w:bookmarkStart w:id="79" w:name="_Hlk60030661"/>
      <w:r>
        <w:t>其中，</w:t>
      </w:r>
      <w:r>
        <w:rPr>
          <w:rFonts w:ascii="宋体" w:hAnsi="宋体"/>
        </w:rPr>
        <w:t>“</w:t>
      </w:r>
      <w:r>
        <w:t>非常满意</w:t>
      </w:r>
      <w:r>
        <w:rPr>
          <w:rFonts w:ascii="宋体" w:hAnsi="宋体"/>
        </w:rPr>
        <w:t>”</w:t>
      </w:r>
      <w:r>
        <w:t>占比4.85%，</w:t>
      </w:r>
      <w:r>
        <w:rPr>
          <w:rFonts w:ascii="宋体" w:hAnsi="宋体"/>
        </w:rPr>
        <w:t>“</w:t>
      </w:r>
      <w:r>
        <w:t>比较满意</w:t>
      </w:r>
      <w:r>
        <w:rPr>
          <w:rFonts w:ascii="宋体" w:hAnsi="宋体"/>
        </w:rPr>
        <w:t>”</w:t>
      </w:r>
      <w:r>
        <w:t>占比31.91%，</w:t>
      </w:r>
      <w:r>
        <w:rPr>
          <w:rFonts w:ascii="宋体" w:hAnsi="宋体"/>
        </w:rPr>
        <w:t>“</w:t>
      </w:r>
      <w:r>
        <w:t>一般</w:t>
      </w:r>
      <w:r>
        <w:rPr>
          <w:rFonts w:ascii="宋体" w:hAnsi="宋体"/>
        </w:rPr>
        <w:t>”</w:t>
      </w:r>
      <w:r>
        <w:t>占比51.38%。</w:t>
      </w:r>
      <w:bookmarkEnd w:id="79"/>
    </w:p>
    <w:p>
      <w:pPr>
        <w:keepNext/>
        <w:ind w:firstLine="0" w:firstLineChars="0"/>
        <w:jc w:val="center"/>
      </w:pPr>
      <w:r>
        <w:drawing>
          <wp:inline distT="0" distB="0" distL="0" distR="0">
            <wp:extent cx="4679950" cy="2339975"/>
            <wp:effectExtent l="0" t="0" r="6350" b="3175"/>
            <wp:docPr id="251" name="图表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毕业生晋升空间满意度</w:t>
      </w:r>
    </w:p>
    <w:p>
      <w:pPr>
        <w:pStyle w:val="56"/>
        <w:rPr>
          <w:rFonts w:ascii="Times New Roman" w:cs="Times New Roman"/>
        </w:rPr>
      </w:pPr>
    </w:p>
    <w:p>
      <w:pPr>
        <w:pStyle w:val="4"/>
      </w:pPr>
      <w:bookmarkStart w:id="80" w:name="_Toc61594344"/>
      <w:bookmarkStart w:id="81" w:name="_Toc59184344"/>
      <w:bookmarkStart w:id="82" w:name="_Toc27239620"/>
      <w:r>
        <w:t>（二）培训机会</w:t>
      </w:r>
      <w:bookmarkEnd w:id="80"/>
      <w:bookmarkEnd w:id="81"/>
      <w:bookmarkEnd w:id="82"/>
    </w:p>
    <w:p>
      <w:pPr>
        <w:ind w:firstLine="420"/>
      </w:pPr>
      <w:r>
        <w:t>毕业生对培训机会的满意度为90.40%。其中，</w:t>
      </w:r>
      <w:r>
        <w:rPr>
          <w:rFonts w:ascii="宋体" w:hAnsi="宋体"/>
        </w:rPr>
        <w:t>“</w:t>
      </w:r>
      <w:r>
        <w:t>非常满意</w:t>
      </w:r>
      <w:r>
        <w:rPr>
          <w:rFonts w:ascii="宋体" w:hAnsi="宋体"/>
        </w:rPr>
        <w:t>”</w:t>
      </w:r>
      <w:r>
        <w:t>占比9.18%，</w:t>
      </w:r>
      <w:r>
        <w:rPr>
          <w:rFonts w:ascii="宋体" w:hAnsi="宋体"/>
        </w:rPr>
        <w:t>“</w:t>
      </w:r>
      <w:r>
        <w:t>比较满意</w:t>
      </w:r>
      <w:r>
        <w:rPr>
          <w:rFonts w:ascii="宋体" w:hAnsi="宋体"/>
        </w:rPr>
        <w:t>”</w:t>
      </w:r>
      <w:r>
        <w:t>占比37.90%，</w:t>
      </w:r>
      <w:r>
        <w:rPr>
          <w:rFonts w:ascii="宋体" w:hAnsi="宋体"/>
        </w:rPr>
        <w:t>“</w:t>
      </w:r>
      <w:r>
        <w:t>一般</w:t>
      </w:r>
      <w:r>
        <w:rPr>
          <w:rFonts w:ascii="宋体" w:hAnsi="宋体"/>
        </w:rPr>
        <w:t>”</w:t>
      </w:r>
      <w:r>
        <w:t>占比43.32%。</w:t>
      </w:r>
    </w:p>
    <w:p>
      <w:pPr>
        <w:keepNext/>
        <w:ind w:firstLine="0" w:firstLineChars="0"/>
        <w:jc w:val="center"/>
      </w:pPr>
      <w:r>
        <w:drawing>
          <wp:inline distT="0" distB="0" distL="0" distR="0">
            <wp:extent cx="4679950" cy="2339975"/>
            <wp:effectExtent l="0" t="0" r="6350" b="3175"/>
            <wp:docPr id="250" name="图表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毕业生获得的培训机会</w:t>
      </w:r>
    </w:p>
    <w:p>
      <w:pPr>
        <w:pStyle w:val="3"/>
        <w:numPr>
          <w:ilvl w:val="0"/>
          <w:numId w:val="0"/>
        </w:numPr>
        <w:rPr>
          <w:rFonts w:cs="Times New Roman"/>
        </w:rPr>
      </w:pPr>
      <w:bookmarkStart w:id="83" w:name="_Toc61594345"/>
      <w:r>
        <w:rPr>
          <w:rFonts w:cs="Times New Roman"/>
        </w:rPr>
        <w:t>五、岗位评价</w:t>
      </w:r>
      <w:bookmarkEnd w:id="83"/>
    </w:p>
    <w:p>
      <w:pPr>
        <w:pStyle w:val="4"/>
      </w:pPr>
      <w:bookmarkStart w:id="84" w:name="_Toc61594346"/>
      <w:r>
        <w:t>（一）工作稳定性</w:t>
      </w:r>
      <w:bookmarkEnd w:id="84"/>
    </w:p>
    <w:p>
      <w:pPr>
        <w:ind w:firstLine="420"/>
      </w:pPr>
      <w:r>
        <w:t>毕业生工作稳定性为92.99%</w:t>
      </w:r>
      <w:r>
        <w:rPr>
          <w:szCs w:val="21"/>
          <w:vertAlign w:val="superscript"/>
        </w:rPr>
        <w:t>[</w:t>
      </w:r>
      <w:r>
        <w:rPr>
          <w:rStyle w:val="37"/>
          <w:szCs w:val="21"/>
        </w:rPr>
        <w:footnoteReference w:id="10"/>
      </w:r>
      <w:r>
        <w:rPr>
          <w:szCs w:val="21"/>
          <w:vertAlign w:val="superscript"/>
        </w:rPr>
        <w:t>]</w:t>
      </w:r>
      <w:r>
        <w:t>。其中，</w:t>
      </w:r>
      <w:r>
        <w:rPr>
          <w:rFonts w:ascii="宋体" w:hAnsi="宋体"/>
        </w:rPr>
        <w:t>“</w:t>
      </w:r>
      <w:r>
        <w:t>非常稳定</w:t>
      </w:r>
      <w:r>
        <w:rPr>
          <w:rFonts w:ascii="宋体" w:hAnsi="宋体"/>
        </w:rPr>
        <w:t>”</w:t>
      </w:r>
      <w:r>
        <w:t>占比14.44%，</w:t>
      </w:r>
      <w:r>
        <w:rPr>
          <w:rFonts w:ascii="宋体" w:hAnsi="宋体"/>
        </w:rPr>
        <w:t>“</w:t>
      </w:r>
      <w:r>
        <w:t>比较稳定</w:t>
      </w:r>
      <w:r>
        <w:rPr>
          <w:rFonts w:ascii="宋体" w:hAnsi="宋体"/>
        </w:rPr>
        <w:t>”</w:t>
      </w:r>
      <w:r>
        <w:t>占比51.17%，</w:t>
      </w:r>
      <w:r>
        <w:rPr>
          <w:rFonts w:ascii="宋体" w:hAnsi="宋体"/>
        </w:rPr>
        <w:t>“</w:t>
      </w:r>
      <w:r>
        <w:t>一般</w:t>
      </w:r>
      <w:r>
        <w:rPr>
          <w:rFonts w:ascii="宋体" w:hAnsi="宋体"/>
        </w:rPr>
        <w:t>”</w:t>
      </w:r>
      <w:r>
        <w:t>占比27.38%。</w:t>
      </w:r>
    </w:p>
    <w:p>
      <w:pPr>
        <w:keepNext/>
        <w:ind w:firstLine="0" w:firstLineChars="0"/>
        <w:jc w:val="center"/>
      </w:pPr>
      <w:r>
        <w:drawing>
          <wp:inline distT="0" distB="0" distL="0" distR="0">
            <wp:extent cx="4679950" cy="2339975"/>
            <wp:effectExtent l="0" t="0" r="6350" b="3175"/>
            <wp:docPr id="252" name="图表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毕业生工作稳定性</w:t>
      </w:r>
    </w:p>
    <w:p>
      <w:pPr>
        <w:pStyle w:val="56"/>
        <w:rPr>
          <w:rFonts w:ascii="Times New Roman" w:cs="Times New Roman"/>
        </w:rPr>
      </w:pPr>
    </w:p>
    <w:p>
      <w:pPr>
        <w:pStyle w:val="4"/>
      </w:pPr>
      <w:bookmarkStart w:id="85" w:name="_Toc61594347"/>
      <w:r>
        <w:t>（二）工作环境满意度</w:t>
      </w:r>
      <w:bookmarkEnd w:id="85"/>
    </w:p>
    <w:p>
      <w:pPr>
        <w:ind w:firstLine="420"/>
      </w:pPr>
      <w:r>
        <w:t>毕业生对工作环境的满意度为92.24%。其中</w:t>
      </w:r>
      <w:r>
        <w:rPr>
          <w:rFonts w:ascii="宋体" w:hAnsi="宋体"/>
        </w:rPr>
        <w:t>“</w:t>
      </w:r>
      <w:r>
        <w:t>非常满意</w:t>
      </w:r>
      <w:r>
        <w:rPr>
          <w:rFonts w:ascii="宋体" w:hAnsi="宋体"/>
        </w:rPr>
        <w:t>”</w:t>
      </w:r>
      <w:r>
        <w:t>占比10.77%，</w:t>
      </w:r>
      <w:r>
        <w:rPr>
          <w:rFonts w:ascii="宋体" w:hAnsi="宋体"/>
        </w:rPr>
        <w:t>“</w:t>
      </w:r>
      <w:r>
        <w:t>比较满意</w:t>
      </w:r>
      <w:r>
        <w:rPr>
          <w:rFonts w:ascii="宋体" w:hAnsi="宋体"/>
        </w:rPr>
        <w:t>”</w:t>
      </w:r>
      <w:r>
        <w:t>占比46.83%，</w:t>
      </w:r>
      <w:r>
        <w:rPr>
          <w:rFonts w:ascii="宋体" w:hAnsi="宋体"/>
        </w:rPr>
        <w:t>“</w:t>
      </w:r>
      <w:r>
        <w:t>一般</w:t>
      </w:r>
      <w:r>
        <w:rPr>
          <w:rFonts w:ascii="宋体" w:hAnsi="宋体"/>
        </w:rPr>
        <w:t>”</w:t>
      </w:r>
      <w:r>
        <w:t>占比34.64%。</w:t>
      </w:r>
    </w:p>
    <w:p>
      <w:pPr>
        <w:keepNext/>
        <w:ind w:firstLine="0" w:firstLineChars="0"/>
        <w:jc w:val="center"/>
      </w:pPr>
      <w:r>
        <w:drawing>
          <wp:inline distT="0" distB="0" distL="0" distR="0">
            <wp:extent cx="4558030" cy="2442845"/>
            <wp:effectExtent l="0" t="0" r="0" b="0"/>
            <wp:docPr id="253" name="图表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w:t>
      </w:r>
      <w:r>
        <w:rPr>
          <w:rFonts w:ascii="Times New Roman" w:cs="Times New Roman"/>
          <w:szCs w:val="21"/>
        </w:rPr>
        <w:t>毕业生对就业环境的满意度</w:t>
      </w:r>
    </w:p>
    <w:p>
      <w:pPr>
        <w:pStyle w:val="4"/>
      </w:pPr>
      <w:bookmarkStart w:id="86" w:name="_Toc27239625"/>
      <w:bookmarkStart w:id="87" w:name="_Toc59184348"/>
      <w:bookmarkStart w:id="88" w:name="_Toc61594348"/>
      <w:r>
        <w:t>（三）工作</w:t>
      </w:r>
      <w:bookmarkEnd w:id="86"/>
      <w:r>
        <w:t>轻松度</w:t>
      </w:r>
      <w:bookmarkEnd w:id="87"/>
      <w:bookmarkEnd w:id="88"/>
    </w:p>
    <w:p>
      <w:pPr>
        <w:ind w:firstLine="420"/>
      </w:pPr>
      <w:r>
        <w:rPr>
          <w:szCs w:val="21"/>
        </w:rPr>
        <w:t>毕业生工作轻松度为53.68%</w:t>
      </w:r>
      <w:r>
        <w:rPr>
          <w:szCs w:val="21"/>
          <w:vertAlign w:val="superscript"/>
        </w:rPr>
        <w:t>[</w:t>
      </w:r>
      <w:r>
        <w:rPr>
          <w:rStyle w:val="37"/>
          <w:szCs w:val="21"/>
        </w:rPr>
        <w:footnoteReference w:id="11"/>
      </w:r>
      <w:r>
        <w:rPr>
          <w:szCs w:val="21"/>
          <w:vertAlign w:val="superscript"/>
        </w:rPr>
        <w:t>]</w:t>
      </w:r>
      <w:r>
        <w:rPr>
          <w:szCs w:val="21"/>
        </w:rPr>
        <w:t>。其中</w:t>
      </w:r>
      <w:r>
        <w:rPr>
          <w:rFonts w:ascii="宋体" w:hAnsi="宋体"/>
          <w:szCs w:val="21"/>
        </w:rPr>
        <w:t>“</w:t>
      </w:r>
      <w:r>
        <w:rPr>
          <w:szCs w:val="21"/>
        </w:rPr>
        <w:t>非常小</w:t>
      </w:r>
      <w:r>
        <w:rPr>
          <w:rFonts w:ascii="宋体" w:hAnsi="宋体"/>
          <w:szCs w:val="21"/>
        </w:rPr>
        <w:t>”</w:t>
      </w:r>
      <w:r>
        <w:rPr>
          <w:szCs w:val="21"/>
        </w:rPr>
        <w:t>占比1.42%，</w:t>
      </w:r>
      <w:r>
        <w:rPr>
          <w:rFonts w:ascii="宋体" w:hAnsi="宋体"/>
          <w:szCs w:val="21"/>
        </w:rPr>
        <w:t>“</w:t>
      </w:r>
      <w:r>
        <w:rPr>
          <w:szCs w:val="21"/>
        </w:rPr>
        <w:t>比较小</w:t>
      </w:r>
      <w:r>
        <w:rPr>
          <w:rFonts w:ascii="宋体" w:hAnsi="宋体"/>
          <w:szCs w:val="21"/>
        </w:rPr>
        <w:t>”</w:t>
      </w:r>
      <w:r>
        <w:rPr>
          <w:szCs w:val="21"/>
        </w:rPr>
        <w:t>占比5.01%，</w:t>
      </w:r>
      <w:r>
        <w:rPr>
          <w:rFonts w:ascii="宋体" w:hAnsi="宋体"/>
          <w:szCs w:val="21"/>
        </w:rPr>
        <w:t>“</w:t>
      </w:r>
      <w:r>
        <w:rPr>
          <w:szCs w:val="21"/>
        </w:rPr>
        <w:t>一般</w:t>
      </w:r>
      <w:r>
        <w:rPr>
          <w:rFonts w:ascii="宋体" w:hAnsi="宋体"/>
          <w:szCs w:val="21"/>
        </w:rPr>
        <w:t>”</w:t>
      </w:r>
      <w:r>
        <w:rPr>
          <w:szCs w:val="21"/>
        </w:rPr>
        <w:t>占比47.25%。</w:t>
      </w:r>
    </w:p>
    <w:p>
      <w:pPr>
        <w:keepNext/>
        <w:ind w:firstLine="0" w:firstLineChars="0"/>
        <w:jc w:val="center"/>
      </w:pPr>
      <w:r>
        <w:drawing>
          <wp:inline distT="0" distB="0" distL="0" distR="0">
            <wp:extent cx="4679950" cy="2339975"/>
            <wp:effectExtent l="0" t="0" r="6350" b="3175"/>
            <wp:docPr id="254" name="图表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12</w:t>
      </w:r>
      <w:r>
        <w:rPr>
          <w:rFonts w:ascii="Times New Roman" w:cs="Times New Roman"/>
        </w:rPr>
        <w:fldChar w:fldCharType="end"/>
      </w:r>
      <w:r>
        <w:rPr>
          <w:rFonts w:ascii="Times New Roman" w:cs="Times New Roman"/>
        </w:rPr>
        <w:t xml:space="preserve"> 毕业生工作压力情况</w:t>
      </w:r>
    </w:p>
    <w:p>
      <w:pPr>
        <w:pStyle w:val="56"/>
        <w:rPr>
          <w:rFonts w:ascii="Times New Roman" w:cs="Times New Roman"/>
        </w:rPr>
      </w:pPr>
    </w:p>
    <w:p>
      <w:pPr>
        <w:pStyle w:val="4"/>
      </w:pPr>
      <w:bookmarkStart w:id="89" w:name="_Toc61594349"/>
      <w:r>
        <w:t>（四）各项岗位评价指标</w:t>
      </w:r>
      <w:bookmarkEnd w:id="89"/>
    </w:p>
    <w:p>
      <w:pPr>
        <w:ind w:firstLine="420"/>
      </w:pPr>
      <w:r>
        <w:t>毕业生对就业岗位各项内容评价如下图所示。</w:t>
      </w:r>
    </w:p>
    <w:p>
      <w:pPr>
        <w:pStyle w:val="56"/>
        <w:keepNext/>
        <w:rPr>
          <w:rFonts w:ascii="Times New Roman" w:cs="Times New Roman"/>
        </w:rPr>
      </w:pPr>
      <w:r>
        <w:rPr>
          <w:rFonts w:ascii="Times New Roman" w:cs="Times New Roman"/>
        </w:rPr>
        <w:drawing>
          <wp:inline distT="0" distB="0" distL="0" distR="0">
            <wp:extent cx="5363210" cy="2961005"/>
            <wp:effectExtent l="0" t="0" r="8890" b="0"/>
            <wp:docPr id="255" name="图表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12"/>
        <w:ind w:firstLine="360"/>
        <w:rPr>
          <w:rFonts w:ascii="Times New Roman" w:hAnsi="Times New Roman" w:cs="Times New Roman"/>
        </w:rPr>
      </w:pPr>
      <w:r>
        <w:rPr>
          <w:rFonts w:ascii="Times New Roman" w:hAnsi="Times New Roman" w:cs="Times New Roman"/>
        </w:rPr>
        <w:t>图3-</w:t>
      </w:r>
      <w:r>
        <w:rPr>
          <w:rFonts w:ascii="Times New Roman" w:hAnsi="Times New Roman" w:cs="Times New Roman"/>
        </w:rPr>
        <w:fldChar w:fldCharType="begin"/>
      </w:r>
      <w:r>
        <w:rPr>
          <w:rFonts w:ascii="Times New Roman" w:hAnsi="Times New Roman" w:cs="Times New Roman"/>
        </w:rPr>
        <w:instrText xml:space="preserve"> SEQ 图3-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 xml:space="preserve"> 毕业生对就业岗位各项内容评价</w:t>
      </w:r>
    </w:p>
    <w:p>
      <w:pPr>
        <w:pStyle w:val="3"/>
        <w:numPr>
          <w:ilvl w:val="0"/>
          <w:numId w:val="0"/>
        </w:numPr>
        <w:rPr>
          <w:rFonts w:cs="Times New Roman"/>
        </w:rPr>
      </w:pPr>
      <w:bookmarkStart w:id="90" w:name="_Toc61594350"/>
      <w:r>
        <w:rPr>
          <w:rFonts w:cs="Times New Roman"/>
        </w:rPr>
        <w:t>六、离职情况</w:t>
      </w:r>
      <w:bookmarkEnd w:id="90"/>
    </w:p>
    <w:p>
      <w:pPr>
        <w:pStyle w:val="4"/>
      </w:pPr>
      <w:bookmarkStart w:id="91" w:name="_Toc61594351"/>
      <w:bookmarkStart w:id="92" w:name="_Toc27239627"/>
      <w:bookmarkStart w:id="93" w:name="_Toc59184350"/>
      <w:r>
        <w:t>（一）离职率</w:t>
      </w:r>
      <w:bookmarkEnd w:id="91"/>
      <w:bookmarkEnd w:id="92"/>
      <w:bookmarkEnd w:id="93"/>
    </w:p>
    <w:p>
      <w:pPr>
        <w:ind w:firstLine="420"/>
      </w:pPr>
      <w:r>
        <w:t>毕业生离职率是18.28%，绝大多数离职毕业生离职次数为</w:t>
      </w:r>
      <w:r>
        <w:rPr>
          <w:rFonts w:ascii="宋体" w:hAnsi="宋体"/>
        </w:rPr>
        <w:t>“</w:t>
      </w:r>
      <w:r>
        <w:t>1次</w:t>
      </w:r>
      <w:r>
        <w:rPr>
          <w:rFonts w:ascii="宋体" w:hAnsi="宋体"/>
        </w:rPr>
        <w:t>”</w:t>
      </w:r>
      <w:r>
        <w:t>（12.60%）。</w:t>
      </w:r>
    </w:p>
    <w:p>
      <w:pPr>
        <w:keepNext/>
        <w:ind w:firstLine="0" w:firstLineChars="0"/>
        <w:jc w:val="center"/>
      </w:pPr>
      <w:r>
        <w:drawing>
          <wp:inline distT="0" distB="0" distL="0" distR="0">
            <wp:extent cx="4319905" cy="2879725"/>
            <wp:effectExtent l="0" t="0" r="4445"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14</w:t>
      </w:r>
      <w:r>
        <w:rPr>
          <w:rFonts w:ascii="Times New Roman" w:cs="Times New Roman"/>
        </w:rPr>
        <w:fldChar w:fldCharType="end"/>
      </w:r>
      <w:r>
        <w:rPr>
          <w:rFonts w:ascii="Times New Roman" w:cs="Times New Roman"/>
        </w:rPr>
        <w:t xml:space="preserve"> 毕业生离职情况分布</w:t>
      </w:r>
    </w:p>
    <w:p>
      <w:pPr>
        <w:ind w:firstLine="0" w:firstLineChars="0"/>
      </w:pPr>
    </w:p>
    <w:p>
      <w:pPr>
        <w:pStyle w:val="4"/>
      </w:pPr>
      <w:bookmarkStart w:id="94" w:name="_Toc61594352"/>
      <w:bookmarkStart w:id="95" w:name="_Toc59184351"/>
      <w:bookmarkStart w:id="96" w:name="_Toc27239628"/>
      <w:r>
        <w:t>（二）离职原因</w:t>
      </w:r>
      <w:bookmarkEnd w:id="94"/>
      <w:bookmarkEnd w:id="95"/>
      <w:bookmarkEnd w:id="96"/>
    </w:p>
    <w:p>
      <w:pPr>
        <w:ind w:firstLine="420"/>
      </w:pPr>
      <w:r>
        <w:t>除</w:t>
      </w:r>
      <w:r>
        <w:rPr>
          <w:rFonts w:ascii="宋体" w:hAnsi="宋体"/>
        </w:rPr>
        <w:t>“</w:t>
      </w:r>
      <w:r>
        <w:t>其他</w:t>
      </w:r>
      <w:r>
        <w:rPr>
          <w:rFonts w:ascii="宋体" w:hAnsi="宋体"/>
        </w:rPr>
        <w:t>”</w:t>
      </w:r>
      <w:r>
        <w:t>因素外，毕业生离职首要原因为</w:t>
      </w:r>
      <w:r>
        <w:rPr>
          <w:rFonts w:ascii="宋体" w:hAnsi="宋体"/>
        </w:rPr>
        <w:t>“</w:t>
      </w:r>
      <w:r>
        <w:t>发展空间不大</w:t>
      </w:r>
      <w:r>
        <w:rPr>
          <w:rFonts w:ascii="宋体" w:hAnsi="宋体"/>
        </w:rPr>
        <w:t>”</w:t>
      </w:r>
      <w:r>
        <w:t>（22.94%），其次为</w:t>
      </w:r>
      <w:r>
        <w:rPr>
          <w:rFonts w:ascii="宋体" w:hAnsi="宋体"/>
        </w:rPr>
        <w:t>“</w:t>
      </w:r>
      <w:r>
        <w:t>薪资福利差</w:t>
      </w:r>
      <w:r>
        <w:rPr>
          <w:rFonts w:ascii="宋体" w:hAnsi="宋体"/>
        </w:rPr>
        <w:t>”</w:t>
      </w:r>
      <w:r>
        <w:t>（19.48%）、</w:t>
      </w:r>
      <w:r>
        <w:rPr>
          <w:rFonts w:ascii="宋体" w:hAnsi="宋体"/>
        </w:rPr>
        <w:t>“</w:t>
      </w:r>
      <w:r>
        <w:t>工作地域问题</w:t>
      </w:r>
      <w:r>
        <w:rPr>
          <w:rFonts w:ascii="宋体" w:hAnsi="宋体"/>
        </w:rPr>
        <w:t>”</w:t>
      </w:r>
      <w:r>
        <w:t>（12.12%）。</w:t>
      </w:r>
    </w:p>
    <w:p>
      <w:pPr>
        <w:keepNext/>
        <w:ind w:firstLine="0" w:firstLineChars="0"/>
        <w:jc w:val="center"/>
      </w:pPr>
      <w:r>
        <w:drawing>
          <wp:inline distT="0" distB="0" distL="0" distR="0">
            <wp:extent cx="5039995" cy="2519680"/>
            <wp:effectExtent l="0" t="0" r="8255"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56"/>
        <w:rPr>
          <w:rFonts w:ascii="Times New Roman" w:cs="Times New Roman"/>
        </w:rPr>
      </w:pPr>
      <w:r>
        <w:rPr>
          <w:rFonts w:ascii="Times New Roman" w:cs="Times New Roman"/>
        </w:rPr>
        <w:t>图3-</w:t>
      </w:r>
      <w:r>
        <w:rPr>
          <w:rFonts w:ascii="Times New Roman" w:cs="Times New Roman"/>
        </w:rPr>
        <w:fldChar w:fldCharType="begin"/>
      </w:r>
      <w:r>
        <w:rPr>
          <w:rFonts w:ascii="Times New Roman" w:cs="Times New Roman"/>
        </w:rPr>
        <w:instrText xml:space="preserve"> SEQ 图3- \* ARABIC </w:instrText>
      </w:r>
      <w:r>
        <w:rPr>
          <w:rFonts w:ascii="Times New Roman" w:cs="Times New Roman"/>
        </w:rPr>
        <w:fldChar w:fldCharType="separate"/>
      </w:r>
      <w:r>
        <w:rPr>
          <w:rFonts w:ascii="Times New Roman" w:cs="Times New Roman"/>
        </w:rPr>
        <w:t>15</w:t>
      </w:r>
      <w:r>
        <w:rPr>
          <w:rFonts w:ascii="Times New Roman" w:cs="Times New Roman"/>
        </w:rPr>
        <w:fldChar w:fldCharType="end"/>
      </w:r>
      <w:r>
        <w:rPr>
          <w:rFonts w:ascii="Times New Roman" w:cs="Times New Roman"/>
        </w:rPr>
        <w:t xml:space="preserve"> 毕业生离职原因</w:t>
      </w:r>
      <w:r>
        <w:rPr>
          <w:rFonts w:ascii="Times New Roman" w:cs="Times New Roman"/>
        </w:rPr>
        <w:br w:type="page"/>
      </w:r>
    </w:p>
    <w:p>
      <w:pPr>
        <w:pStyle w:val="2"/>
      </w:pPr>
      <w:bookmarkStart w:id="97" w:name="_Toc61594353"/>
      <w:r>
        <w:t>第四章 毕业生求职行为分析</w:t>
      </w:r>
      <w:bookmarkEnd w:id="97"/>
    </w:p>
    <w:p>
      <w:pPr>
        <w:pStyle w:val="3"/>
        <w:numPr>
          <w:ilvl w:val="0"/>
          <w:numId w:val="0"/>
        </w:numPr>
        <w:rPr>
          <w:rFonts w:cs="Times New Roman"/>
        </w:rPr>
      </w:pPr>
      <w:bookmarkStart w:id="98" w:name="_Toc61594354"/>
      <w:bookmarkStart w:id="99" w:name="_Toc59184353"/>
      <w:bookmarkStart w:id="100" w:name="_Toc27239630"/>
      <w:r>
        <w:rPr>
          <w:rFonts w:cs="Times New Roman"/>
        </w:rPr>
        <w:t>一、毕业生求职分析</w:t>
      </w:r>
      <w:bookmarkEnd w:id="98"/>
      <w:bookmarkEnd w:id="99"/>
      <w:bookmarkEnd w:id="100"/>
    </w:p>
    <w:p>
      <w:pPr>
        <w:pStyle w:val="4"/>
      </w:pPr>
      <w:bookmarkStart w:id="101" w:name="_Toc61594355"/>
      <w:bookmarkStart w:id="102" w:name="_Toc27239631"/>
      <w:bookmarkStart w:id="103" w:name="_Toc59184354"/>
      <w:r>
        <w:t>（一）求职途径</w:t>
      </w:r>
      <w:bookmarkEnd w:id="101"/>
      <w:bookmarkEnd w:id="102"/>
      <w:bookmarkEnd w:id="103"/>
    </w:p>
    <w:p>
      <w:pPr>
        <w:ind w:firstLine="420"/>
      </w:pPr>
      <w:r>
        <w:t>毕业生求职的主要途径为</w:t>
      </w:r>
      <w:r>
        <w:rPr>
          <w:rFonts w:ascii="宋体" w:hAnsi="宋体"/>
        </w:rPr>
        <w:t>“</w:t>
      </w:r>
      <w:r>
        <w:rPr>
          <w:rFonts w:hint="eastAsia"/>
        </w:rPr>
        <w:t>学校各类现场招聘（专场招聘会、双选会、老师推荐等）</w:t>
      </w:r>
      <w:r>
        <w:rPr>
          <w:rFonts w:ascii="宋体" w:hAnsi="宋体"/>
        </w:rPr>
        <w:t>”</w:t>
      </w:r>
      <w:r>
        <w:t>（</w:t>
      </w:r>
      <w:r>
        <w:rPr>
          <w:rFonts w:hint="eastAsia"/>
        </w:rPr>
        <w:t>39.54</w:t>
      </w:r>
      <w:r>
        <w:t>%），其次为</w:t>
      </w:r>
      <w:r>
        <w:rPr>
          <w:rFonts w:ascii="宋体" w:hAnsi="宋体"/>
        </w:rPr>
        <w:t>“</w:t>
      </w:r>
      <w:r>
        <w:rPr>
          <w:rFonts w:hint="eastAsia"/>
        </w:rPr>
        <w:t>社会招聘网站、直接企业官网求职</w:t>
      </w:r>
      <w:r>
        <w:rPr>
          <w:rFonts w:ascii="宋体" w:hAnsi="宋体"/>
        </w:rPr>
        <w:t>”</w:t>
      </w:r>
      <w:r>
        <w:t>（2</w:t>
      </w:r>
      <w:r>
        <w:rPr>
          <w:rFonts w:hint="eastAsia"/>
        </w:rPr>
        <w:t>2.36</w:t>
      </w:r>
      <w:r>
        <w:t>%）、</w:t>
      </w:r>
      <w:r>
        <w:rPr>
          <w:rFonts w:ascii="宋体" w:hAnsi="宋体"/>
        </w:rPr>
        <w:t>“</w:t>
      </w:r>
      <w:r>
        <w:rPr>
          <w:rFonts w:hint="eastAsia"/>
        </w:rPr>
        <w:t>学校各类线上招聘（就业网、微信公众号、转发的其他线上招聘信息等）</w:t>
      </w:r>
      <w:r>
        <w:rPr>
          <w:rFonts w:ascii="宋体" w:hAnsi="宋体"/>
        </w:rPr>
        <w:t>”</w:t>
      </w:r>
      <w:r>
        <w:t>（1</w:t>
      </w:r>
      <w:r>
        <w:rPr>
          <w:rFonts w:hint="eastAsia"/>
        </w:rPr>
        <w:t>4.18</w:t>
      </w:r>
      <w:r>
        <w:t>%）。</w:t>
      </w:r>
    </w:p>
    <w:p>
      <w:pPr>
        <w:keepNext/>
        <w:ind w:firstLine="0" w:firstLineChars="0"/>
        <w:jc w:val="center"/>
      </w:pPr>
      <w:r>
        <w:drawing>
          <wp:inline distT="0" distB="0" distL="0" distR="0">
            <wp:extent cx="5245735" cy="2406015"/>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毕业生主要求职途径</w:t>
      </w:r>
    </w:p>
    <w:p>
      <w:pPr>
        <w:pStyle w:val="4"/>
      </w:pPr>
      <w:bookmarkStart w:id="104" w:name="_Toc27239632"/>
      <w:bookmarkStart w:id="105" w:name="_Toc59184355"/>
      <w:bookmarkStart w:id="106" w:name="_Toc61594356"/>
      <w:r>
        <w:t>（二）求职成本</w:t>
      </w:r>
      <w:bookmarkEnd w:id="104"/>
      <w:bookmarkEnd w:id="105"/>
      <w:bookmarkEnd w:id="106"/>
    </w:p>
    <w:p>
      <w:pPr>
        <w:pStyle w:val="5"/>
        <w:numPr>
          <w:ilvl w:val="0"/>
          <w:numId w:val="0"/>
        </w:numPr>
        <w:ind w:left="420"/>
        <w:rPr>
          <w:rFonts w:ascii="Times New Roman" w:hAnsi="Times New Roman" w:cs="Times New Roman"/>
        </w:rPr>
      </w:pPr>
      <w:r>
        <w:rPr>
          <w:rFonts w:ascii="Times New Roman" w:hAnsi="Times New Roman" w:cs="Times New Roman"/>
        </w:rPr>
        <w:t>1.求职耗时</w:t>
      </w:r>
    </w:p>
    <w:p>
      <w:pPr>
        <w:ind w:firstLine="420"/>
        <w:rPr>
          <w:szCs w:val="21"/>
        </w:rPr>
      </w:pPr>
      <w:r>
        <w:rPr>
          <w:szCs w:val="21"/>
        </w:rPr>
        <w:t>已落实就业单位毕业生平均求职花费时间2.26个月。区间主要集中在</w:t>
      </w:r>
      <w:r>
        <w:rPr>
          <w:rFonts w:ascii="宋体" w:hAnsi="宋体"/>
          <w:szCs w:val="21"/>
        </w:rPr>
        <w:t>“</w:t>
      </w:r>
      <w:r>
        <w:rPr>
          <w:szCs w:val="21"/>
        </w:rPr>
        <w:t>一个月以内</w:t>
      </w:r>
      <w:r>
        <w:rPr>
          <w:rFonts w:ascii="宋体" w:hAnsi="宋体"/>
          <w:szCs w:val="21"/>
        </w:rPr>
        <w:t>”</w:t>
      </w:r>
      <w:r>
        <w:rPr>
          <w:szCs w:val="21"/>
        </w:rPr>
        <w:t>（45.21%），其次为</w:t>
      </w:r>
      <w:r>
        <w:rPr>
          <w:rFonts w:ascii="宋体" w:hAnsi="宋体"/>
          <w:szCs w:val="21"/>
        </w:rPr>
        <w:t>“</w:t>
      </w:r>
      <w:r>
        <w:rPr>
          <w:szCs w:val="21"/>
        </w:rPr>
        <w:t>1-3个月</w:t>
      </w:r>
      <w:r>
        <w:rPr>
          <w:rFonts w:ascii="宋体" w:hAnsi="宋体"/>
          <w:szCs w:val="21"/>
        </w:rPr>
        <w:t>”</w:t>
      </w:r>
      <w:r>
        <w:rPr>
          <w:szCs w:val="21"/>
        </w:rPr>
        <w:t>（38.55%）。</w:t>
      </w:r>
    </w:p>
    <w:p>
      <w:pPr>
        <w:keepNext/>
        <w:ind w:firstLine="0" w:firstLineChars="0"/>
        <w:jc w:val="center"/>
      </w:pPr>
      <w:r>
        <w:drawing>
          <wp:inline distT="0" distB="0" distL="0" distR="0">
            <wp:extent cx="4607560" cy="1875790"/>
            <wp:effectExtent l="0" t="0" r="2540" b="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56"/>
        <w:rPr>
          <w:rFonts w:ascii="Times New Roman" w:cs="Times New Roman"/>
          <w:szCs w:val="21"/>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w:t>
      </w:r>
      <w:r>
        <w:rPr>
          <w:rFonts w:ascii="Times New Roman" w:cs="Times New Roman"/>
          <w:szCs w:val="21"/>
        </w:rPr>
        <w:t>毕业生求职时间成本</w:t>
      </w:r>
    </w:p>
    <w:p>
      <w:pPr>
        <w:pStyle w:val="5"/>
        <w:numPr>
          <w:ilvl w:val="0"/>
          <w:numId w:val="0"/>
        </w:numPr>
        <w:ind w:left="420"/>
        <w:rPr>
          <w:rFonts w:ascii="Times New Roman" w:hAnsi="Times New Roman" w:cs="Times New Roman"/>
        </w:rPr>
      </w:pPr>
      <w:r>
        <w:rPr>
          <w:rFonts w:ascii="Times New Roman" w:hAnsi="Times New Roman" w:cs="Times New Roman"/>
        </w:rPr>
        <w:t>2.求职开销</w:t>
      </w:r>
    </w:p>
    <w:p>
      <w:pPr>
        <w:ind w:firstLine="420"/>
        <w:rPr>
          <w:szCs w:val="21"/>
        </w:rPr>
      </w:pPr>
      <w:r>
        <w:rPr>
          <w:szCs w:val="21"/>
        </w:rPr>
        <w:t>已落实就业单位毕业生平均求职开销882元。区间主要集中在</w:t>
      </w:r>
      <w:r>
        <w:rPr>
          <w:rFonts w:ascii="宋体" w:hAnsi="宋体"/>
          <w:szCs w:val="21"/>
        </w:rPr>
        <w:t>“</w:t>
      </w:r>
      <w:r>
        <w:rPr>
          <w:szCs w:val="21"/>
        </w:rPr>
        <w:t>200元以下</w:t>
      </w:r>
      <w:r>
        <w:rPr>
          <w:rFonts w:ascii="宋体" w:hAnsi="宋体"/>
          <w:szCs w:val="21"/>
        </w:rPr>
        <w:t>”</w:t>
      </w:r>
      <w:r>
        <w:rPr>
          <w:szCs w:val="21"/>
        </w:rPr>
        <w:t>（31.53%），其次为</w:t>
      </w:r>
      <w:r>
        <w:rPr>
          <w:rFonts w:ascii="宋体" w:hAnsi="宋体"/>
          <w:szCs w:val="21"/>
        </w:rPr>
        <w:t>“</w:t>
      </w:r>
      <w:r>
        <w:rPr>
          <w:szCs w:val="21"/>
        </w:rPr>
        <w:t>2000以上</w:t>
      </w:r>
      <w:r>
        <w:rPr>
          <w:rFonts w:ascii="宋体" w:hAnsi="宋体"/>
          <w:szCs w:val="21"/>
        </w:rPr>
        <w:t>”</w:t>
      </w:r>
      <w:r>
        <w:rPr>
          <w:szCs w:val="21"/>
        </w:rPr>
        <w:t>（19.72%）。</w:t>
      </w:r>
    </w:p>
    <w:p>
      <w:pPr>
        <w:keepNext/>
        <w:ind w:firstLine="0" w:firstLineChars="0"/>
        <w:jc w:val="center"/>
      </w:pPr>
      <w:r>
        <w:drawing>
          <wp:inline distT="0" distB="0" distL="0" distR="0">
            <wp:extent cx="5039995" cy="2879725"/>
            <wp:effectExtent l="0" t="0" r="8255"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毕业生求职开销</w:t>
      </w:r>
    </w:p>
    <w:p>
      <w:pPr>
        <w:pStyle w:val="3"/>
        <w:numPr>
          <w:ilvl w:val="0"/>
          <w:numId w:val="0"/>
        </w:numPr>
        <w:rPr>
          <w:rFonts w:cs="Times New Roman"/>
        </w:rPr>
      </w:pPr>
      <w:bookmarkStart w:id="107" w:name="_Toc59184356"/>
      <w:bookmarkStart w:id="108" w:name="_Toc27239634"/>
      <w:bookmarkStart w:id="109" w:name="_Toc61594357"/>
      <w:r>
        <w:rPr>
          <w:rFonts w:cs="Times New Roman"/>
        </w:rPr>
        <w:t>二、未就业毕业生求职分析</w:t>
      </w:r>
      <w:bookmarkEnd w:id="107"/>
      <w:bookmarkEnd w:id="108"/>
      <w:bookmarkEnd w:id="109"/>
    </w:p>
    <w:p>
      <w:pPr>
        <w:pStyle w:val="4"/>
      </w:pPr>
      <w:bookmarkStart w:id="110" w:name="_Toc61594358"/>
      <w:bookmarkStart w:id="111" w:name="_Toc59184357"/>
      <w:bookmarkStart w:id="112" w:name="_Toc27239635"/>
      <w:r>
        <w:t>（一）未就业择业定位</w:t>
      </w:r>
      <w:bookmarkEnd w:id="110"/>
      <w:bookmarkEnd w:id="111"/>
      <w:bookmarkEnd w:id="112"/>
    </w:p>
    <w:p>
      <w:pPr>
        <w:ind w:firstLine="420"/>
      </w:pPr>
      <w:r>
        <w:t>未就业毕业生择业定位主要为体制内工作。其中，</w:t>
      </w:r>
      <w:r>
        <w:rPr>
          <w:rFonts w:ascii="宋体" w:hAnsi="宋体"/>
        </w:rPr>
        <w:t>“</w:t>
      </w:r>
      <w:r>
        <w:t>事业单位</w:t>
      </w:r>
      <w:r>
        <w:rPr>
          <w:rFonts w:ascii="宋体" w:hAnsi="宋体"/>
        </w:rPr>
        <w:t>”</w:t>
      </w:r>
      <w:r>
        <w:t>占比44.55%，</w:t>
      </w:r>
      <w:r>
        <w:rPr>
          <w:rFonts w:ascii="宋体" w:hAnsi="宋体"/>
        </w:rPr>
        <w:t>“</w:t>
      </w:r>
      <w:r>
        <w:t>国有企业</w:t>
      </w:r>
      <w:r>
        <w:rPr>
          <w:rFonts w:ascii="宋体" w:hAnsi="宋体"/>
        </w:rPr>
        <w:t>”</w:t>
      </w:r>
      <w:r>
        <w:t>占比21.82%，</w:t>
      </w:r>
      <w:r>
        <w:rPr>
          <w:rFonts w:ascii="宋体" w:hAnsi="宋体"/>
        </w:rPr>
        <w:t>“</w:t>
      </w:r>
      <w:r>
        <w:t>党政机关</w:t>
      </w:r>
      <w:r>
        <w:rPr>
          <w:rFonts w:ascii="宋体" w:hAnsi="宋体"/>
        </w:rPr>
        <w:t>”</w:t>
      </w:r>
      <w:r>
        <w:t>占比15.76%。</w:t>
      </w:r>
    </w:p>
    <w:p>
      <w:pPr>
        <w:keepNext/>
        <w:ind w:firstLine="0" w:firstLineChars="0"/>
        <w:jc w:val="center"/>
      </w:pPr>
      <w:r>
        <w:drawing>
          <wp:inline distT="0" distB="0" distL="0" distR="0">
            <wp:extent cx="5039995" cy="2519680"/>
            <wp:effectExtent l="0" t="0" r="8255"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w:t>
      </w:r>
      <w:r>
        <w:rPr>
          <w:rFonts w:ascii="Times New Roman" w:cs="Times New Roman"/>
          <w:szCs w:val="21"/>
        </w:rPr>
        <w:t>未就业毕业生择业定位</w:t>
      </w:r>
    </w:p>
    <w:p>
      <w:pPr>
        <w:pStyle w:val="4"/>
      </w:pPr>
      <w:bookmarkStart w:id="113" w:name="_Toc61594359"/>
      <w:bookmarkStart w:id="114" w:name="_Toc59184358"/>
      <w:r>
        <w:t>（二）未就业原因</w:t>
      </w:r>
      <w:bookmarkEnd w:id="113"/>
      <w:bookmarkEnd w:id="114"/>
    </w:p>
    <w:p>
      <w:pPr>
        <w:ind w:firstLine="420"/>
      </w:pPr>
      <w:r>
        <w:t>毕业生目前尚未就业的主要原因为</w:t>
      </w:r>
      <w:r>
        <w:rPr>
          <w:rFonts w:ascii="宋体" w:hAnsi="宋体"/>
        </w:rPr>
        <w:t>“</w:t>
      </w:r>
      <w:r>
        <w:t>在准备公务员、事业单位、中小学教师等招考</w:t>
      </w:r>
      <w:r>
        <w:rPr>
          <w:rFonts w:ascii="宋体" w:hAnsi="宋体"/>
        </w:rPr>
        <w:t>”</w:t>
      </w:r>
      <w:r>
        <w:t>（43.94%）、</w:t>
      </w:r>
      <w:r>
        <w:rPr>
          <w:rFonts w:ascii="宋体" w:hAnsi="宋体"/>
        </w:rPr>
        <w:t>“</w:t>
      </w:r>
      <w:r>
        <w:t>正在择业，暂时没拿到offer</w:t>
      </w:r>
      <w:r>
        <w:rPr>
          <w:rFonts w:ascii="宋体" w:hAnsi="宋体"/>
        </w:rPr>
        <w:t>”</w:t>
      </w:r>
      <w:r>
        <w:t>（31.21%）、</w:t>
      </w:r>
      <w:r>
        <w:rPr>
          <w:rFonts w:ascii="宋体" w:hAnsi="宋体"/>
        </w:rPr>
        <w:t>“</w:t>
      </w:r>
      <w:r>
        <w:t>正在择业，拿到过offer不过拒绝了</w:t>
      </w:r>
      <w:r>
        <w:rPr>
          <w:rFonts w:ascii="宋体" w:hAnsi="宋体"/>
        </w:rPr>
        <w:t>”</w:t>
      </w:r>
      <w:r>
        <w:t>（6.36%）。</w:t>
      </w:r>
    </w:p>
    <w:p>
      <w:pPr>
        <w:pStyle w:val="56"/>
        <w:keepNext/>
        <w:rPr>
          <w:rFonts w:ascii="Times New Roman" w:cs="Times New Roman"/>
        </w:rPr>
      </w:pPr>
      <w:r>
        <w:rPr>
          <w:rFonts w:ascii="Times New Roman" w:cs="Times New Roman"/>
        </w:rPr>
        <w:drawing>
          <wp:inline distT="0" distB="0" distL="0" distR="0">
            <wp:extent cx="5144770" cy="2879090"/>
            <wp:effectExtent l="0" t="0" r="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毕业生未就业原因</w:t>
      </w:r>
    </w:p>
    <w:p>
      <w:pPr>
        <w:pStyle w:val="4"/>
      </w:pPr>
      <w:bookmarkStart w:id="115" w:name="_Toc59184359"/>
      <w:bookmarkStart w:id="116" w:name="_Toc61594360"/>
      <w:r>
        <w:t>（三）就业地域</w:t>
      </w:r>
      <w:bookmarkEnd w:id="115"/>
      <w:bookmarkEnd w:id="116"/>
    </w:p>
    <w:p>
      <w:pPr>
        <w:ind w:firstLine="420"/>
      </w:pPr>
      <w:r>
        <w:t>未就业毕业生期望的就业地域主要为</w:t>
      </w:r>
      <w:r>
        <w:rPr>
          <w:rFonts w:ascii="宋体" w:hAnsi="宋体"/>
        </w:rPr>
        <w:t>“</w:t>
      </w:r>
      <w:r>
        <w:t>省会城市</w:t>
      </w:r>
      <w:r>
        <w:rPr>
          <w:rFonts w:ascii="宋体" w:hAnsi="宋体"/>
        </w:rPr>
        <w:t>”</w:t>
      </w:r>
      <w:r>
        <w:t>（40.41%）、</w:t>
      </w:r>
      <w:r>
        <w:rPr>
          <w:rFonts w:ascii="宋体" w:hAnsi="宋体"/>
        </w:rPr>
        <w:t>“</w:t>
      </w:r>
      <w:r>
        <w:t>回生源地就业</w:t>
      </w:r>
      <w:r>
        <w:rPr>
          <w:rFonts w:ascii="宋体" w:hAnsi="宋体"/>
        </w:rPr>
        <w:t>”</w:t>
      </w:r>
      <w:r>
        <w:t>（24.62%）、</w:t>
      </w:r>
      <w:r>
        <w:rPr>
          <w:rFonts w:ascii="宋体" w:hAnsi="宋体"/>
        </w:rPr>
        <w:t>“</w:t>
      </w:r>
      <w:r>
        <w:t>地级城市</w:t>
      </w:r>
      <w:r>
        <w:rPr>
          <w:rFonts w:ascii="宋体" w:hAnsi="宋体"/>
        </w:rPr>
        <w:t>”</w:t>
      </w:r>
      <w:r>
        <w:t>（15.98%）。</w:t>
      </w:r>
    </w:p>
    <w:p>
      <w:pPr>
        <w:pStyle w:val="56"/>
        <w:keepNext/>
        <w:rPr>
          <w:rFonts w:ascii="Times New Roman" w:cs="Times New Roman"/>
        </w:rPr>
      </w:pPr>
      <w:r>
        <w:rPr>
          <w:rFonts w:ascii="Times New Roman" w:cs="Times New Roman"/>
        </w:rPr>
        <w:drawing>
          <wp:inline distT="0" distB="0" distL="0" distR="0">
            <wp:extent cx="4967605" cy="2606675"/>
            <wp:effectExtent l="0" t="0" r="4445" b="317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未就业毕业生就业地域定位</w:t>
      </w:r>
    </w:p>
    <w:p>
      <w:pPr>
        <w:pStyle w:val="4"/>
      </w:pPr>
      <w:bookmarkStart w:id="117" w:name="_Toc27239637"/>
      <w:bookmarkStart w:id="118" w:name="_Toc61594361"/>
      <w:bookmarkStart w:id="119" w:name="_Toc59184360"/>
      <w:bookmarkStart w:id="120" w:name="OLE_LINK233"/>
      <w:bookmarkStart w:id="121" w:name="OLE_LINK232"/>
      <w:r>
        <w:t>（四）求职</w:t>
      </w:r>
      <w:bookmarkEnd w:id="117"/>
      <w:r>
        <w:t>帮助和辅导</w:t>
      </w:r>
      <w:bookmarkEnd w:id="118"/>
      <w:bookmarkEnd w:id="119"/>
    </w:p>
    <w:bookmarkEnd w:id="120"/>
    <w:bookmarkEnd w:id="121"/>
    <w:p>
      <w:pPr>
        <w:ind w:firstLine="420"/>
        <w:rPr>
          <w:szCs w:val="21"/>
        </w:rPr>
      </w:pPr>
      <w:r>
        <w:rPr>
          <w:szCs w:val="21"/>
        </w:rPr>
        <w:t>未就业毕业生期望母校提供的求职帮助主要为</w:t>
      </w:r>
      <w:r>
        <w:rPr>
          <w:rFonts w:ascii="宋体" w:hAnsi="宋体"/>
          <w:szCs w:val="21"/>
        </w:rPr>
        <w:t>“</w:t>
      </w:r>
      <w:r>
        <w:rPr>
          <w:szCs w:val="21"/>
        </w:rPr>
        <w:t>增加职位信息</w:t>
      </w:r>
      <w:r>
        <w:rPr>
          <w:rFonts w:ascii="宋体" w:hAnsi="宋体"/>
          <w:szCs w:val="21"/>
        </w:rPr>
        <w:t>”</w:t>
      </w:r>
      <w:r>
        <w:rPr>
          <w:szCs w:val="21"/>
        </w:rPr>
        <w:t>（55.45%）、</w:t>
      </w:r>
      <w:r>
        <w:rPr>
          <w:rFonts w:ascii="宋体" w:hAnsi="宋体"/>
          <w:szCs w:val="21"/>
        </w:rPr>
        <w:t>“</w:t>
      </w:r>
      <w:r>
        <w:rPr>
          <w:szCs w:val="21"/>
        </w:rPr>
        <w:t>求职技巧培训</w:t>
      </w:r>
      <w:r>
        <w:rPr>
          <w:rFonts w:ascii="宋体" w:hAnsi="宋体"/>
          <w:szCs w:val="21"/>
        </w:rPr>
        <w:t>”</w:t>
      </w:r>
      <w:r>
        <w:rPr>
          <w:szCs w:val="21"/>
        </w:rPr>
        <w:t>（43.33%）、</w:t>
      </w:r>
      <w:r>
        <w:rPr>
          <w:rFonts w:ascii="宋体" w:hAnsi="宋体"/>
          <w:szCs w:val="21"/>
        </w:rPr>
        <w:t>“</w:t>
      </w:r>
      <w:r>
        <w:rPr>
          <w:szCs w:val="21"/>
        </w:rPr>
        <w:t>求职技巧培训</w:t>
      </w:r>
      <w:r>
        <w:rPr>
          <w:rFonts w:ascii="宋体" w:hAnsi="宋体"/>
          <w:szCs w:val="21"/>
        </w:rPr>
        <w:t>”</w:t>
      </w:r>
      <w:r>
        <w:rPr>
          <w:szCs w:val="21"/>
        </w:rPr>
        <w:t>（40.91%）。</w:t>
      </w:r>
    </w:p>
    <w:p>
      <w:pPr>
        <w:pStyle w:val="56"/>
        <w:keepNext/>
        <w:rPr>
          <w:rFonts w:ascii="Times New Roman" w:cs="Times New Roman"/>
        </w:rPr>
      </w:pPr>
      <w:r>
        <w:rPr>
          <w:rFonts w:ascii="Times New Roman" w:cs="Times New Roman"/>
        </w:rPr>
        <w:drawing>
          <wp:inline distT="0" distB="0" distL="0" distR="0">
            <wp:extent cx="5039995" cy="2519680"/>
            <wp:effectExtent l="0" t="0" r="8255" b="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未就业毕业生期望求职帮助和辅导（多选</w:t>
      </w:r>
      <w:r>
        <w:rPr>
          <w:rFonts w:ascii="Times New Roman" w:cs="Times New Roman"/>
          <w:szCs w:val="21"/>
          <w:vertAlign w:val="superscript"/>
        </w:rPr>
        <w:t>[</w:t>
      </w:r>
      <w:r>
        <w:rPr>
          <w:rStyle w:val="37"/>
          <w:rFonts w:ascii="Times New Roman" w:cs="Times New Roman"/>
          <w:szCs w:val="21"/>
        </w:rPr>
        <w:footnoteReference w:id="12"/>
      </w:r>
      <w:r>
        <w:rPr>
          <w:rFonts w:ascii="Times New Roman" w:cs="Times New Roman"/>
          <w:szCs w:val="21"/>
          <w:vertAlign w:val="superscript"/>
        </w:rPr>
        <w:t>]</w:t>
      </w:r>
      <w:r>
        <w:rPr>
          <w:rFonts w:ascii="Times New Roman" w:cs="Times New Roman"/>
        </w:rPr>
        <w:t>）</w:t>
      </w:r>
    </w:p>
    <w:p>
      <w:pPr>
        <w:pStyle w:val="3"/>
        <w:numPr>
          <w:ilvl w:val="0"/>
          <w:numId w:val="0"/>
        </w:numPr>
        <w:rPr>
          <w:rFonts w:cs="Times New Roman"/>
        </w:rPr>
      </w:pPr>
      <w:bookmarkStart w:id="122" w:name="_Toc27239638"/>
      <w:bookmarkStart w:id="123" w:name="_Toc61594362"/>
      <w:bookmarkStart w:id="124" w:name="_Toc59184361"/>
      <w:r>
        <w:rPr>
          <w:rFonts w:cs="Times New Roman"/>
        </w:rPr>
        <w:t>三、求职行为</w:t>
      </w:r>
      <w:bookmarkEnd w:id="122"/>
      <w:r>
        <w:rPr>
          <w:rFonts w:cs="Times New Roman"/>
        </w:rPr>
        <w:t>分析</w:t>
      </w:r>
      <w:bookmarkEnd w:id="123"/>
      <w:bookmarkEnd w:id="124"/>
    </w:p>
    <w:p>
      <w:pPr>
        <w:pStyle w:val="4"/>
      </w:pPr>
      <w:bookmarkStart w:id="125" w:name="_Toc59184362"/>
      <w:bookmarkStart w:id="126" w:name="_Toc27239639"/>
      <w:bookmarkStart w:id="127" w:name="_Toc61594363"/>
      <w:r>
        <w:t>（一）面试次数</w:t>
      </w:r>
      <w:bookmarkEnd w:id="125"/>
      <w:bookmarkEnd w:id="126"/>
      <w:bookmarkEnd w:id="127"/>
    </w:p>
    <w:p>
      <w:pPr>
        <w:ind w:firstLine="420"/>
        <w:rPr>
          <w:szCs w:val="21"/>
        </w:rPr>
      </w:pPr>
      <w:r>
        <w:rPr>
          <w:szCs w:val="21"/>
        </w:rPr>
        <w:t>毕业生平均面试单位数为3.12家。面试次数区间主要集中于</w:t>
      </w:r>
      <w:r>
        <w:rPr>
          <w:rFonts w:ascii="宋体" w:hAnsi="宋体"/>
          <w:szCs w:val="21"/>
        </w:rPr>
        <w:t>“</w:t>
      </w:r>
      <w:r>
        <w:rPr>
          <w:szCs w:val="21"/>
        </w:rPr>
        <w:t>1-3家</w:t>
      </w:r>
      <w:r>
        <w:rPr>
          <w:rFonts w:ascii="宋体" w:hAnsi="宋体"/>
          <w:szCs w:val="21"/>
        </w:rPr>
        <w:t>”</w:t>
      </w:r>
      <w:r>
        <w:rPr>
          <w:szCs w:val="21"/>
        </w:rPr>
        <w:t>（46.53%）和</w:t>
      </w:r>
      <w:r>
        <w:rPr>
          <w:rFonts w:ascii="宋体" w:hAnsi="宋体"/>
          <w:szCs w:val="21"/>
        </w:rPr>
        <w:t>“</w:t>
      </w:r>
      <w:r>
        <w:rPr>
          <w:szCs w:val="21"/>
        </w:rPr>
        <w:t>0家</w:t>
      </w:r>
      <w:r>
        <w:rPr>
          <w:rFonts w:ascii="宋体" w:hAnsi="宋体"/>
          <w:szCs w:val="21"/>
        </w:rPr>
        <w:t>”</w:t>
      </w:r>
      <w:r>
        <w:rPr>
          <w:szCs w:val="21"/>
        </w:rPr>
        <w:t>（21.15%）。</w:t>
      </w:r>
    </w:p>
    <w:p>
      <w:pPr>
        <w:pStyle w:val="56"/>
        <w:keepNext/>
        <w:rPr>
          <w:rFonts w:ascii="Times New Roman" w:cs="Times New Roman"/>
        </w:rPr>
      </w:pPr>
      <w:r>
        <w:rPr>
          <w:rFonts w:ascii="Times New Roman" w:cs="Times New Roman"/>
        </w:rPr>
        <w:drawing>
          <wp:inline distT="0" distB="0" distL="0" distR="0">
            <wp:extent cx="5006340" cy="2543175"/>
            <wp:effectExtent l="0" t="0" r="381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12"/>
        <w:ind w:firstLine="360"/>
        <w:rPr>
          <w:rFonts w:ascii="Times New Roman" w:hAnsi="Times New Roman" w:cs="Times New Roman"/>
          <w:szCs w:val="21"/>
        </w:rPr>
      </w:pPr>
      <w:r>
        <w:rPr>
          <w:rFonts w:ascii="Times New Roman" w:hAnsi="Times New Roman" w:cs="Times New Roman"/>
        </w:rPr>
        <w:t>图4-</w:t>
      </w:r>
      <w:r>
        <w:rPr>
          <w:rFonts w:ascii="Times New Roman" w:hAnsi="Times New Roman" w:cs="Times New Roman"/>
          <w:szCs w:val="21"/>
        </w:rPr>
        <w:fldChar w:fldCharType="begin"/>
      </w:r>
      <w:r>
        <w:rPr>
          <w:rFonts w:ascii="Times New Roman" w:hAnsi="Times New Roman" w:cs="Times New Roman"/>
          <w:szCs w:val="21"/>
        </w:rPr>
        <w:instrText xml:space="preserve"> SEQ 图4- \* ARABIC </w:instrText>
      </w:r>
      <w:r>
        <w:rPr>
          <w:rFonts w:ascii="Times New Roman" w:hAnsi="Times New Roman" w:cs="Times New Roman"/>
          <w:szCs w:val="21"/>
        </w:rPr>
        <w:fldChar w:fldCharType="separate"/>
      </w:r>
      <w:r>
        <w:rPr>
          <w:rFonts w:ascii="Times New Roman" w:hAnsi="Times New Roman" w:cs="Times New Roman"/>
          <w:szCs w:val="21"/>
        </w:rPr>
        <w:t>8</w:t>
      </w:r>
      <w:r>
        <w:rPr>
          <w:rFonts w:ascii="Times New Roman" w:hAnsi="Times New Roman" w:cs="Times New Roman"/>
          <w:szCs w:val="21"/>
        </w:rPr>
        <w:fldChar w:fldCharType="end"/>
      </w:r>
      <w:r>
        <w:rPr>
          <w:rFonts w:ascii="Times New Roman" w:hAnsi="Times New Roman" w:cs="Times New Roman"/>
        </w:rPr>
        <w:t>毕业生面试单位数</w:t>
      </w:r>
    </w:p>
    <w:p>
      <w:pPr>
        <w:pStyle w:val="4"/>
      </w:pPr>
      <w:bookmarkStart w:id="128" w:name="_Toc59184363"/>
      <w:bookmarkStart w:id="129" w:name="_Toc61594364"/>
      <w:bookmarkStart w:id="130" w:name="_Toc27239640"/>
      <w:r>
        <w:t>（二）期望薪资</w:t>
      </w:r>
      <w:bookmarkEnd w:id="128"/>
      <w:bookmarkEnd w:id="129"/>
      <w:bookmarkEnd w:id="130"/>
    </w:p>
    <w:p>
      <w:pPr>
        <w:ind w:firstLine="420"/>
        <w:rPr>
          <w:szCs w:val="21"/>
        </w:rPr>
      </w:pPr>
      <w:r>
        <w:rPr>
          <w:szCs w:val="21"/>
        </w:rPr>
        <w:t>毕业生期望的月平均薪资为4229元。薪资区间主要集中于</w:t>
      </w:r>
      <w:r>
        <w:rPr>
          <w:rFonts w:ascii="宋体" w:hAnsi="宋体"/>
          <w:szCs w:val="21"/>
        </w:rPr>
        <w:t>“</w:t>
      </w:r>
      <w:r>
        <w:rPr>
          <w:szCs w:val="21"/>
        </w:rPr>
        <w:t>3001-4000元</w:t>
      </w:r>
      <w:r>
        <w:rPr>
          <w:rFonts w:ascii="宋体" w:hAnsi="宋体"/>
          <w:szCs w:val="21"/>
        </w:rPr>
        <w:t>”</w:t>
      </w:r>
      <w:r>
        <w:rPr>
          <w:szCs w:val="21"/>
        </w:rPr>
        <w:t>（38.60%）</w:t>
      </w:r>
      <w:r>
        <w:rPr>
          <w:rFonts w:hint="eastAsia" w:ascii="宋体" w:hAnsi="宋体"/>
          <w:szCs w:val="21"/>
        </w:rPr>
        <w:t>、</w:t>
      </w:r>
      <w:r>
        <w:rPr>
          <w:rFonts w:ascii="宋体" w:hAnsi="宋体"/>
          <w:szCs w:val="21"/>
        </w:rPr>
        <w:t>“</w:t>
      </w:r>
      <w:r>
        <w:rPr>
          <w:szCs w:val="21"/>
        </w:rPr>
        <w:t>4001-5000元</w:t>
      </w:r>
      <w:r>
        <w:rPr>
          <w:rFonts w:ascii="宋体" w:hAnsi="宋体"/>
          <w:szCs w:val="21"/>
        </w:rPr>
        <w:t>”</w:t>
      </w:r>
      <w:r>
        <w:rPr>
          <w:szCs w:val="21"/>
        </w:rPr>
        <w:t>（30.70%）和</w:t>
      </w:r>
      <w:r>
        <w:rPr>
          <w:rFonts w:ascii="宋体" w:hAnsi="宋体"/>
          <w:szCs w:val="21"/>
        </w:rPr>
        <w:t>“</w:t>
      </w:r>
      <w:r>
        <w:rPr>
          <w:szCs w:val="21"/>
        </w:rPr>
        <w:t>5001-7000元</w:t>
      </w:r>
      <w:r>
        <w:rPr>
          <w:rFonts w:ascii="宋体" w:hAnsi="宋体"/>
          <w:szCs w:val="21"/>
        </w:rPr>
        <w:t>”</w:t>
      </w:r>
      <w:r>
        <w:rPr>
          <w:szCs w:val="21"/>
        </w:rPr>
        <w:t>（14.89%）。</w:t>
      </w:r>
    </w:p>
    <w:p>
      <w:pPr>
        <w:pStyle w:val="56"/>
        <w:keepNext/>
        <w:rPr>
          <w:rFonts w:ascii="Times New Roman" w:cs="Times New Roman"/>
        </w:rPr>
      </w:pPr>
      <w:r>
        <w:rPr>
          <w:rFonts w:ascii="Times New Roman" w:cs="Times New Roman"/>
        </w:rPr>
        <w:drawing>
          <wp:inline distT="0" distB="0" distL="0" distR="0">
            <wp:extent cx="4678680" cy="2543175"/>
            <wp:effectExtent l="0" t="0" r="762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毕业生求职期望薪资</w:t>
      </w:r>
    </w:p>
    <w:p>
      <w:pPr>
        <w:pStyle w:val="4"/>
      </w:pPr>
      <w:bookmarkStart w:id="131" w:name="_Toc61594365"/>
      <w:bookmarkStart w:id="132" w:name="_Toc59184364"/>
      <w:bookmarkStart w:id="133" w:name="_Toc27239641"/>
      <w:r>
        <w:t>（三）求职关注因素</w:t>
      </w:r>
      <w:bookmarkEnd w:id="131"/>
      <w:bookmarkEnd w:id="132"/>
      <w:bookmarkEnd w:id="133"/>
    </w:p>
    <w:p>
      <w:pPr>
        <w:ind w:firstLine="420"/>
        <w:rPr>
          <w:szCs w:val="21"/>
        </w:rPr>
      </w:pPr>
      <w:r>
        <w:rPr>
          <w:szCs w:val="21"/>
        </w:rPr>
        <w:t>毕业生求职关注的因素主要为</w:t>
      </w:r>
      <w:r>
        <w:rPr>
          <w:rFonts w:ascii="宋体" w:hAnsi="宋体"/>
          <w:szCs w:val="21"/>
        </w:rPr>
        <w:t>“</w:t>
      </w:r>
      <w:r>
        <w:rPr>
          <w:szCs w:val="21"/>
        </w:rPr>
        <w:t>薪酬水平</w:t>
      </w:r>
      <w:r>
        <w:rPr>
          <w:rFonts w:ascii="宋体" w:hAnsi="宋体"/>
          <w:szCs w:val="21"/>
        </w:rPr>
        <w:t>”</w:t>
      </w:r>
      <w:r>
        <w:rPr>
          <w:szCs w:val="21"/>
        </w:rPr>
        <w:t>（55.14%）、</w:t>
      </w:r>
      <w:r>
        <w:rPr>
          <w:rFonts w:ascii="宋体" w:hAnsi="宋体"/>
          <w:szCs w:val="21"/>
        </w:rPr>
        <w:t>“</w:t>
      </w:r>
      <w:r>
        <w:rPr>
          <w:szCs w:val="21"/>
        </w:rPr>
        <w:t>工作稳定度</w:t>
      </w:r>
      <w:r>
        <w:rPr>
          <w:rFonts w:ascii="宋体" w:hAnsi="宋体"/>
          <w:szCs w:val="21"/>
        </w:rPr>
        <w:t>”</w:t>
      </w:r>
      <w:r>
        <w:rPr>
          <w:szCs w:val="21"/>
        </w:rPr>
        <w:t>（37.27%）、</w:t>
      </w:r>
      <w:r>
        <w:rPr>
          <w:rFonts w:ascii="宋体" w:hAnsi="宋体"/>
          <w:szCs w:val="21"/>
        </w:rPr>
        <w:t>“</w:t>
      </w:r>
      <w:r>
        <w:rPr>
          <w:szCs w:val="21"/>
        </w:rPr>
        <w:t>发展空间</w:t>
      </w:r>
      <w:r>
        <w:rPr>
          <w:rFonts w:ascii="宋体" w:hAnsi="宋体"/>
          <w:szCs w:val="21"/>
        </w:rPr>
        <w:t>”</w:t>
      </w:r>
      <w:r>
        <w:rPr>
          <w:szCs w:val="21"/>
        </w:rPr>
        <w:t>（30.91%）。</w:t>
      </w:r>
    </w:p>
    <w:p>
      <w:pPr>
        <w:pStyle w:val="56"/>
        <w:keepNext/>
        <w:rPr>
          <w:rFonts w:ascii="Times New Roman" w:cs="Times New Roman"/>
        </w:rPr>
      </w:pPr>
      <w:r>
        <w:rPr>
          <w:rFonts w:ascii="Times New Roman" w:cs="Times New Roman"/>
        </w:rPr>
        <w:drawing>
          <wp:inline distT="0" distB="0" distL="0" distR="0">
            <wp:extent cx="4803775" cy="2797175"/>
            <wp:effectExtent l="0" t="0" r="0" b="3175"/>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56"/>
        <w:rPr>
          <w:rFonts w:ascii="Times New Roman" w:cs="Times New Roman"/>
          <w:szCs w:val="21"/>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毕业生求职关注因素（多选）</w:t>
      </w:r>
    </w:p>
    <w:p>
      <w:pPr>
        <w:pStyle w:val="4"/>
      </w:pPr>
      <w:bookmarkStart w:id="134" w:name="_Toc59184365"/>
      <w:bookmarkStart w:id="135" w:name="_Toc61594366"/>
      <w:bookmarkStart w:id="136" w:name="_Toc27239642"/>
      <w:r>
        <w:t>（四）求职困难因素</w:t>
      </w:r>
      <w:bookmarkEnd w:id="134"/>
      <w:bookmarkEnd w:id="135"/>
      <w:bookmarkEnd w:id="136"/>
    </w:p>
    <w:p>
      <w:pPr>
        <w:ind w:firstLine="420"/>
      </w:pPr>
      <w:r>
        <w:t>毕业生求职过程中遇到的主要问题为</w:t>
      </w:r>
      <w:r>
        <w:rPr>
          <w:rFonts w:ascii="宋体" w:hAnsi="宋体"/>
        </w:rPr>
        <w:t>“</w:t>
      </w:r>
      <w:r>
        <w:t>适合自己专业和学历的岗位不多</w:t>
      </w:r>
      <w:r>
        <w:rPr>
          <w:rFonts w:ascii="宋体" w:hAnsi="宋体"/>
        </w:rPr>
        <w:t>”</w:t>
      </w:r>
      <w:r>
        <w:t>（47.89%）、</w:t>
      </w:r>
      <w:r>
        <w:rPr>
          <w:rFonts w:ascii="宋体" w:hAnsi="宋体"/>
        </w:rPr>
        <w:t>“</w:t>
      </w:r>
      <w:r>
        <w:t>缺乏实践经验</w:t>
      </w:r>
      <w:r>
        <w:rPr>
          <w:rFonts w:ascii="宋体" w:hAnsi="宋体"/>
        </w:rPr>
        <w:t>”</w:t>
      </w:r>
      <w:r>
        <w:t>（45.59%）、</w:t>
      </w:r>
      <w:r>
        <w:rPr>
          <w:rFonts w:ascii="宋体" w:hAnsi="宋体"/>
        </w:rPr>
        <w:t>“</w:t>
      </w:r>
      <w:r>
        <w:t>用人单位待遇和条件不符合预期</w:t>
      </w:r>
      <w:r>
        <w:rPr>
          <w:rFonts w:ascii="宋体" w:hAnsi="宋体"/>
        </w:rPr>
        <w:t>”</w:t>
      </w:r>
      <w:r>
        <w:t>（33.72%）。</w:t>
      </w:r>
    </w:p>
    <w:p>
      <w:pPr>
        <w:pStyle w:val="56"/>
        <w:keepNext/>
        <w:rPr>
          <w:rFonts w:ascii="Times New Roman" w:cs="Times New Roman"/>
        </w:rPr>
      </w:pPr>
      <w:r>
        <w:rPr>
          <w:rFonts w:ascii="Times New Roman" w:cs="Times New Roman"/>
        </w:rPr>
        <w:drawing>
          <wp:inline distT="0" distB="0" distL="0" distR="0">
            <wp:extent cx="4678680" cy="2543175"/>
            <wp:effectExtent l="0" t="0" r="7620" b="0"/>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56"/>
        <w:rPr>
          <w:rFonts w:ascii="Times New Roman" w:cs="Times New Roman"/>
        </w:rPr>
      </w:pPr>
      <w:r>
        <w:rPr>
          <w:rFonts w:ascii="Times New Roman" w:cs="Times New Roman"/>
        </w:rPr>
        <w:t>图4-</w:t>
      </w:r>
      <w:r>
        <w:rPr>
          <w:rFonts w:ascii="Times New Roman" w:cs="Times New Roman"/>
        </w:rPr>
        <w:fldChar w:fldCharType="begin"/>
      </w:r>
      <w:r>
        <w:rPr>
          <w:rFonts w:ascii="Times New Roman" w:cs="Times New Roman"/>
        </w:rPr>
        <w:instrText xml:space="preserve"> SEQ 图4-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毕业生求职困难因素（多选）</w:t>
      </w:r>
    </w:p>
    <w:p>
      <w:pPr>
        <w:pStyle w:val="56"/>
        <w:rPr>
          <w:rFonts w:ascii="Times New Roman" w:cs="Times New Roman"/>
        </w:rPr>
      </w:pPr>
    </w:p>
    <w:p>
      <w:pPr>
        <w:spacing w:line="240" w:lineRule="auto"/>
        <w:ind w:firstLine="0" w:firstLineChars="0"/>
        <w:jc w:val="left"/>
      </w:pPr>
      <w:r>
        <w:br w:type="page"/>
      </w:r>
    </w:p>
    <w:p>
      <w:pPr>
        <w:pStyle w:val="2"/>
      </w:pPr>
      <w:bookmarkStart w:id="137" w:name="_Toc61594367"/>
      <w:r>
        <w:t>第五章 母校评价</w:t>
      </w:r>
      <w:bookmarkEnd w:id="137"/>
    </w:p>
    <w:p>
      <w:pPr>
        <w:pStyle w:val="3"/>
        <w:numPr>
          <w:ilvl w:val="0"/>
          <w:numId w:val="0"/>
        </w:numPr>
        <w:rPr>
          <w:rFonts w:cs="Times New Roman"/>
        </w:rPr>
      </w:pPr>
      <w:bookmarkStart w:id="138" w:name="_Toc59184368"/>
      <w:bookmarkStart w:id="139" w:name="_Toc61594368"/>
      <w:r>
        <w:rPr>
          <w:rFonts w:cs="Times New Roman"/>
        </w:rPr>
        <w:t>一、毕业生对母校总体评价</w:t>
      </w:r>
      <w:bookmarkEnd w:id="138"/>
      <w:bookmarkEnd w:id="139"/>
    </w:p>
    <w:p>
      <w:pPr>
        <w:pStyle w:val="4"/>
      </w:pPr>
      <w:bookmarkStart w:id="140" w:name="_Toc61594369"/>
      <w:bookmarkStart w:id="141" w:name="_Toc59184369"/>
      <w:r>
        <w:t>（一）毕业生对人才培养满意度</w:t>
      </w:r>
      <w:bookmarkEnd w:id="140"/>
      <w:bookmarkEnd w:id="141"/>
    </w:p>
    <w:p>
      <w:pPr>
        <w:ind w:firstLine="420"/>
      </w:pPr>
      <w:r>
        <w:t>毕业生对人才培养的满意度为96.44%。其中，</w:t>
      </w:r>
      <w:r>
        <w:rPr>
          <w:rFonts w:ascii="宋体" w:hAnsi="宋体"/>
        </w:rPr>
        <w:t>“</w:t>
      </w:r>
      <w:r>
        <w:t>非常满意</w:t>
      </w:r>
      <w:r>
        <w:rPr>
          <w:rFonts w:ascii="宋体" w:hAnsi="宋体"/>
        </w:rPr>
        <w:t>”</w:t>
      </w:r>
      <w:r>
        <w:t>占比25.52%，</w:t>
      </w:r>
      <w:r>
        <w:rPr>
          <w:rFonts w:ascii="宋体" w:hAnsi="宋体"/>
        </w:rPr>
        <w:t>“</w:t>
      </w:r>
      <w:r>
        <w:t>比较满意</w:t>
      </w:r>
      <w:r>
        <w:rPr>
          <w:rFonts w:ascii="宋体" w:hAnsi="宋体"/>
        </w:rPr>
        <w:t>”</w:t>
      </w:r>
      <w:r>
        <w:t>占比43.60%，</w:t>
      </w:r>
      <w:r>
        <w:rPr>
          <w:rFonts w:ascii="宋体" w:hAnsi="宋体"/>
        </w:rPr>
        <w:t>“</w:t>
      </w:r>
      <w:r>
        <w:t>一般</w:t>
      </w:r>
      <w:r>
        <w:rPr>
          <w:rFonts w:ascii="宋体" w:hAnsi="宋体"/>
        </w:rPr>
        <w:t>”</w:t>
      </w:r>
      <w:r>
        <w:t>占比27.32%</w:t>
      </w:r>
      <w:r>
        <w:rPr>
          <w:rFonts w:hint="eastAsia"/>
        </w:rPr>
        <w:t>。</w:t>
      </w:r>
    </w:p>
    <w:p>
      <w:pPr>
        <w:keepNext/>
        <w:ind w:firstLine="0" w:firstLineChars="0"/>
        <w:jc w:val="center"/>
      </w:pPr>
      <w:r>
        <w:drawing>
          <wp:inline distT="0" distB="0" distL="0" distR="0">
            <wp:extent cx="4679950" cy="2237740"/>
            <wp:effectExtent l="0" t="0" r="6350"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毕业生对人才培养的满意度</w:t>
      </w:r>
    </w:p>
    <w:p>
      <w:pPr>
        <w:pStyle w:val="4"/>
      </w:pPr>
      <w:bookmarkStart w:id="142" w:name="_Toc59184370"/>
      <w:bookmarkStart w:id="143" w:name="_Toc61594370"/>
      <w:r>
        <w:t>（二）母校推荐度</w:t>
      </w:r>
      <w:bookmarkEnd w:id="142"/>
      <w:bookmarkEnd w:id="143"/>
    </w:p>
    <w:p>
      <w:pPr>
        <w:ind w:firstLine="420"/>
      </w:pPr>
      <w:r>
        <w:t>毕业生对母校的推荐度是96.03%</w:t>
      </w:r>
      <w:r>
        <w:rPr>
          <w:szCs w:val="21"/>
          <w:vertAlign w:val="superscript"/>
        </w:rPr>
        <w:t>[</w:t>
      </w:r>
      <w:r>
        <w:rPr>
          <w:rStyle w:val="37"/>
          <w:szCs w:val="21"/>
        </w:rPr>
        <w:footnoteReference w:id="13"/>
      </w:r>
      <w:r>
        <w:rPr>
          <w:szCs w:val="21"/>
          <w:vertAlign w:val="superscript"/>
        </w:rPr>
        <w:t>]</w:t>
      </w:r>
      <w:r>
        <w:t>，其中</w:t>
      </w:r>
      <w:r>
        <w:rPr>
          <w:rFonts w:ascii="宋体" w:hAnsi="宋体"/>
        </w:rPr>
        <w:t>“</w:t>
      </w:r>
      <w:r>
        <w:t>非常愿意</w:t>
      </w:r>
      <w:r>
        <w:rPr>
          <w:rFonts w:ascii="宋体" w:hAnsi="宋体"/>
        </w:rPr>
        <w:t>”</w:t>
      </w:r>
      <w:r>
        <w:t>占比33.42%，</w:t>
      </w:r>
      <w:r>
        <w:rPr>
          <w:rFonts w:ascii="宋体" w:hAnsi="宋体"/>
        </w:rPr>
        <w:t>“</w:t>
      </w:r>
      <w:r>
        <w:t>比较愿意</w:t>
      </w:r>
      <w:r>
        <w:rPr>
          <w:rFonts w:ascii="宋体" w:hAnsi="宋体"/>
        </w:rPr>
        <w:t>”</w:t>
      </w:r>
      <w:r>
        <w:t>占比39.81%，</w:t>
      </w:r>
      <w:r>
        <w:rPr>
          <w:rFonts w:ascii="宋体" w:hAnsi="宋体"/>
        </w:rPr>
        <w:t>“</w:t>
      </w:r>
      <w:r>
        <w:t>一般</w:t>
      </w:r>
      <w:r>
        <w:rPr>
          <w:rFonts w:ascii="宋体" w:hAnsi="宋体"/>
        </w:rPr>
        <w:t>”</w:t>
      </w:r>
      <w:r>
        <w:t>占比22.80%。</w:t>
      </w:r>
    </w:p>
    <w:p>
      <w:pPr>
        <w:pStyle w:val="56"/>
        <w:keepNext/>
        <w:rPr>
          <w:rFonts w:ascii="Times New Roman" w:cs="Times New Roman"/>
        </w:rPr>
      </w:pPr>
      <w:r>
        <w:rPr>
          <w:rFonts w:ascii="Times New Roman" w:cs="Times New Roman"/>
        </w:rPr>
        <w:drawing>
          <wp:inline distT="0" distB="0" distL="0" distR="0">
            <wp:extent cx="4503420" cy="2073910"/>
            <wp:effectExtent l="0" t="0" r="0" b="254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毕业生对母校的推荐度</w:t>
      </w:r>
    </w:p>
    <w:p>
      <w:pPr>
        <w:pStyle w:val="3"/>
        <w:numPr>
          <w:ilvl w:val="0"/>
          <w:numId w:val="0"/>
        </w:numPr>
        <w:rPr>
          <w:rFonts w:cs="Times New Roman"/>
        </w:rPr>
      </w:pPr>
      <w:bookmarkStart w:id="144" w:name="_Toc59184371"/>
      <w:bookmarkStart w:id="145" w:name="_Toc61594371"/>
      <w:r>
        <w:rPr>
          <w:rFonts w:cs="Times New Roman"/>
        </w:rPr>
        <w:t>二、毕业生对教育教学的评价</w:t>
      </w:r>
      <w:bookmarkEnd w:id="144"/>
      <w:bookmarkEnd w:id="145"/>
    </w:p>
    <w:p>
      <w:pPr>
        <w:pStyle w:val="4"/>
      </w:pPr>
      <w:bookmarkStart w:id="146" w:name="_Toc61594372"/>
      <w:bookmarkStart w:id="147" w:name="_Toc59184372"/>
      <w:r>
        <w:t>（一）教师授课评价</w:t>
      </w:r>
      <w:bookmarkEnd w:id="146"/>
      <w:bookmarkEnd w:id="147"/>
    </w:p>
    <w:p>
      <w:pPr>
        <w:ind w:firstLine="420"/>
        <w:rPr>
          <w:szCs w:val="21"/>
        </w:rPr>
      </w:pPr>
      <w:r>
        <w:rPr>
          <w:szCs w:val="21"/>
        </w:rPr>
        <w:t>毕业生对教师专业素养的满意度是97.38%，其中</w:t>
      </w:r>
      <w:r>
        <w:rPr>
          <w:rFonts w:ascii="宋体" w:hAnsi="宋体"/>
          <w:szCs w:val="21"/>
        </w:rPr>
        <w:t>“</w:t>
      </w:r>
      <w:r>
        <w:rPr>
          <w:szCs w:val="21"/>
        </w:rPr>
        <w:t>非常满意</w:t>
      </w:r>
      <w:r>
        <w:rPr>
          <w:rFonts w:ascii="宋体" w:hAnsi="宋体"/>
          <w:szCs w:val="21"/>
        </w:rPr>
        <w:t>”</w:t>
      </w:r>
      <w:r>
        <w:rPr>
          <w:szCs w:val="21"/>
        </w:rPr>
        <w:t>占比33.30%，</w:t>
      </w:r>
      <w:r>
        <w:rPr>
          <w:rFonts w:ascii="宋体" w:hAnsi="宋体"/>
          <w:szCs w:val="21"/>
        </w:rPr>
        <w:t>“</w:t>
      </w:r>
      <w:r>
        <w:rPr>
          <w:szCs w:val="21"/>
        </w:rPr>
        <w:t>比较满意</w:t>
      </w:r>
      <w:r>
        <w:rPr>
          <w:rFonts w:ascii="宋体" w:hAnsi="宋体"/>
          <w:szCs w:val="21"/>
        </w:rPr>
        <w:t>”</w:t>
      </w:r>
      <w:r>
        <w:rPr>
          <w:szCs w:val="21"/>
        </w:rPr>
        <w:t>占比44.81%，</w:t>
      </w:r>
      <w:r>
        <w:rPr>
          <w:rFonts w:ascii="宋体" w:hAnsi="宋体"/>
          <w:szCs w:val="21"/>
        </w:rPr>
        <w:t>“</w:t>
      </w:r>
      <w:r>
        <w:rPr>
          <w:szCs w:val="21"/>
        </w:rPr>
        <w:t>一般</w:t>
      </w:r>
      <w:r>
        <w:rPr>
          <w:rFonts w:ascii="宋体" w:hAnsi="宋体"/>
          <w:szCs w:val="21"/>
        </w:rPr>
        <w:t>”</w:t>
      </w:r>
      <w:r>
        <w:rPr>
          <w:szCs w:val="21"/>
        </w:rPr>
        <w:t>占比19.27%。</w:t>
      </w:r>
    </w:p>
    <w:p>
      <w:pPr>
        <w:ind w:firstLine="420"/>
        <w:rPr>
          <w:szCs w:val="21"/>
        </w:rPr>
      </w:pPr>
      <w:r>
        <w:rPr>
          <w:szCs w:val="21"/>
        </w:rPr>
        <w:t>毕业生对教师教学的改进建议中，建议加强</w:t>
      </w:r>
      <w:r>
        <w:rPr>
          <w:rFonts w:ascii="宋体" w:hAnsi="宋体"/>
          <w:szCs w:val="21"/>
        </w:rPr>
        <w:t>“</w:t>
      </w:r>
      <w:r>
        <w:rPr>
          <w:szCs w:val="21"/>
        </w:rPr>
        <w:t>实践教学</w:t>
      </w:r>
      <w:r>
        <w:rPr>
          <w:rFonts w:ascii="宋体" w:hAnsi="宋体"/>
          <w:szCs w:val="21"/>
        </w:rPr>
        <w:t>”</w:t>
      </w:r>
      <w:r>
        <w:rPr>
          <w:szCs w:val="21"/>
        </w:rPr>
        <w:t>占比最大（66.06%），其次是</w:t>
      </w:r>
      <w:r>
        <w:rPr>
          <w:rFonts w:ascii="宋体" w:hAnsi="宋体"/>
          <w:szCs w:val="21"/>
        </w:rPr>
        <w:t>“</w:t>
      </w:r>
      <w:r>
        <w:rPr>
          <w:szCs w:val="21"/>
        </w:rPr>
        <w:t>专业课内容及安排</w:t>
      </w:r>
      <w:r>
        <w:rPr>
          <w:rFonts w:ascii="宋体" w:hAnsi="宋体"/>
          <w:szCs w:val="21"/>
        </w:rPr>
        <w:t>”</w:t>
      </w:r>
      <w:r>
        <w:rPr>
          <w:szCs w:val="21"/>
        </w:rPr>
        <w:t>（59.16%）、</w:t>
      </w:r>
      <w:r>
        <w:rPr>
          <w:rFonts w:ascii="宋体" w:hAnsi="宋体"/>
          <w:szCs w:val="21"/>
        </w:rPr>
        <w:t>“</w:t>
      </w:r>
      <w:r>
        <w:rPr>
          <w:szCs w:val="21"/>
        </w:rPr>
        <w:t>教学方法和手段</w:t>
      </w:r>
      <w:r>
        <w:rPr>
          <w:rFonts w:ascii="宋体" w:hAnsi="宋体"/>
          <w:szCs w:val="21"/>
        </w:rPr>
        <w:t>”</w:t>
      </w:r>
      <w:r>
        <w:rPr>
          <w:szCs w:val="21"/>
        </w:rPr>
        <w:t>（58.78%）。</w:t>
      </w:r>
    </w:p>
    <w:p>
      <w:pPr>
        <w:keepNext/>
        <w:ind w:left="-420" w:leftChars="-200" w:right="-420" w:rightChars="-200" w:firstLine="0" w:firstLineChars="0"/>
      </w:pPr>
      <w:r>
        <w:drawing>
          <wp:inline distT="0" distB="0" distL="0" distR="0">
            <wp:extent cx="2339975" cy="2339975"/>
            <wp:effectExtent l="0" t="0" r="3175" b="3175"/>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t xml:space="preserve"> </w:t>
      </w:r>
      <w:r>
        <w:drawing>
          <wp:inline distT="0" distB="0" distL="0" distR="0">
            <wp:extent cx="3239770" cy="2339975"/>
            <wp:effectExtent l="0" t="0" r="0" b="3175"/>
            <wp:docPr id="8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56"/>
        <w:rPr>
          <w:rFonts w:ascii="Times New Roman" w:cs="Times New Roman"/>
        </w:rPr>
      </w:pPr>
      <w:r>
        <w:rPr>
          <w:rFonts w:hint="eastAsia" w:ascii="Times New Roman" w:cs="Times New Roman"/>
        </w:rPr>
        <w:t xml:space="preserve"> </w:t>
      </w:r>
      <w:r>
        <w:rPr>
          <w:rFonts w:ascii="Times New Roman" w:cs="Times New Roman"/>
        </w:rPr>
        <w:t xml:space="preserve">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毕业生对教师素养的满意度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毕业生对教师教学的改进建议（多选）</w:t>
      </w:r>
    </w:p>
    <w:p>
      <w:pPr>
        <w:pStyle w:val="4"/>
      </w:pPr>
      <w:bookmarkStart w:id="148" w:name="_Toc61594373"/>
      <w:bookmarkStart w:id="149" w:name="_Toc59184373"/>
      <w:r>
        <w:t>（二）实践教学评价</w:t>
      </w:r>
      <w:bookmarkEnd w:id="148"/>
      <w:bookmarkEnd w:id="149"/>
    </w:p>
    <w:p>
      <w:pPr>
        <w:ind w:firstLine="420"/>
      </w:pPr>
      <w:r>
        <w:t>毕业生对实践教学的满意度是94.33%，其中</w:t>
      </w:r>
      <w:r>
        <w:rPr>
          <w:rFonts w:ascii="宋体" w:hAnsi="宋体"/>
        </w:rPr>
        <w:t>“</w:t>
      </w:r>
      <w:r>
        <w:t>非常满意</w:t>
      </w:r>
      <w:r>
        <w:rPr>
          <w:rFonts w:ascii="宋体" w:hAnsi="宋体"/>
        </w:rPr>
        <w:t>”</w:t>
      </w:r>
      <w:r>
        <w:t>占比29.03%，</w:t>
      </w:r>
      <w:r>
        <w:rPr>
          <w:rFonts w:ascii="宋体" w:hAnsi="宋体"/>
        </w:rPr>
        <w:t>“</w:t>
      </w:r>
      <w:r>
        <w:t>比较满意</w:t>
      </w:r>
      <w:r>
        <w:rPr>
          <w:rFonts w:ascii="宋体" w:hAnsi="宋体"/>
        </w:rPr>
        <w:t>”</w:t>
      </w:r>
      <w:r>
        <w:t>占比40.58%，</w:t>
      </w:r>
      <w:r>
        <w:rPr>
          <w:rFonts w:ascii="宋体" w:hAnsi="宋体"/>
        </w:rPr>
        <w:t>“</w:t>
      </w:r>
      <w:r>
        <w:t>一般</w:t>
      </w:r>
      <w:r>
        <w:rPr>
          <w:rFonts w:ascii="宋体" w:hAnsi="宋体"/>
        </w:rPr>
        <w:t>”</w:t>
      </w:r>
      <w:r>
        <w:t>占比24.72%。</w:t>
      </w:r>
    </w:p>
    <w:p>
      <w:pPr>
        <w:ind w:firstLine="420"/>
      </w:pPr>
      <w:r>
        <w:t>毕业生最满意的实践教学环节为</w:t>
      </w:r>
      <w:r>
        <w:rPr>
          <w:rFonts w:ascii="宋体" w:hAnsi="宋体"/>
        </w:rPr>
        <w:t>“</w:t>
      </w:r>
      <w:r>
        <w:t>课程的实践性教学</w:t>
      </w:r>
      <w:r>
        <w:rPr>
          <w:rFonts w:ascii="宋体" w:hAnsi="宋体"/>
        </w:rPr>
        <w:t>”</w:t>
      </w:r>
      <w:r>
        <w:t>（42.78%），其次为</w:t>
      </w:r>
      <w:r>
        <w:rPr>
          <w:rFonts w:ascii="宋体" w:hAnsi="宋体"/>
        </w:rPr>
        <w:t>“</w:t>
      </w:r>
      <w:r>
        <w:t>专业实习、见习</w:t>
      </w:r>
      <w:r>
        <w:rPr>
          <w:rFonts w:ascii="宋体" w:hAnsi="宋体"/>
        </w:rPr>
        <w:t>”</w:t>
      </w:r>
      <w:r>
        <w:t>（22.55%）、</w:t>
      </w:r>
      <w:r>
        <w:rPr>
          <w:rFonts w:ascii="宋体" w:hAnsi="宋体"/>
        </w:rPr>
        <w:t>“</w:t>
      </w:r>
      <w:r>
        <w:t>课程设计</w:t>
      </w:r>
      <w:r>
        <w:rPr>
          <w:rFonts w:ascii="宋体" w:hAnsi="宋体"/>
        </w:rPr>
        <w:t>”</w:t>
      </w:r>
      <w:r>
        <w:t>（14.15%）。</w:t>
      </w:r>
    </w:p>
    <w:p>
      <w:pPr>
        <w:keepNext/>
        <w:ind w:left="-420" w:leftChars="-200" w:right="-420" w:rightChars="-200" w:firstLine="0" w:firstLineChars="0"/>
      </w:pPr>
      <w:r>
        <w:drawing>
          <wp:inline distT="0" distB="0" distL="0" distR="0">
            <wp:extent cx="2308860" cy="2301240"/>
            <wp:effectExtent l="0" t="0" r="0"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t xml:space="preserve"> </w:t>
      </w:r>
      <w:r>
        <w:drawing>
          <wp:inline distT="0" distB="0" distL="0" distR="0">
            <wp:extent cx="3419475" cy="2339975"/>
            <wp:effectExtent l="0" t="0" r="0" b="3175"/>
            <wp:docPr id="85"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56"/>
        <w:spacing w:before="0" w:beforeLines="0"/>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w:t>
      </w:r>
      <w:r>
        <w:rPr>
          <w:rFonts w:ascii="Times New Roman" w:cs="Times New Roman"/>
          <w:szCs w:val="21"/>
        </w:rPr>
        <w:t xml:space="preserve">毕业生对实践教学的满意度 </w:t>
      </w:r>
      <w:r>
        <w:rPr>
          <w:rFonts w:ascii="Times New Roman" w:cs="Times New Roman"/>
        </w:rPr>
        <w:t xml:space="preserve">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w:t>
      </w:r>
      <w:r>
        <w:rPr>
          <w:rFonts w:ascii="Times New Roman" w:cs="Times New Roman"/>
          <w:szCs w:val="21"/>
        </w:rPr>
        <w:t>毕业生最满意的实践教学内容</w:t>
      </w:r>
    </w:p>
    <w:p>
      <w:pPr>
        <w:pStyle w:val="4"/>
      </w:pPr>
      <w:bookmarkStart w:id="150" w:name="_Toc61594374"/>
      <w:bookmarkStart w:id="151" w:name="_Toc59184374"/>
      <w:r>
        <w:t>（三）专业课程设置评价</w:t>
      </w:r>
      <w:bookmarkEnd w:id="150"/>
      <w:bookmarkEnd w:id="151"/>
    </w:p>
    <w:p>
      <w:pPr>
        <w:ind w:firstLine="420"/>
      </w:pPr>
      <w:bookmarkStart w:id="152" w:name="_Hlk59464894"/>
      <w:r>
        <w:t>毕业生对专业课程设置的满意度是94.66%，其中</w:t>
      </w:r>
      <w:r>
        <w:rPr>
          <w:rFonts w:ascii="宋体" w:hAnsi="宋体"/>
        </w:rPr>
        <w:t>“</w:t>
      </w:r>
      <w:r>
        <w:t>非常满意</w:t>
      </w:r>
      <w:r>
        <w:rPr>
          <w:rFonts w:ascii="宋体" w:hAnsi="宋体"/>
        </w:rPr>
        <w:t>”</w:t>
      </w:r>
      <w:r>
        <w:t>占比28.65%，</w:t>
      </w:r>
      <w:r>
        <w:rPr>
          <w:rFonts w:ascii="宋体" w:hAnsi="宋体"/>
        </w:rPr>
        <w:t>“</w:t>
      </w:r>
      <w:r>
        <w:t>比较满意</w:t>
      </w:r>
      <w:r>
        <w:rPr>
          <w:rFonts w:ascii="宋体" w:hAnsi="宋体"/>
        </w:rPr>
        <w:t>”</w:t>
      </w:r>
      <w:r>
        <w:t>占比41.63%，</w:t>
      </w:r>
      <w:r>
        <w:rPr>
          <w:rFonts w:ascii="宋体" w:hAnsi="宋体"/>
        </w:rPr>
        <w:t>“</w:t>
      </w:r>
      <w:r>
        <w:t>一般</w:t>
      </w:r>
      <w:r>
        <w:rPr>
          <w:rFonts w:ascii="宋体" w:hAnsi="宋体"/>
        </w:rPr>
        <w:t>”</w:t>
      </w:r>
      <w:r>
        <w:t>占比24.38%。</w:t>
      </w:r>
    </w:p>
    <w:bookmarkEnd w:id="152"/>
    <w:p>
      <w:pPr>
        <w:ind w:firstLine="420"/>
      </w:pPr>
      <w:r>
        <w:t>毕业生认为专业课程设置</w:t>
      </w:r>
      <w:r>
        <w:rPr>
          <w:rFonts w:hint="eastAsia"/>
        </w:rPr>
        <w:t>最</w:t>
      </w:r>
      <w:r>
        <w:t>需要改进的方面为</w:t>
      </w:r>
      <w:r>
        <w:rPr>
          <w:rFonts w:ascii="宋体" w:hAnsi="宋体"/>
        </w:rPr>
        <w:t>“</w:t>
      </w:r>
      <w:r>
        <w:t>本专业课程的实用性</w:t>
      </w:r>
      <w:r>
        <w:rPr>
          <w:rFonts w:ascii="宋体" w:hAnsi="宋体"/>
        </w:rPr>
        <w:t>”</w:t>
      </w:r>
      <w:r>
        <w:t>（70.05%），其次为</w:t>
      </w:r>
      <w:r>
        <w:rPr>
          <w:rFonts w:ascii="宋体" w:hAnsi="宋体"/>
        </w:rPr>
        <w:t>“</w:t>
      </w:r>
      <w:r>
        <w:t>专业课开设的先后顺序</w:t>
      </w:r>
      <w:r>
        <w:rPr>
          <w:rFonts w:ascii="宋体" w:hAnsi="宋体"/>
        </w:rPr>
        <w:t>”</w:t>
      </w:r>
      <w:r>
        <w:t>（47.32%）、</w:t>
      </w:r>
      <w:r>
        <w:rPr>
          <w:rFonts w:ascii="宋体" w:hAnsi="宋体"/>
        </w:rPr>
        <w:t>“</w:t>
      </w:r>
      <w:r>
        <w:t>实践课程安排次数</w:t>
      </w:r>
      <w:r>
        <w:rPr>
          <w:rFonts w:ascii="宋体" w:hAnsi="宋体"/>
        </w:rPr>
        <w:t>”</w:t>
      </w:r>
      <w:r>
        <w:t>（45.33%）。</w:t>
      </w:r>
    </w:p>
    <w:p>
      <w:pPr>
        <w:keepNext/>
        <w:ind w:left="-420" w:leftChars="-200" w:right="-420" w:rightChars="-200" w:firstLine="0" w:firstLineChars="0"/>
      </w:pPr>
      <w:r>
        <w:drawing>
          <wp:inline distT="0" distB="0" distL="0" distR="0">
            <wp:extent cx="2339975" cy="2339975"/>
            <wp:effectExtent l="0" t="0" r="0" b="0"/>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t xml:space="preserve"> </w:t>
      </w:r>
      <w:r>
        <w:drawing>
          <wp:inline distT="0" distB="0" distL="0" distR="0">
            <wp:extent cx="3239770" cy="2339975"/>
            <wp:effectExtent l="0" t="0" r="0" b="3175"/>
            <wp:docPr id="87"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毕业生对专业课程设置满意度             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毕业生认为专业课程亟需改进的方面（多选）</w:t>
      </w:r>
    </w:p>
    <w:p>
      <w:pPr>
        <w:pStyle w:val="56"/>
        <w:rPr>
          <w:rFonts w:ascii="Times New Roman" w:cs="Times New Roman"/>
        </w:rPr>
      </w:pPr>
    </w:p>
    <w:p>
      <w:pPr>
        <w:pStyle w:val="3"/>
        <w:numPr>
          <w:ilvl w:val="0"/>
          <w:numId w:val="0"/>
        </w:numPr>
        <w:rPr>
          <w:rFonts w:cs="Times New Roman"/>
        </w:rPr>
      </w:pPr>
      <w:bookmarkStart w:id="153" w:name="_Toc59184375"/>
      <w:bookmarkStart w:id="154" w:name="_Toc61594375"/>
      <w:r>
        <w:rPr>
          <w:rFonts w:cs="Times New Roman"/>
        </w:rPr>
        <w:t>三、毕业生对就业创业指导与服务的评价</w:t>
      </w:r>
      <w:bookmarkEnd w:id="153"/>
      <w:bookmarkEnd w:id="154"/>
    </w:p>
    <w:p>
      <w:pPr>
        <w:pStyle w:val="4"/>
      </w:pPr>
      <w:bookmarkStart w:id="155" w:name="_Toc59184376"/>
      <w:bookmarkStart w:id="156" w:name="_Toc61594376"/>
      <w:r>
        <w:t>（一）毕业生对就业指导与服务的满意度</w:t>
      </w:r>
      <w:bookmarkEnd w:id="155"/>
      <w:bookmarkEnd w:id="156"/>
    </w:p>
    <w:p>
      <w:pPr>
        <w:ind w:firstLine="420"/>
        <w:rPr>
          <w:szCs w:val="21"/>
        </w:rPr>
      </w:pPr>
      <w:r>
        <w:rPr>
          <w:szCs w:val="21"/>
        </w:rPr>
        <w:t>毕业生对就业创业指导与服务的总体满意度是96.05%，其中</w:t>
      </w:r>
      <w:r>
        <w:rPr>
          <w:rFonts w:ascii="宋体" w:hAnsi="宋体"/>
          <w:szCs w:val="21"/>
        </w:rPr>
        <w:t>“</w:t>
      </w:r>
      <w:r>
        <w:rPr>
          <w:szCs w:val="21"/>
        </w:rPr>
        <w:t>非常满意</w:t>
      </w:r>
      <w:r>
        <w:rPr>
          <w:rFonts w:ascii="宋体" w:hAnsi="宋体"/>
          <w:szCs w:val="21"/>
        </w:rPr>
        <w:t>”</w:t>
      </w:r>
      <w:r>
        <w:rPr>
          <w:szCs w:val="21"/>
        </w:rPr>
        <w:t>占比28.99%，</w:t>
      </w:r>
      <w:r>
        <w:rPr>
          <w:rFonts w:ascii="宋体" w:hAnsi="宋体"/>
          <w:szCs w:val="21"/>
        </w:rPr>
        <w:t>“</w:t>
      </w:r>
      <w:r>
        <w:rPr>
          <w:szCs w:val="21"/>
        </w:rPr>
        <w:t>比较满意</w:t>
      </w:r>
      <w:r>
        <w:rPr>
          <w:rFonts w:ascii="宋体" w:hAnsi="宋体"/>
          <w:szCs w:val="21"/>
        </w:rPr>
        <w:t>”</w:t>
      </w:r>
      <w:r>
        <w:rPr>
          <w:szCs w:val="21"/>
        </w:rPr>
        <w:t>占比41.63%，</w:t>
      </w:r>
      <w:r>
        <w:rPr>
          <w:rFonts w:ascii="宋体" w:hAnsi="宋体"/>
          <w:szCs w:val="21"/>
        </w:rPr>
        <w:t>“</w:t>
      </w:r>
      <w:r>
        <w:rPr>
          <w:szCs w:val="21"/>
        </w:rPr>
        <w:t>一般</w:t>
      </w:r>
      <w:r>
        <w:rPr>
          <w:rFonts w:ascii="宋体" w:hAnsi="宋体"/>
          <w:szCs w:val="21"/>
        </w:rPr>
        <w:t>”</w:t>
      </w:r>
      <w:r>
        <w:rPr>
          <w:szCs w:val="21"/>
        </w:rPr>
        <w:t>占比25.43%。</w:t>
      </w:r>
    </w:p>
    <w:p>
      <w:pPr>
        <w:keepNext/>
        <w:ind w:firstLine="0" w:firstLineChars="0"/>
        <w:jc w:val="center"/>
      </w:pPr>
      <w:r>
        <w:drawing>
          <wp:inline distT="0" distB="0" distL="0" distR="0">
            <wp:extent cx="4679950" cy="2339975"/>
            <wp:effectExtent l="0" t="0" r="6350" b="3175"/>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w:t>
      </w:r>
      <w:r>
        <w:rPr>
          <w:rFonts w:ascii="Times New Roman" w:cs="Times New Roman"/>
          <w:szCs w:val="21"/>
        </w:rPr>
        <w:t>毕业生对就创业指导与服务的总体满意度</w:t>
      </w:r>
    </w:p>
    <w:p>
      <w:pPr>
        <w:pStyle w:val="4"/>
      </w:pPr>
      <w:bookmarkStart w:id="157" w:name="_Toc59184377"/>
      <w:bookmarkStart w:id="158" w:name="_Toc61594377"/>
      <w:r>
        <w:t>（二）毕业生对各项就业指导与服务的评分</w:t>
      </w:r>
      <w:bookmarkEnd w:id="157"/>
      <w:bookmarkEnd w:id="158"/>
    </w:p>
    <w:p>
      <w:pPr>
        <w:ind w:firstLine="420"/>
      </w:pPr>
      <w:r>
        <w:t>在毕业生对下列各项就业指导与服务的评分中，得分较高的为</w:t>
      </w:r>
      <w:r>
        <w:rPr>
          <w:rFonts w:ascii="宋体" w:hAnsi="宋体"/>
        </w:rPr>
        <w:t>“</w:t>
      </w:r>
      <w:r>
        <w:t>就业信息提供与发布</w:t>
      </w:r>
      <w:r>
        <w:rPr>
          <w:rFonts w:ascii="宋体" w:hAnsi="宋体"/>
        </w:rPr>
        <w:t>”</w:t>
      </w:r>
      <w:r>
        <w:t>，得分为4.19分；其次为</w:t>
      </w:r>
      <w:r>
        <w:rPr>
          <w:rFonts w:ascii="宋体" w:hAnsi="宋体"/>
        </w:rPr>
        <w:t>“</w:t>
      </w:r>
      <w:r>
        <w:t>创业咨询与实践指导</w:t>
      </w:r>
      <w:r>
        <w:rPr>
          <w:rFonts w:ascii="宋体" w:hAnsi="宋体"/>
        </w:rPr>
        <w:t>”</w:t>
      </w:r>
      <w:r>
        <w:t>（4.12分）、</w:t>
      </w:r>
      <w:r>
        <w:rPr>
          <w:rFonts w:ascii="宋体" w:hAnsi="宋体"/>
        </w:rPr>
        <w:t>“</w:t>
      </w:r>
      <w:r>
        <w:t>职业咨询/辅导</w:t>
      </w:r>
      <w:r>
        <w:rPr>
          <w:rFonts w:ascii="宋体" w:hAnsi="宋体"/>
        </w:rPr>
        <w:t>”</w:t>
      </w:r>
      <w:r>
        <w:t>（4.04分）；</w:t>
      </w:r>
      <w:bookmarkStart w:id="159" w:name="_Hlk59466443"/>
      <w:r>
        <w:t>得分较低的为</w:t>
      </w:r>
      <w:r>
        <w:rPr>
          <w:rFonts w:ascii="宋体" w:hAnsi="宋体"/>
        </w:rPr>
        <w:t>“</w:t>
      </w:r>
      <w:r>
        <w:t>就业政策宣传与讲解</w:t>
      </w:r>
      <w:r>
        <w:rPr>
          <w:rFonts w:ascii="宋体" w:hAnsi="宋体"/>
        </w:rPr>
        <w:t>”</w:t>
      </w:r>
      <w:r>
        <w:t>（3.90分）、</w:t>
      </w:r>
      <w:r>
        <w:rPr>
          <w:rFonts w:ascii="宋体" w:hAnsi="宋体"/>
        </w:rPr>
        <w:t>“</w:t>
      </w:r>
      <w:r>
        <w:t>就业/创业指导课</w:t>
      </w:r>
      <w:r>
        <w:rPr>
          <w:rFonts w:hint="eastAsia"/>
        </w:rPr>
        <w:t>”</w:t>
      </w:r>
      <w:r>
        <w:t>（3.97分）</w:t>
      </w:r>
      <w:bookmarkEnd w:id="159"/>
      <w:r>
        <w:t>等。</w:t>
      </w:r>
    </w:p>
    <w:p>
      <w:pPr>
        <w:keepNext/>
        <w:ind w:firstLine="0" w:firstLineChars="0"/>
        <w:jc w:val="center"/>
      </w:pPr>
      <w:r>
        <w:drawing>
          <wp:inline distT="0" distB="0" distL="0" distR="0">
            <wp:extent cx="5274310" cy="2637155"/>
            <wp:effectExtent l="0" t="0" r="2540" b="0"/>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56"/>
        <w:rPr>
          <w:rFonts w:ascii="Times New Roman" w:cs="Times New Roman"/>
        </w:rPr>
      </w:pPr>
      <w:r>
        <w:rPr>
          <w:rFonts w:ascii="Times New Roman" w:cs="Times New Roman"/>
        </w:rPr>
        <w:t>图5-</w:t>
      </w:r>
      <w:r>
        <w:rPr>
          <w:rFonts w:ascii="Times New Roman" w:cs="Times New Roman"/>
        </w:rPr>
        <w:fldChar w:fldCharType="begin"/>
      </w:r>
      <w:r>
        <w:rPr>
          <w:rFonts w:ascii="Times New Roman" w:cs="Times New Roman"/>
        </w:rPr>
        <w:instrText xml:space="preserve"> SEQ 图5-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毕业生对各项就业指导与服务的评分</w:t>
      </w:r>
    </w:p>
    <w:p>
      <w:pPr>
        <w:spacing w:line="240" w:lineRule="auto"/>
        <w:ind w:firstLine="0" w:firstLineChars="0"/>
        <w:jc w:val="left"/>
      </w:pPr>
      <w:r>
        <w:br w:type="page"/>
      </w:r>
    </w:p>
    <w:p>
      <w:pPr>
        <w:pStyle w:val="2"/>
      </w:pPr>
      <w:bookmarkStart w:id="160" w:name="_Toc61594378"/>
      <w:r>
        <w:t>第六章 社会评价</w:t>
      </w:r>
      <w:bookmarkEnd w:id="160"/>
    </w:p>
    <w:p>
      <w:pPr>
        <w:pStyle w:val="3"/>
        <w:numPr>
          <w:ilvl w:val="0"/>
          <w:numId w:val="0"/>
        </w:numPr>
        <w:rPr>
          <w:rFonts w:cs="Times New Roman"/>
        </w:rPr>
      </w:pPr>
      <w:bookmarkStart w:id="161" w:name="_Toc59184379"/>
      <w:bookmarkStart w:id="162" w:name="_Toc61594379"/>
      <w:r>
        <w:rPr>
          <w:rFonts w:cs="Times New Roman"/>
        </w:rPr>
        <w:t>一、用人单位基本情况</w:t>
      </w:r>
      <w:bookmarkEnd w:id="161"/>
      <w:bookmarkEnd w:id="162"/>
    </w:p>
    <w:p>
      <w:pPr>
        <w:pStyle w:val="4"/>
      </w:pPr>
      <w:bookmarkStart w:id="163" w:name="_Toc501475940"/>
      <w:bookmarkStart w:id="164" w:name="_Toc501478305"/>
      <w:bookmarkStart w:id="165" w:name="_Toc501476121"/>
      <w:bookmarkStart w:id="166" w:name="_Toc501477713"/>
      <w:bookmarkStart w:id="167" w:name="_Toc501476302"/>
      <w:bookmarkStart w:id="168" w:name="_Toc61594380"/>
      <w:bookmarkStart w:id="169" w:name="_Toc59184380"/>
      <w:r>
        <w:rPr>
          <w:rFonts w:hint="eastAsia"/>
        </w:rPr>
        <w:t>（一）</w:t>
      </w:r>
      <w:r>
        <w:t>用人单位规模</w:t>
      </w:r>
      <w:bookmarkEnd w:id="163"/>
      <w:bookmarkEnd w:id="164"/>
      <w:bookmarkEnd w:id="165"/>
      <w:bookmarkEnd w:id="166"/>
      <w:bookmarkEnd w:id="167"/>
      <w:r>
        <w:t>分布</w:t>
      </w:r>
      <w:bookmarkEnd w:id="168"/>
      <w:bookmarkEnd w:id="169"/>
    </w:p>
    <w:p>
      <w:pPr>
        <w:ind w:firstLine="420"/>
      </w:pPr>
      <w:r>
        <w:t>调研样本中的用人单位以中小型企事业单位为主，其中规模在</w:t>
      </w:r>
      <w:r>
        <w:rPr>
          <w:rFonts w:ascii="宋体" w:hAnsi="宋体"/>
        </w:rPr>
        <w:t>“</w:t>
      </w:r>
      <w:r>
        <w:t>50-150人</w:t>
      </w:r>
      <w:r>
        <w:rPr>
          <w:rFonts w:ascii="宋体" w:hAnsi="宋体"/>
        </w:rPr>
        <w:t>”</w:t>
      </w:r>
      <w:r>
        <w:t>的单位数量最多，占比为22.63%。其次为</w:t>
      </w:r>
      <w:r>
        <w:rPr>
          <w:rFonts w:ascii="宋体" w:hAnsi="宋体"/>
        </w:rPr>
        <w:t>“</w:t>
      </w:r>
      <w:r>
        <w:t>151-500人</w:t>
      </w:r>
      <w:r>
        <w:rPr>
          <w:rFonts w:ascii="宋体" w:hAnsi="宋体"/>
        </w:rPr>
        <w:t>”</w:t>
      </w:r>
      <w:r>
        <w:t>，占比21.81%。</w:t>
      </w:r>
    </w:p>
    <w:p>
      <w:pPr>
        <w:keepNext/>
        <w:ind w:firstLine="0" w:firstLineChars="0"/>
        <w:jc w:val="center"/>
      </w:pPr>
      <w:r>
        <w:drawing>
          <wp:inline distT="0" distB="0" distL="0" distR="0">
            <wp:extent cx="5062855" cy="2552065"/>
            <wp:effectExtent l="0" t="0" r="4445" b="635"/>
            <wp:docPr id="234" name="图表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用人单位规模分布</w:t>
      </w:r>
    </w:p>
    <w:p>
      <w:pPr>
        <w:pStyle w:val="4"/>
      </w:pPr>
      <w:bookmarkStart w:id="170" w:name="_Toc501476122"/>
      <w:bookmarkStart w:id="171" w:name="_Toc501477714"/>
      <w:bookmarkStart w:id="172" w:name="_Toc501476303"/>
      <w:bookmarkStart w:id="173" w:name="_Toc501478306"/>
      <w:bookmarkStart w:id="174" w:name="_Toc501475941"/>
      <w:bookmarkStart w:id="175" w:name="_Toc61594381"/>
      <w:bookmarkStart w:id="176" w:name="_Toc59184381"/>
      <w:r>
        <w:rPr>
          <w:rFonts w:hint="eastAsia"/>
        </w:rPr>
        <w:t>（二）</w:t>
      </w:r>
      <w:r>
        <w:t>用人单位性质</w:t>
      </w:r>
      <w:bookmarkEnd w:id="170"/>
      <w:bookmarkEnd w:id="171"/>
      <w:bookmarkEnd w:id="172"/>
      <w:bookmarkEnd w:id="173"/>
      <w:bookmarkEnd w:id="174"/>
      <w:r>
        <w:t>分布</w:t>
      </w:r>
      <w:bookmarkEnd w:id="175"/>
      <w:bookmarkEnd w:id="176"/>
    </w:p>
    <w:p>
      <w:pPr>
        <w:ind w:firstLine="420"/>
      </w:pPr>
      <w:r>
        <w:t>调研样本中的用人单位性质为</w:t>
      </w:r>
      <w:r>
        <w:rPr>
          <w:rFonts w:ascii="宋体" w:hAnsi="宋体"/>
        </w:rPr>
        <w:t>“</w:t>
      </w:r>
      <w:r>
        <w:t>民营企业</w:t>
      </w:r>
      <w:r>
        <w:rPr>
          <w:rFonts w:ascii="宋体" w:hAnsi="宋体"/>
        </w:rPr>
        <w:t>”</w:t>
      </w:r>
      <w:r>
        <w:t>的最多（68.72%）。其次为</w:t>
      </w:r>
      <w:r>
        <w:rPr>
          <w:rFonts w:ascii="宋体" w:hAnsi="宋体"/>
        </w:rPr>
        <w:t>“</w:t>
      </w:r>
      <w:r>
        <w:t>国有企业</w:t>
      </w:r>
      <w:r>
        <w:rPr>
          <w:rFonts w:ascii="宋体" w:hAnsi="宋体"/>
        </w:rPr>
        <w:t>”</w:t>
      </w:r>
      <w:r>
        <w:t>（10.29%）、</w:t>
      </w:r>
      <w:r>
        <w:rPr>
          <w:rFonts w:ascii="宋体" w:hAnsi="宋体"/>
        </w:rPr>
        <w:t>“</w:t>
      </w:r>
      <w:r>
        <w:t>股份制企业</w:t>
      </w:r>
      <w:r>
        <w:rPr>
          <w:rFonts w:ascii="宋体" w:hAnsi="宋体"/>
        </w:rPr>
        <w:t>”</w:t>
      </w:r>
      <w:r>
        <w:t>（7.82%）。</w:t>
      </w:r>
    </w:p>
    <w:p>
      <w:pPr>
        <w:pStyle w:val="62"/>
        <w:keepNext/>
        <w:ind w:firstLine="0" w:firstLineChars="0"/>
        <w:jc w:val="center"/>
      </w:pPr>
      <w:r>
        <w:drawing>
          <wp:inline distT="0" distB="0" distL="0" distR="0">
            <wp:extent cx="5048250" cy="2543175"/>
            <wp:effectExtent l="0" t="0" r="0" b="0"/>
            <wp:docPr id="233" name="图表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用人单位性质分布</w:t>
      </w:r>
    </w:p>
    <w:p>
      <w:pPr>
        <w:pStyle w:val="4"/>
      </w:pPr>
      <w:bookmarkStart w:id="177" w:name="_Toc61594382"/>
      <w:bookmarkStart w:id="178" w:name="_Toc59184382"/>
      <w:r>
        <w:rPr>
          <w:rFonts w:hint="eastAsia"/>
        </w:rPr>
        <w:t>（三）</w:t>
      </w:r>
      <w:r>
        <w:t>用人单位行业分布</w:t>
      </w:r>
      <w:bookmarkEnd w:id="177"/>
      <w:bookmarkEnd w:id="178"/>
    </w:p>
    <w:p>
      <w:pPr>
        <w:ind w:firstLine="420"/>
      </w:pPr>
      <w:r>
        <w:t>调研样本中的用人单位</w:t>
      </w:r>
      <w:r>
        <w:rPr>
          <w:rFonts w:ascii="宋体" w:hAnsi="宋体"/>
        </w:rPr>
        <w:t>“</w:t>
      </w:r>
      <w:r>
        <w:t>制造业</w:t>
      </w:r>
      <w:r>
        <w:rPr>
          <w:rFonts w:ascii="宋体" w:hAnsi="宋体"/>
        </w:rPr>
        <w:t>”</w:t>
      </w:r>
      <w:r>
        <w:t>行业的最多（25.10%），其次为</w:t>
      </w:r>
      <w:r>
        <w:rPr>
          <w:rFonts w:ascii="宋体" w:hAnsi="宋体"/>
        </w:rPr>
        <w:t>“</w:t>
      </w:r>
      <w:r>
        <w:t>教育</w:t>
      </w:r>
      <w:r>
        <w:rPr>
          <w:rFonts w:ascii="宋体" w:hAnsi="宋体"/>
        </w:rPr>
        <w:t>”</w:t>
      </w:r>
      <w:r>
        <w:t>（21.81%）、</w:t>
      </w:r>
      <w:r>
        <w:rPr>
          <w:rFonts w:ascii="宋体" w:hAnsi="宋体"/>
        </w:rPr>
        <w:t>“</w:t>
      </w:r>
      <w:r>
        <w:t>信息传输，软件和信息技术服务业</w:t>
      </w:r>
      <w:r>
        <w:rPr>
          <w:rFonts w:ascii="宋体" w:hAnsi="宋体"/>
        </w:rPr>
        <w:t>”</w:t>
      </w:r>
      <w:r>
        <w:t>（9.88%）。</w:t>
      </w:r>
    </w:p>
    <w:p>
      <w:pPr>
        <w:keepNext/>
        <w:ind w:firstLine="424" w:firstLineChars="202"/>
        <w:jc w:val="center"/>
      </w:pPr>
      <w:r>
        <w:drawing>
          <wp:inline distT="0" distB="0" distL="0" distR="0">
            <wp:extent cx="5039995" cy="5039995"/>
            <wp:effectExtent l="0" t="0" r="8255" b="8255"/>
            <wp:docPr id="235" name="图表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用人单位行业分布</w:t>
      </w:r>
    </w:p>
    <w:p>
      <w:pPr>
        <w:pStyle w:val="56"/>
        <w:rPr>
          <w:rFonts w:ascii="Times New Roman" w:cs="Times New Roman"/>
        </w:rPr>
      </w:pPr>
    </w:p>
    <w:p>
      <w:pPr>
        <w:pStyle w:val="4"/>
      </w:pPr>
      <w:bookmarkStart w:id="179" w:name="_Toc59184383"/>
      <w:bookmarkStart w:id="180" w:name="_Toc61594383"/>
      <w:r>
        <w:rPr>
          <w:rFonts w:hint="eastAsia"/>
        </w:rPr>
        <w:t>（四）</w:t>
      </w:r>
      <w:r>
        <w:t>用人单位地域分布</w:t>
      </w:r>
      <w:bookmarkEnd w:id="179"/>
      <w:bookmarkEnd w:id="180"/>
    </w:p>
    <w:p>
      <w:pPr>
        <w:ind w:firstLine="420"/>
      </w:pPr>
      <w:r>
        <w:t>调研样本中的用人单位</w:t>
      </w:r>
      <w:r>
        <w:rPr>
          <w:rFonts w:ascii="宋体" w:hAnsi="宋体"/>
        </w:rPr>
        <w:t>“</w:t>
      </w:r>
      <w:r>
        <w:t>珠三角区域</w:t>
      </w:r>
      <w:r>
        <w:rPr>
          <w:rFonts w:ascii="宋体" w:hAnsi="宋体"/>
        </w:rPr>
        <w:t>”</w:t>
      </w:r>
      <w:r>
        <w:t>最多（27.16%），其次为</w:t>
      </w:r>
      <w:r>
        <w:rPr>
          <w:rFonts w:ascii="宋体" w:hAnsi="宋体"/>
        </w:rPr>
        <w:t>“</w:t>
      </w:r>
      <w:r>
        <w:t>长沙市</w:t>
      </w:r>
      <w:r>
        <w:rPr>
          <w:rFonts w:ascii="宋体" w:hAnsi="宋体"/>
        </w:rPr>
        <w:t>”</w:t>
      </w:r>
      <w:r>
        <w:t xml:space="preserve">（19.75%）， </w:t>
      </w:r>
      <w:r>
        <w:rPr>
          <w:rFonts w:ascii="宋体" w:hAnsi="宋体"/>
        </w:rPr>
        <w:t>“</w:t>
      </w:r>
      <w:r>
        <w:t>长三角区域</w:t>
      </w:r>
      <w:r>
        <w:rPr>
          <w:rFonts w:ascii="宋体" w:hAnsi="宋体"/>
        </w:rPr>
        <w:t>”</w:t>
      </w:r>
      <w:r>
        <w:t>（16.05%）。</w:t>
      </w:r>
    </w:p>
    <w:p>
      <w:pPr>
        <w:ind w:firstLine="420" w:firstLineChars="0"/>
      </w:pPr>
      <w:r>
        <w:drawing>
          <wp:inline distT="0" distB="0" distL="0" distR="0">
            <wp:extent cx="4885690" cy="3111500"/>
            <wp:effectExtent l="0" t="0" r="0" b="0"/>
            <wp:docPr id="242" name="图表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用人单位地域分布</w:t>
      </w:r>
    </w:p>
    <w:p>
      <w:pPr>
        <w:pStyle w:val="3"/>
        <w:numPr>
          <w:ilvl w:val="0"/>
          <w:numId w:val="0"/>
        </w:numPr>
        <w:rPr>
          <w:rFonts w:cs="Times New Roman"/>
        </w:rPr>
      </w:pPr>
      <w:bookmarkStart w:id="181" w:name="_Toc27239661"/>
      <w:bookmarkStart w:id="182" w:name="_Toc59184384"/>
      <w:bookmarkStart w:id="183" w:name="_Toc61594384"/>
      <w:bookmarkStart w:id="184" w:name="_Toc534545866"/>
      <w:r>
        <w:rPr>
          <w:rFonts w:cs="Times New Roman"/>
        </w:rPr>
        <w:t>二、用人单位招聘分析</w:t>
      </w:r>
      <w:bookmarkEnd w:id="181"/>
      <w:bookmarkEnd w:id="182"/>
      <w:bookmarkEnd w:id="183"/>
    </w:p>
    <w:p>
      <w:pPr>
        <w:pStyle w:val="4"/>
      </w:pPr>
      <w:bookmarkStart w:id="185" w:name="_Toc59184385"/>
      <w:bookmarkStart w:id="186" w:name="_Toc61594385"/>
      <w:r>
        <w:rPr>
          <w:rFonts w:hint="eastAsia"/>
        </w:rPr>
        <w:t>（一）</w:t>
      </w:r>
      <w:r>
        <w:t>招聘渠道</w:t>
      </w:r>
      <w:bookmarkEnd w:id="185"/>
      <w:bookmarkEnd w:id="186"/>
    </w:p>
    <w:p>
      <w:pPr>
        <w:ind w:firstLine="420"/>
      </w:pPr>
      <w:r>
        <w:t>调研样本中的用人单位最主要的招聘渠道为</w:t>
      </w:r>
      <w:r>
        <w:rPr>
          <w:rFonts w:ascii="宋体" w:hAnsi="宋体"/>
        </w:rPr>
        <w:t>“</w:t>
      </w:r>
      <w:r>
        <w:t>校园招聘</w:t>
      </w:r>
      <w:r>
        <w:rPr>
          <w:rFonts w:ascii="宋体" w:hAnsi="宋体"/>
        </w:rPr>
        <w:t>”</w:t>
      </w:r>
      <w:r>
        <w:t>，占比67.24%。</w:t>
      </w:r>
    </w:p>
    <w:p>
      <w:pPr>
        <w:keepNext/>
        <w:ind w:firstLine="0" w:firstLineChars="0"/>
        <w:jc w:val="center"/>
      </w:pPr>
      <w:r>
        <w:drawing>
          <wp:inline distT="0" distB="0" distL="0" distR="0">
            <wp:extent cx="4653280" cy="3015615"/>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t xml:space="preserve"> 用人单位主要招聘渠道</w:t>
      </w:r>
    </w:p>
    <w:p>
      <w:pPr>
        <w:pStyle w:val="4"/>
      </w:pPr>
      <w:bookmarkStart w:id="187" w:name="_Toc61594386"/>
      <w:bookmarkStart w:id="188" w:name="_Toc59184386"/>
      <w:r>
        <w:rPr>
          <w:rFonts w:hint="eastAsia"/>
        </w:rPr>
        <w:t>（二）</w:t>
      </w:r>
      <w:r>
        <w:t>招聘时最看重毕业生的因素</w:t>
      </w:r>
      <w:bookmarkEnd w:id="187"/>
      <w:bookmarkEnd w:id="188"/>
    </w:p>
    <w:p>
      <w:pPr>
        <w:ind w:firstLine="420"/>
      </w:pPr>
      <w:r>
        <w:t>调研样本中的用人单位认为，招聘学校毕业生时最看重的是</w:t>
      </w:r>
      <w:r>
        <w:rPr>
          <w:rFonts w:ascii="宋体" w:hAnsi="宋体"/>
        </w:rPr>
        <w:t>“</w:t>
      </w:r>
      <w:r>
        <w:t>综合素质</w:t>
      </w:r>
      <w:r>
        <w:rPr>
          <w:rFonts w:ascii="宋体" w:hAnsi="宋体"/>
        </w:rPr>
        <w:t>”</w:t>
      </w:r>
      <w:r>
        <w:t>（</w:t>
      </w:r>
      <w:bookmarkStart w:id="189" w:name="_Hlk59465588"/>
      <w:r>
        <w:t>53.09%</w:t>
      </w:r>
      <w:bookmarkEnd w:id="189"/>
      <w:r>
        <w:t>），其次为</w:t>
      </w:r>
      <w:r>
        <w:rPr>
          <w:rFonts w:ascii="宋体" w:hAnsi="宋体"/>
        </w:rPr>
        <w:t>“</w:t>
      </w:r>
      <w:r>
        <w:t>社会适应能力</w:t>
      </w:r>
      <w:r>
        <w:rPr>
          <w:rFonts w:ascii="宋体" w:hAnsi="宋体"/>
        </w:rPr>
        <w:t>”</w:t>
      </w:r>
      <w:r>
        <w:t>（</w:t>
      </w:r>
      <w:bookmarkStart w:id="190" w:name="_Hlk59465679"/>
      <w:r>
        <w:t>40.74%</w:t>
      </w:r>
      <w:bookmarkEnd w:id="190"/>
      <w:r>
        <w:t>）、</w:t>
      </w:r>
      <w:r>
        <w:rPr>
          <w:rFonts w:ascii="宋体" w:hAnsi="宋体"/>
        </w:rPr>
        <w:t>“</w:t>
      </w:r>
      <w:r>
        <w:t>所学专业</w:t>
      </w:r>
      <w:r>
        <w:rPr>
          <w:rFonts w:ascii="宋体" w:hAnsi="宋体"/>
        </w:rPr>
        <w:t>”</w:t>
      </w:r>
      <w:r>
        <w:t>（32.10%）。</w:t>
      </w:r>
    </w:p>
    <w:p>
      <w:pPr>
        <w:keepNext/>
        <w:ind w:firstLine="420" w:firstLineChars="0"/>
        <w:jc w:val="center"/>
      </w:pPr>
      <w:r>
        <w:drawing>
          <wp:inline distT="0" distB="0" distL="0" distR="0">
            <wp:extent cx="4694555" cy="31115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用人单位招聘时最看重毕业生的因素（多选）</w:t>
      </w:r>
    </w:p>
    <w:p>
      <w:pPr>
        <w:pStyle w:val="4"/>
      </w:pPr>
      <w:bookmarkStart w:id="191" w:name="_Toc59184387"/>
      <w:bookmarkStart w:id="192" w:name="_Toc61594387"/>
      <w:r>
        <w:rPr>
          <w:rFonts w:hint="eastAsia"/>
        </w:rPr>
        <w:t>（三）</w:t>
      </w:r>
      <w:r>
        <w:t>用人单位招聘时对专业对口的关注度</w:t>
      </w:r>
      <w:bookmarkEnd w:id="191"/>
      <w:bookmarkEnd w:id="192"/>
    </w:p>
    <w:p>
      <w:pPr>
        <w:ind w:firstLine="420"/>
      </w:pPr>
      <w:r>
        <w:t>调研样本中的用人单位对毕业生所学专业的关注度为78.73%，其中对专业对口</w:t>
      </w:r>
      <w:r>
        <w:rPr>
          <w:rFonts w:ascii="宋体" w:hAnsi="宋体"/>
        </w:rPr>
        <w:t>“</w:t>
      </w:r>
      <w:r>
        <w:t>非常关注</w:t>
      </w:r>
      <w:r>
        <w:rPr>
          <w:rFonts w:ascii="宋体" w:hAnsi="宋体"/>
        </w:rPr>
        <w:t>”</w:t>
      </w:r>
      <w:r>
        <w:t>占比20.11%，</w:t>
      </w:r>
      <w:r>
        <w:rPr>
          <w:rFonts w:ascii="宋体" w:hAnsi="宋体"/>
        </w:rPr>
        <w:t>“</w:t>
      </w:r>
      <w:r>
        <w:t>比较关注</w:t>
      </w:r>
      <w:r>
        <w:rPr>
          <w:rFonts w:ascii="宋体" w:hAnsi="宋体"/>
        </w:rPr>
        <w:t>”</w:t>
      </w:r>
      <w:r>
        <w:t>占比30.46%，</w:t>
      </w:r>
      <w:r>
        <w:rPr>
          <w:rFonts w:ascii="宋体" w:hAnsi="宋体"/>
        </w:rPr>
        <w:t>“</w:t>
      </w:r>
      <w:r>
        <w:t>一般</w:t>
      </w:r>
      <w:r>
        <w:rPr>
          <w:rFonts w:ascii="宋体" w:hAnsi="宋体"/>
        </w:rPr>
        <w:t>”</w:t>
      </w:r>
      <w:r>
        <w:t>占比28.16%。</w:t>
      </w:r>
    </w:p>
    <w:p>
      <w:pPr>
        <w:keepNext/>
        <w:ind w:firstLine="0" w:firstLineChars="0"/>
        <w:jc w:val="center"/>
      </w:pPr>
      <w:r>
        <w:drawing>
          <wp:inline distT="0" distB="0" distL="0" distR="0">
            <wp:extent cx="4678680" cy="2339975"/>
            <wp:effectExtent l="0" t="0" r="7620" b="3175"/>
            <wp:docPr id="232" name="图表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t xml:space="preserve"> 用人单位对毕业生所学专业的关注度</w:t>
      </w:r>
    </w:p>
    <w:p>
      <w:pPr>
        <w:pStyle w:val="4"/>
      </w:pPr>
      <w:bookmarkStart w:id="193" w:name="_Toc59184388"/>
      <w:bookmarkStart w:id="194" w:name="_Toc61594388"/>
      <w:r>
        <w:rPr>
          <w:rFonts w:hint="eastAsia"/>
        </w:rPr>
        <w:t>（四）</w:t>
      </w:r>
      <w:r>
        <w:t>用人单位需求专业</w:t>
      </w:r>
      <w:bookmarkEnd w:id="193"/>
      <w:bookmarkEnd w:id="194"/>
    </w:p>
    <w:p>
      <w:pPr>
        <w:ind w:firstLine="420"/>
        <w:rPr>
          <w:b/>
        </w:rPr>
      </w:pPr>
      <w:r>
        <w:t>调研样本中的用人单位，需求量排名靠前的是</w:t>
      </w:r>
      <w:r>
        <w:rPr>
          <w:rFonts w:ascii="宋体" w:hAnsi="宋体"/>
        </w:rPr>
        <w:t>“</w:t>
      </w:r>
      <w:r>
        <w:t>管理类</w:t>
      </w:r>
      <w:r>
        <w:rPr>
          <w:rFonts w:ascii="宋体" w:hAnsi="宋体"/>
        </w:rPr>
        <w:t>”</w:t>
      </w:r>
      <w:r>
        <w:t>（20.39%）、</w:t>
      </w:r>
      <w:r>
        <w:rPr>
          <w:rFonts w:ascii="宋体" w:hAnsi="宋体"/>
        </w:rPr>
        <w:t>“</w:t>
      </w:r>
      <w:r>
        <w:t>市场营销和电子商务类</w:t>
      </w:r>
      <w:r>
        <w:rPr>
          <w:rFonts w:ascii="宋体" w:hAnsi="宋体"/>
        </w:rPr>
        <w:t>”</w:t>
      </w:r>
      <w:r>
        <w:t>（17.65%）、</w:t>
      </w:r>
      <w:r>
        <w:rPr>
          <w:rFonts w:ascii="宋体" w:hAnsi="宋体"/>
        </w:rPr>
        <w:t>“</w:t>
      </w:r>
      <w:r>
        <w:t>电子信息和计算机类</w:t>
      </w:r>
      <w:r>
        <w:rPr>
          <w:rFonts w:ascii="宋体" w:hAnsi="宋体"/>
        </w:rPr>
        <w:t>”</w:t>
      </w:r>
      <w:r>
        <w:t>（14.12%）等专业；需求量较少的是</w:t>
      </w:r>
      <w:r>
        <w:rPr>
          <w:rFonts w:ascii="宋体" w:hAnsi="宋体"/>
        </w:rPr>
        <w:t>“</w:t>
      </w:r>
      <w:r>
        <w:t>医疗卫生类</w:t>
      </w:r>
      <w:r>
        <w:rPr>
          <w:rFonts w:ascii="宋体" w:hAnsi="宋体"/>
        </w:rPr>
        <w:t>”</w:t>
      </w:r>
      <w:r>
        <w:t>（0.78%）、</w:t>
      </w:r>
      <w:r>
        <w:rPr>
          <w:rFonts w:ascii="宋体" w:hAnsi="宋体"/>
        </w:rPr>
        <w:t>“</w:t>
      </w:r>
      <w:r>
        <w:t>农、林、牧、渔业类</w:t>
      </w:r>
      <w:r>
        <w:rPr>
          <w:rFonts w:ascii="宋体" w:hAnsi="宋体"/>
        </w:rPr>
        <w:t>”</w:t>
      </w:r>
      <w:r>
        <w:t>（1.57%）、</w:t>
      </w:r>
      <w:r>
        <w:rPr>
          <w:rFonts w:ascii="宋体" w:hAnsi="宋体"/>
        </w:rPr>
        <w:t>“</w:t>
      </w:r>
      <w:r>
        <w:t>生命科学类</w:t>
      </w:r>
      <w:r>
        <w:rPr>
          <w:rFonts w:ascii="宋体" w:hAnsi="宋体"/>
        </w:rPr>
        <w:t>”</w:t>
      </w:r>
      <w:r>
        <w:t>（1.57%）等专业。</w:t>
      </w:r>
    </w:p>
    <w:p>
      <w:pPr>
        <w:keepNext/>
        <w:ind w:firstLine="0" w:firstLineChars="0"/>
        <w:jc w:val="center"/>
      </w:pPr>
      <w:r>
        <w:drawing>
          <wp:inline distT="0" distB="0" distL="0" distR="0">
            <wp:extent cx="5170170" cy="5654675"/>
            <wp:effectExtent l="0" t="0" r="0" b="3175"/>
            <wp:docPr id="236" name="图表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t xml:space="preserve"> 用人单位需求专业（多选）</w:t>
      </w:r>
    </w:p>
    <w:p>
      <w:pPr>
        <w:pStyle w:val="3"/>
        <w:numPr>
          <w:ilvl w:val="0"/>
          <w:numId w:val="0"/>
        </w:numPr>
        <w:rPr>
          <w:rFonts w:cs="Times New Roman"/>
        </w:rPr>
      </w:pPr>
      <w:bookmarkStart w:id="195" w:name="_Toc61594389"/>
      <w:bookmarkStart w:id="196" w:name="_Toc27239662"/>
      <w:bookmarkStart w:id="197" w:name="_Toc59184389"/>
      <w:r>
        <w:rPr>
          <w:rFonts w:cs="Times New Roman"/>
        </w:rPr>
        <w:t>三、用人单位对毕业生的评价</w:t>
      </w:r>
      <w:bookmarkEnd w:id="184"/>
      <w:bookmarkEnd w:id="195"/>
      <w:bookmarkEnd w:id="196"/>
      <w:bookmarkEnd w:id="197"/>
    </w:p>
    <w:p>
      <w:pPr>
        <w:pStyle w:val="4"/>
      </w:pPr>
      <w:bookmarkStart w:id="198" w:name="_Toc61594390"/>
      <w:bookmarkStart w:id="199" w:name="_Toc59184390"/>
      <w:r>
        <w:rPr>
          <w:rFonts w:hint="eastAsia"/>
        </w:rPr>
        <w:t>（一）</w:t>
      </w:r>
      <w:r>
        <w:t>总体评价</w:t>
      </w:r>
      <w:bookmarkEnd w:id="198"/>
      <w:bookmarkEnd w:id="199"/>
    </w:p>
    <w:p>
      <w:pPr>
        <w:ind w:firstLine="420"/>
      </w:pPr>
      <w:r>
        <w:t>调研样本中的用人单位对毕业生的总体满意度为99.43%。其中，</w:t>
      </w:r>
      <w:r>
        <w:rPr>
          <w:rFonts w:ascii="宋体" w:hAnsi="宋体"/>
        </w:rPr>
        <w:t>“</w:t>
      </w:r>
      <w:r>
        <w:t>非常满意</w:t>
      </w:r>
      <w:r>
        <w:rPr>
          <w:rFonts w:ascii="宋体" w:hAnsi="宋体"/>
        </w:rPr>
        <w:t>”</w:t>
      </w:r>
      <w:r>
        <w:t>占比38.51%，</w:t>
      </w:r>
      <w:r>
        <w:rPr>
          <w:rFonts w:ascii="宋体" w:hAnsi="宋体"/>
        </w:rPr>
        <w:t>“</w:t>
      </w:r>
      <w:r>
        <w:t>比较满意</w:t>
      </w:r>
      <w:r>
        <w:rPr>
          <w:rFonts w:ascii="宋体" w:hAnsi="宋体"/>
        </w:rPr>
        <w:t>”</w:t>
      </w:r>
      <w:r>
        <w:t>占比43.68%，</w:t>
      </w:r>
      <w:r>
        <w:rPr>
          <w:rFonts w:ascii="宋体" w:hAnsi="宋体"/>
        </w:rPr>
        <w:t>“</w:t>
      </w:r>
      <w:r>
        <w:t>一般</w:t>
      </w:r>
      <w:r>
        <w:rPr>
          <w:rFonts w:ascii="宋体" w:hAnsi="宋体"/>
        </w:rPr>
        <w:t>”</w:t>
      </w:r>
      <w:r>
        <w:t>占比17.24%。</w:t>
      </w:r>
    </w:p>
    <w:p>
      <w:pPr>
        <w:keepNext/>
        <w:ind w:firstLine="0" w:firstLineChars="0"/>
        <w:jc w:val="center"/>
      </w:pPr>
      <w:r>
        <w:drawing>
          <wp:inline distT="0" distB="0" distL="0" distR="0">
            <wp:extent cx="4707890" cy="2524760"/>
            <wp:effectExtent l="0" t="0" r="0" b="8890"/>
            <wp:docPr id="239" name="图表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t xml:space="preserve"> 用人单位对毕业生的总体评价</w:t>
      </w:r>
    </w:p>
    <w:p>
      <w:pPr>
        <w:pStyle w:val="4"/>
      </w:pPr>
      <w:bookmarkStart w:id="200" w:name="_Toc61594391"/>
      <w:bookmarkStart w:id="201" w:name="_Toc59184391"/>
      <w:r>
        <w:t>（二）人才培养满意度</w:t>
      </w:r>
      <w:bookmarkEnd w:id="200"/>
    </w:p>
    <w:p>
      <w:pPr>
        <w:ind w:firstLine="420"/>
      </w:pPr>
      <w:r>
        <w:t>调研样本中的用人单位对人才培养的满意度为100%。其中，</w:t>
      </w:r>
      <w:r>
        <w:rPr>
          <w:rFonts w:ascii="宋体" w:hAnsi="宋体"/>
        </w:rPr>
        <w:t>“</w:t>
      </w:r>
      <w:r>
        <w:t>非常满意</w:t>
      </w:r>
      <w:r>
        <w:rPr>
          <w:rFonts w:ascii="宋体" w:hAnsi="宋体"/>
        </w:rPr>
        <w:t>”</w:t>
      </w:r>
      <w:r>
        <w:t>占比41.38%，</w:t>
      </w:r>
      <w:r>
        <w:rPr>
          <w:rFonts w:ascii="宋体" w:hAnsi="宋体"/>
        </w:rPr>
        <w:t>“</w:t>
      </w:r>
      <w:r>
        <w:t>比较满意</w:t>
      </w:r>
      <w:r>
        <w:rPr>
          <w:rFonts w:ascii="宋体" w:hAnsi="宋体"/>
        </w:rPr>
        <w:t>”</w:t>
      </w:r>
      <w:r>
        <w:t>占比43.10%，</w:t>
      </w:r>
      <w:r>
        <w:rPr>
          <w:rFonts w:ascii="宋体" w:hAnsi="宋体"/>
        </w:rPr>
        <w:t>“</w:t>
      </w:r>
      <w:r>
        <w:t>一般</w:t>
      </w:r>
      <w:r>
        <w:rPr>
          <w:rFonts w:ascii="宋体" w:hAnsi="宋体"/>
        </w:rPr>
        <w:t>”</w:t>
      </w:r>
      <w:r>
        <w:t>占比15.52%。</w:t>
      </w:r>
    </w:p>
    <w:p>
      <w:pPr>
        <w:spacing w:before="156" w:beforeLines="50" w:after="156" w:afterLines="50" w:line="200" w:lineRule="atLeast"/>
        <w:ind w:firstLine="0" w:firstLineChars="0"/>
        <w:jc w:val="center"/>
        <w:rPr>
          <w:kern w:val="0"/>
          <w:sz w:val="18"/>
          <w:szCs w:val="20"/>
        </w:rPr>
      </w:pPr>
      <w:r>
        <w:drawing>
          <wp:inline distT="0" distB="0" distL="0" distR="0">
            <wp:extent cx="4707890" cy="2592705"/>
            <wp:effectExtent l="0" t="0" r="0" b="0"/>
            <wp:docPr id="243" name="图表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10</w:t>
      </w:r>
      <w:r>
        <w:rPr>
          <w:rFonts w:ascii="Times New Roman" w:cs="Times New Roman"/>
        </w:rPr>
        <w:fldChar w:fldCharType="end"/>
      </w:r>
      <w:r>
        <w:rPr>
          <w:rFonts w:ascii="Times New Roman" w:cs="Times New Roman"/>
        </w:rPr>
        <w:t xml:space="preserve"> 用人单位对人才培养的满意度</w:t>
      </w:r>
    </w:p>
    <w:p>
      <w:pPr>
        <w:spacing w:before="156" w:beforeLines="50" w:after="156" w:afterLines="50" w:line="200" w:lineRule="atLeast"/>
        <w:ind w:firstLine="0" w:firstLineChars="0"/>
        <w:jc w:val="center"/>
        <w:rPr>
          <w:kern w:val="0"/>
          <w:sz w:val="18"/>
          <w:szCs w:val="20"/>
        </w:rPr>
      </w:pPr>
    </w:p>
    <w:p>
      <w:pPr>
        <w:pStyle w:val="4"/>
      </w:pPr>
      <w:bookmarkStart w:id="202" w:name="_Toc61594392"/>
      <w:r>
        <w:t>（三）对毕业生能力评价</w:t>
      </w:r>
      <w:bookmarkEnd w:id="201"/>
      <w:bookmarkEnd w:id="202"/>
    </w:p>
    <w:p>
      <w:pPr>
        <w:ind w:firstLine="420"/>
      </w:pPr>
      <w:r>
        <w:t>调研样本中的用人单位对毕业生各项能力满意度中，满意度较高的有</w:t>
      </w:r>
      <w:r>
        <w:rPr>
          <w:rFonts w:ascii="宋体" w:hAnsi="宋体"/>
        </w:rPr>
        <w:t>“</w:t>
      </w:r>
      <w:r>
        <w:t>道德观、价值观与行为礼仪等基本素养</w:t>
      </w:r>
      <w:r>
        <w:rPr>
          <w:rFonts w:ascii="宋体" w:hAnsi="宋体"/>
        </w:rPr>
        <w:t>”</w:t>
      </w:r>
      <w:r>
        <w:t>（</w:t>
      </w:r>
      <w:bookmarkStart w:id="203" w:name="_Hlk59465710"/>
      <w:r>
        <w:t>100.00%</w:t>
      </w:r>
      <w:bookmarkEnd w:id="203"/>
      <w:r>
        <w:t>）和</w:t>
      </w:r>
      <w:r>
        <w:rPr>
          <w:rFonts w:ascii="宋体" w:hAnsi="宋体"/>
        </w:rPr>
        <w:t>“</w:t>
      </w:r>
      <w:r>
        <w:t>人生态度、身体素质</w:t>
      </w:r>
      <w:r>
        <w:rPr>
          <w:rFonts w:ascii="宋体" w:hAnsi="宋体"/>
        </w:rPr>
        <w:t>”</w:t>
      </w:r>
      <w:r>
        <w:t>（100.00%）。</w:t>
      </w:r>
    </w:p>
    <w:p>
      <w:pPr>
        <w:keepNext/>
        <w:ind w:leftChars="-202" w:right="-483" w:rightChars="-230" w:hanging="424" w:hangingChars="202"/>
        <w:jc w:val="center"/>
      </w:pPr>
      <w:r>
        <w:drawing>
          <wp:inline distT="0" distB="0" distL="0" distR="0">
            <wp:extent cx="5630545" cy="3633470"/>
            <wp:effectExtent l="0" t="0" r="8255" b="5080"/>
            <wp:docPr id="244" name="图表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t xml:space="preserve"> 用人单位对毕业生能力满意度</w:t>
      </w:r>
    </w:p>
    <w:p>
      <w:pPr>
        <w:pStyle w:val="4"/>
      </w:pPr>
      <w:bookmarkStart w:id="204" w:name="_Toc61594393"/>
      <w:r>
        <w:t>（四）改进建议</w:t>
      </w:r>
      <w:bookmarkEnd w:id="204"/>
    </w:p>
    <w:p>
      <w:pPr>
        <w:ind w:firstLine="420"/>
      </w:pPr>
      <w:r>
        <w:t>调研样本中的用人单位对人才培养的改进建议主要为</w:t>
      </w:r>
      <w:r>
        <w:rPr>
          <w:rFonts w:ascii="宋体" w:hAnsi="宋体"/>
        </w:rPr>
        <w:t>“</w:t>
      </w:r>
      <w:r>
        <w:t>职业素养的培养</w:t>
      </w:r>
      <w:r>
        <w:rPr>
          <w:rFonts w:ascii="宋体" w:hAnsi="宋体"/>
        </w:rPr>
        <w:t>”</w:t>
      </w:r>
      <w:r>
        <w:t>（33.33%）、</w:t>
      </w:r>
      <w:r>
        <w:rPr>
          <w:rFonts w:ascii="宋体" w:hAnsi="宋体"/>
        </w:rPr>
        <w:t>“</w:t>
      </w:r>
      <w:r>
        <w:t>团队协作能力培养</w:t>
      </w:r>
      <w:r>
        <w:rPr>
          <w:rFonts w:ascii="宋体" w:hAnsi="宋体"/>
        </w:rPr>
        <w:t>”</w:t>
      </w:r>
      <w:r>
        <w:t>（33.33%）、</w:t>
      </w:r>
      <w:r>
        <w:rPr>
          <w:rFonts w:ascii="宋体" w:hAnsi="宋体"/>
        </w:rPr>
        <w:t>“</w:t>
      </w:r>
      <w:r>
        <w:t>创新能力培养</w:t>
      </w:r>
      <w:r>
        <w:rPr>
          <w:rFonts w:ascii="宋体" w:hAnsi="宋体"/>
        </w:rPr>
        <w:t>”</w:t>
      </w:r>
      <w:r>
        <w:t>（26.27%）。</w:t>
      </w:r>
    </w:p>
    <w:p>
      <w:pPr>
        <w:keepNext/>
        <w:ind w:left="-2" w:leftChars="-1" w:right="-483" w:rightChars="-230" w:firstLine="0" w:firstLineChars="0"/>
        <w:jc w:val="center"/>
      </w:pPr>
      <w:r>
        <w:drawing>
          <wp:inline distT="0" distB="0" distL="0" distR="0">
            <wp:extent cx="5100955" cy="2454275"/>
            <wp:effectExtent l="0" t="0" r="4445" b="3175"/>
            <wp:docPr id="245" name="图表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pacing w:before="156" w:beforeLines="50" w:after="156" w:afterLines="50" w:line="200" w:lineRule="atLeast"/>
        <w:ind w:firstLine="0" w:firstLineChars="0"/>
        <w:jc w:val="center"/>
        <w:rPr>
          <w:kern w:val="0"/>
          <w:sz w:val="18"/>
          <w:szCs w:val="20"/>
        </w:rPr>
      </w:pPr>
      <w:r>
        <w:t>图6-</w:t>
      </w:r>
      <w:r>
        <w:fldChar w:fldCharType="begin"/>
      </w:r>
      <w:r>
        <w:instrText xml:space="preserve"> SEQ 图6- \* ARABIC </w:instrText>
      </w:r>
      <w:r>
        <w:fldChar w:fldCharType="separate"/>
      </w:r>
      <w:r>
        <w:t>12</w:t>
      </w:r>
      <w:r>
        <w:fldChar w:fldCharType="end"/>
      </w:r>
      <w:r>
        <w:rPr>
          <w:kern w:val="0"/>
          <w:sz w:val="18"/>
          <w:szCs w:val="20"/>
        </w:rPr>
        <w:t xml:space="preserve"> 用人单位人才培养改进建议（多选）</w:t>
      </w:r>
    </w:p>
    <w:p>
      <w:pPr>
        <w:pStyle w:val="3"/>
        <w:numPr>
          <w:ilvl w:val="0"/>
          <w:numId w:val="0"/>
        </w:numPr>
        <w:rPr>
          <w:rFonts w:cs="Times New Roman"/>
        </w:rPr>
      </w:pPr>
      <w:bookmarkStart w:id="205" w:name="_Toc501477729"/>
      <w:bookmarkStart w:id="206" w:name="_Toc452206787"/>
      <w:bookmarkStart w:id="207" w:name="_Toc501476137"/>
      <w:bookmarkStart w:id="208" w:name="_Toc430616281"/>
      <w:bookmarkStart w:id="209" w:name="_Toc426734696"/>
      <w:bookmarkStart w:id="210" w:name="_Toc59184392"/>
      <w:bookmarkStart w:id="211" w:name="_Toc61594394"/>
      <w:bookmarkStart w:id="212" w:name="_Toc534545867"/>
      <w:bookmarkStart w:id="213" w:name="_Toc501475956"/>
      <w:bookmarkStart w:id="214" w:name="_Toc451627887"/>
      <w:bookmarkStart w:id="215" w:name="_Toc448312210"/>
      <w:bookmarkStart w:id="216" w:name="_Toc501476318"/>
      <w:bookmarkStart w:id="217" w:name="_Toc470339784"/>
      <w:bookmarkStart w:id="218" w:name="_Toc501478321"/>
      <w:bookmarkStart w:id="219" w:name="_Toc469925664"/>
      <w:bookmarkStart w:id="220" w:name="_Toc27239663"/>
      <w:r>
        <w:rPr>
          <w:rFonts w:cs="Times New Roman"/>
        </w:rPr>
        <w:t>四、用人单位对学校的评价</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4"/>
      </w:pPr>
      <w:bookmarkStart w:id="221" w:name="_Toc61594395"/>
      <w:bookmarkStart w:id="222" w:name="OLE_LINK13"/>
      <w:bookmarkStart w:id="223" w:name="OLE_LINK12"/>
      <w:bookmarkStart w:id="224" w:name="_Toc469925665"/>
      <w:bookmarkStart w:id="225" w:name="_Toc501475957"/>
      <w:bookmarkStart w:id="226" w:name="_Toc451627888"/>
      <w:bookmarkStart w:id="227" w:name="_Toc448312211"/>
      <w:bookmarkStart w:id="228" w:name="_Toc501476138"/>
      <w:bookmarkStart w:id="229" w:name="_Toc452206788"/>
      <w:bookmarkStart w:id="230" w:name="_Toc501478322"/>
      <w:bookmarkStart w:id="231" w:name="_Toc426734697"/>
      <w:bookmarkStart w:id="232" w:name="_Toc430616282"/>
      <w:bookmarkStart w:id="233" w:name="_Toc501477730"/>
      <w:bookmarkStart w:id="234" w:name="_Toc501476319"/>
      <w:bookmarkStart w:id="235" w:name="_Toc470339785"/>
      <w:r>
        <w:t>（一）对各项就业服务工作满意度</w:t>
      </w:r>
      <w:bookmarkEnd w:id="221"/>
    </w:p>
    <w:p>
      <w:pPr>
        <w:ind w:firstLine="420"/>
      </w:pPr>
      <w:r>
        <w:t>调研样本中的用人单位对学校就业服务工作的满意度如下图所示。其中，满意度100%的为</w:t>
      </w:r>
      <w:r>
        <w:rPr>
          <w:rFonts w:ascii="宋体" w:hAnsi="宋体"/>
        </w:rPr>
        <w:t>“</w:t>
      </w:r>
      <w:r>
        <w:t>招聘会的组织工作</w:t>
      </w:r>
      <w:r>
        <w:rPr>
          <w:rFonts w:ascii="宋体" w:hAnsi="宋体"/>
        </w:rPr>
        <w:t>”</w:t>
      </w:r>
      <w:r>
        <w:t>和</w:t>
      </w:r>
      <w:r>
        <w:rPr>
          <w:rFonts w:ascii="宋体" w:hAnsi="宋体"/>
        </w:rPr>
        <w:t>“</w:t>
      </w:r>
      <w:r>
        <w:t>档案管理满意度</w:t>
      </w:r>
      <w:r>
        <w:rPr>
          <w:rFonts w:ascii="宋体" w:hAnsi="宋体"/>
        </w:rPr>
        <w:t>”</w:t>
      </w:r>
      <w:r>
        <w:t>。</w:t>
      </w:r>
    </w:p>
    <w:p>
      <w:pPr>
        <w:keepNext/>
        <w:ind w:firstLine="420"/>
      </w:pPr>
      <w:r>
        <w:drawing>
          <wp:inline distT="0" distB="0" distL="0" distR="0">
            <wp:extent cx="4836160" cy="1972945"/>
            <wp:effectExtent l="0" t="0" r="2540" b="8255"/>
            <wp:docPr id="246" name="图表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56"/>
        <w:rPr>
          <w:rFonts w:ascii="Times New Roman" w:cs="Times New Roman"/>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13</w:t>
      </w:r>
      <w:r>
        <w:rPr>
          <w:rFonts w:ascii="Times New Roman" w:cs="Times New Roman"/>
        </w:rPr>
        <w:fldChar w:fldCharType="end"/>
      </w:r>
      <w:r>
        <w:rPr>
          <w:rFonts w:ascii="Times New Roman" w:cs="Times New Roman"/>
        </w:rPr>
        <w:t xml:space="preserve"> 用人单位对学校各项工作满意度</w:t>
      </w:r>
    </w:p>
    <w:bookmarkEnd w:id="222"/>
    <w:bookmarkEnd w:id="223"/>
    <w:p>
      <w:pPr>
        <w:pStyle w:val="4"/>
      </w:pPr>
      <w:bookmarkStart w:id="236" w:name="_Toc59184395"/>
      <w:bookmarkStart w:id="237" w:name="_Toc61594396"/>
      <w:bookmarkStart w:id="238" w:name="_Hlk59429663"/>
      <w:r>
        <w:t>（二）对就业服务改进建议</w:t>
      </w:r>
      <w:bookmarkEnd w:id="236"/>
      <w:bookmarkEnd w:id="237"/>
    </w:p>
    <w:p>
      <w:pPr>
        <w:ind w:firstLine="420"/>
        <w:rPr>
          <w:color w:val="000000"/>
        </w:rPr>
      </w:pPr>
      <w:r>
        <w:t>调研样本中的</w:t>
      </w:r>
      <w:r>
        <w:rPr>
          <w:color w:val="000000"/>
        </w:rPr>
        <w:t>用人单位认为学校就业服务需要改进的内容主要为</w:t>
      </w:r>
      <w:r>
        <w:rPr>
          <w:rFonts w:ascii="宋体" w:hAnsi="宋体"/>
          <w:color w:val="000000"/>
        </w:rPr>
        <w:t>“</w:t>
      </w:r>
      <w:r>
        <w:rPr>
          <w:color w:val="000000"/>
        </w:rPr>
        <w:t>增加校园招聘会场次</w:t>
      </w:r>
      <w:r>
        <w:rPr>
          <w:rFonts w:ascii="宋体" w:hAnsi="宋体"/>
          <w:color w:val="000000"/>
        </w:rPr>
        <w:t>”</w:t>
      </w:r>
      <w:r>
        <w:rPr>
          <w:color w:val="000000"/>
        </w:rPr>
        <w:t>（</w:t>
      </w:r>
      <w:r>
        <w:rPr>
          <w:rFonts w:hint="eastAsia"/>
          <w:color w:val="000000"/>
        </w:rPr>
        <w:t>34.51</w:t>
      </w:r>
      <w:r>
        <w:rPr>
          <w:color w:val="000000"/>
        </w:rPr>
        <w:t>%），</w:t>
      </w:r>
      <w:r>
        <w:rPr>
          <w:rFonts w:hint="eastAsia"/>
          <w:color w:val="000000"/>
        </w:rPr>
        <w:t>其次为</w:t>
      </w:r>
      <w:r>
        <w:rPr>
          <w:rFonts w:ascii="宋体" w:hAnsi="宋体"/>
          <w:color w:val="000000"/>
        </w:rPr>
        <w:t>“</w:t>
      </w:r>
      <w:r>
        <w:rPr>
          <w:color w:val="000000"/>
        </w:rPr>
        <w:t>及时更新发布招聘信息</w:t>
      </w:r>
      <w:r>
        <w:rPr>
          <w:rFonts w:ascii="宋体" w:hAnsi="宋体"/>
          <w:color w:val="000000"/>
        </w:rPr>
        <w:t>”</w:t>
      </w:r>
      <w:r>
        <w:rPr>
          <w:color w:val="000000"/>
        </w:rPr>
        <w:t>（29.80%）、</w:t>
      </w:r>
      <w:r>
        <w:rPr>
          <w:rFonts w:ascii="宋体" w:hAnsi="宋体"/>
          <w:color w:val="000000"/>
        </w:rPr>
        <w:t>“</w:t>
      </w:r>
      <w:r>
        <w:rPr>
          <w:color w:val="000000"/>
        </w:rPr>
        <w:t>加强应届毕业生就业指导</w:t>
      </w:r>
      <w:r>
        <w:rPr>
          <w:rFonts w:ascii="宋体" w:hAnsi="宋体"/>
          <w:color w:val="000000"/>
        </w:rPr>
        <w:t>”</w:t>
      </w:r>
      <w:r>
        <w:rPr>
          <w:color w:val="000000"/>
        </w:rPr>
        <w:t>（27.45%）。</w:t>
      </w:r>
    </w:p>
    <w:p>
      <w:pPr>
        <w:keepNext/>
        <w:ind w:firstLine="424" w:firstLineChars="202"/>
        <w:jc w:val="center"/>
      </w:pPr>
      <w:r>
        <w:drawing>
          <wp:inline distT="0" distB="0" distL="0" distR="0">
            <wp:extent cx="5039995" cy="3009900"/>
            <wp:effectExtent l="0" t="0" r="8255"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56"/>
        <w:rPr>
          <w:rFonts w:ascii="Times New Roman" w:cs="Times New Roman"/>
          <w:color w:val="000000"/>
          <w:szCs w:val="22"/>
        </w:rPr>
      </w:pPr>
      <w:r>
        <w:rPr>
          <w:rFonts w:ascii="Times New Roman" w:cs="Times New Roman"/>
        </w:rPr>
        <w:t>图6-</w:t>
      </w:r>
      <w:r>
        <w:rPr>
          <w:rFonts w:ascii="Times New Roman" w:cs="Times New Roman"/>
        </w:rPr>
        <w:fldChar w:fldCharType="begin"/>
      </w:r>
      <w:r>
        <w:rPr>
          <w:rFonts w:ascii="Times New Roman" w:cs="Times New Roman"/>
        </w:rPr>
        <w:instrText xml:space="preserve"> SEQ 图6- \* ARABIC </w:instrText>
      </w:r>
      <w:r>
        <w:rPr>
          <w:rFonts w:ascii="Times New Roman" w:cs="Times New Roman"/>
        </w:rPr>
        <w:fldChar w:fldCharType="separate"/>
      </w:r>
      <w:r>
        <w:rPr>
          <w:rFonts w:ascii="Times New Roman" w:cs="Times New Roman"/>
        </w:rPr>
        <w:t>14</w:t>
      </w:r>
      <w:r>
        <w:rPr>
          <w:rFonts w:ascii="Times New Roman" w:cs="Times New Roman"/>
        </w:rPr>
        <w:fldChar w:fldCharType="end"/>
      </w:r>
      <w:r>
        <w:rPr>
          <w:rFonts w:ascii="Times New Roman" w:cs="Times New Roman"/>
        </w:rPr>
        <w:t xml:space="preserve"> 用人单位对学校就业服务的改进建议</w:t>
      </w:r>
      <w:r>
        <w:rPr>
          <w:rFonts w:ascii="Times New Roman" w:cs="Times New Roman"/>
          <w:color w:val="000000"/>
          <w:szCs w:val="22"/>
        </w:rPr>
        <w:t>（多选）</w:t>
      </w:r>
      <w:bookmarkEnd w:id="224"/>
      <w:bookmarkEnd w:id="225"/>
      <w:bookmarkEnd w:id="226"/>
      <w:bookmarkEnd w:id="227"/>
      <w:bookmarkEnd w:id="228"/>
      <w:bookmarkEnd w:id="229"/>
      <w:bookmarkEnd w:id="230"/>
      <w:bookmarkEnd w:id="231"/>
      <w:bookmarkEnd w:id="232"/>
      <w:bookmarkEnd w:id="233"/>
      <w:bookmarkEnd w:id="234"/>
      <w:bookmarkEnd w:id="235"/>
      <w:bookmarkEnd w:id="238"/>
    </w:p>
    <w:p>
      <w:pPr>
        <w:pStyle w:val="2"/>
      </w:pPr>
      <w:bookmarkStart w:id="239" w:name="_Toc61594397"/>
      <w:r>
        <w:t>第七章 就业发展趋势分析</w:t>
      </w:r>
      <w:bookmarkEnd w:id="239"/>
    </w:p>
    <w:p>
      <w:pPr>
        <w:pStyle w:val="3"/>
        <w:numPr>
          <w:ilvl w:val="0"/>
          <w:numId w:val="0"/>
        </w:numPr>
        <w:rPr>
          <w:rFonts w:cs="Times New Roman"/>
        </w:rPr>
      </w:pPr>
      <w:bookmarkStart w:id="240" w:name="_Toc61594398"/>
      <w:r>
        <w:rPr>
          <w:rFonts w:cs="Times New Roman"/>
        </w:rPr>
        <w:t>一、毕业生就业率变化趋势</w:t>
      </w:r>
      <w:bookmarkEnd w:id="240"/>
    </w:p>
    <w:p>
      <w:pPr>
        <w:ind w:firstLine="420"/>
      </w:pPr>
      <w:r>
        <w:t>2018-2020届毕业生就业率趋势如下图所示</w:t>
      </w:r>
      <w:r>
        <w:rPr>
          <w:vertAlign w:val="superscript"/>
        </w:rPr>
        <w:t>[</w:t>
      </w:r>
      <w:r>
        <w:rPr>
          <w:rStyle w:val="37"/>
        </w:rPr>
        <w:footnoteReference w:id="14"/>
      </w:r>
      <w:r>
        <w:rPr>
          <w:vertAlign w:val="superscript"/>
        </w:rPr>
        <w:t>]</w:t>
      </w:r>
      <w:r>
        <w:rPr>
          <w:rFonts w:hint="eastAsia"/>
        </w:rPr>
        <w:t>。受新冠疫情冲击，</w:t>
      </w:r>
      <w:r>
        <w:t>2018-2020届总体毕业生就业率</w:t>
      </w:r>
      <w:r>
        <w:rPr>
          <w:rFonts w:hint="eastAsia"/>
        </w:rPr>
        <w:t>略有下滑，但均保持在90%以上，2020届毕业生就业率为90.03%</w:t>
      </w:r>
      <w:r>
        <w:t>。</w:t>
      </w:r>
    </w:p>
    <w:p>
      <w:pPr>
        <w:ind w:firstLine="420"/>
        <w:jc w:val="center"/>
      </w:pPr>
      <w:r>
        <w:drawing>
          <wp:inline distT="0" distB="0" distL="0" distR="0">
            <wp:extent cx="4353560" cy="1855470"/>
            <wp:effectExtent l="0" t="0" r="889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t xml:space="preserve"> 2018届-2020届毕业生就业率变化趋势</w:t>
      </w:r>
    </w:p>
    <w:p>
      <w:pPr>
        <w:pStyle w:val="3"/>
        <w:numPr>
          <w:ilvl w:val="0"/>
          <w:numId w:val="0"/>
        </w:numPr>
        <w:rPr>
          <w:rFonts w:cs="Times New Roman"/>
        </w:rPr>
      </w:pPr>
      <w:bookmarkStart w:id="241" w:name="_Toc61594399"/>
      <w:r>
        <w:rPr>
          <w:rFonts w:cs="Times New Roman"/>
        </w:rPr>
        <w:t>二、毕业生升学率变化趋势</w:t>
      </w:r>
      <w:bookmarkEnd w:id="241"/>
    </w:p>
    <w:p>
      <w:pPr>
        <w:ind w:firstLine="420"/>
      </w:pPr>
      <w:r>
        <w:t>2018-2020届毕业生升学率趋势如下图所示。2018-2020届总体毕业生升学率呈先下降后上升趋势。相较2019届，2020届毕业生升学率大幅上升，增加了0.65个百分点。</w:t>
      </w:r>
    </w:p>
    <w:p>
      <w:pPr>
        <w:keepNext/>
        <w:ind w:firstLine="0" w:firstLineChars="0"/>
        <w:jc w:val="center"/>
      </w:pPr>
      <w:r>
        <w:drawing>
          <wp:inline distT="0" distB="0" distL="0" distR="0">
            <wp:extent cx="4366895" cy="2470150"/>
            <wp:effectExtent l="0" t="0" r="0" b="63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2</w:t>
      </w:r>
      <w:r>
        <w:rPr>
          <w:rFonts w:ascii="Times New Roman" w:cs="Times New Roman"/>
        </w:rPr>
        <w:fldChar w:fldCharType="end"/>
      </w:r>
      <w:r>
        <w:rPr>
          <w:rFonts w:ascii="Times New Roman" w:cs="Times New Roman"/>
        </w:rPr>
        <w:t xml:space="preserve"> 2018届-2020届毕业生升学率变化趋势</w:t>
      </w:r>
    </w:p>
    <w:p>
      <w:pPr>
        <w:pStyle w:val="3"/>
        <w:numPr>
          <w:ilvl w:val="0"/>
          <w:numId w:val="0"/>
        </w:numPr>
        <w:rPr>
          <w:rFonts w:cs="Times New Roman"/>
        </w:rPr>
      </w:pPr>
      <w:bookmarkStart w:id="242" w:name="_Toc61594400"/>
      <w:r>
        <w:rPr>
          <w:rFonts w:cs="Times New Roman"/>
        </w:rPr>
        <w:t>三、就业单位行业变化趋势</w:t>
      </w:r>
      <w:bookmarkEnd w:id="242"/>
    </w:p>
    <w:p>
      <w:pPr>
        <w:ind w:firstLine="420"/>
      </w:pPr>
      <w:r>
        <w:t>2018-2020届毕业生就业单位行业变化趋势表明，毕业生就业单位行业整体较稳定，主要集中于</w:t>
      </w:r>
      <w:r>
        <w:rPr>
          <w:rFonts w:ascii="宋体" w:hAnsi="宋体"/>
        </w:rPr>
        <w:t>“</w:t>
      </w:r>
      <w:r>
        <w:t>信息传输、软件和信息技术服务业</w:t>
      </w:r>
      <w:r>
        <w:rPr>
          <w:rFonts w:ascii="宋体" w:hAnsi="宋体"/>
        </w:rPr>
        <w:t>”</w:t>
      </w:r>
      <w:r>
        <w:t>、</w:t>
      </w:r>
      <w:r>
        <w:rPr>
          <w:rFonts w:ascii="宋体" w:hAnsi="宋体"/>
        </w:rPr>
        <w:t>“</w:t>
      </w:r>
      <w:r>
        <w:t>教育</w:t>
      </w:r>
      <w:r>
        <w:rPr>
          <w:rFonts w:ascii="宋体" w:hAnsi="宋体"/>
        </w:rPr>
        <w:t>”</w:t>
      </w:r>
      <w:r>
        <w:t>、</w:t>
      </w:r>
      <w:r>
        <w:rPr>
          <w:rFonts w:ascii="宋体" w:hAnsi="宋体"/>
        </w:rPr>
        <w:t>“</w:t>
      </w:r>
      <w:r>
        <w:t>制造业</w:t>
      </w:r>
      <w:r>
        <w:rPr>
          <w:rFonts w:ascii="宋体" w:hAnsi="宋体"/>
        </w:rPr>
        <w:t>”</w:t>
      </w:r>
      <w:r>
        <w:t>。其中，毕业生就业于</w:t>
      </w:r>
      <w:r>
        <w:rPr>
          <w:rFonts w:ascii="宋体" w:hAnsi="宋体"/>
        </w:rPr>
        <w:t>“</w:t>
      </w:r>
      <w:r>
        <w:t>信息传输、软件和信息技术服务业</w:t>
      </w:r>
      <w:r>
        <w:rPr>
          <w:rFonts w:ascii="宋体" w:hAnsi="宋体"/>
        </w:rPr>
        <w:t>”</w:t>
      </w:r>
    </w:p>
    <w:p>
      <w:pPr>
        <w:ind w:firstLine="420"/>
      </w:pPr>
      <w:r>
        <w:t>行业比例呈先上升后下降趋势，相较2019届增加了6.92个百分点。相较2018届，2019届和2020届毕业生就业于</w:t>
      </w:r>
      <w:r>
        <w:rPr>
          <w:rFonts w:ascii="宋体" w:hAnsi="宋体"/>
        </w:rPr>
        <w:t>“</w:t>
      </w:r>
      <w:r>
        <w:t>教育</w:t>
      </w:r>
      <w:r>
        <w:rPr>
          <w:rFonts w:ascii="宋体" w:hAnsi="宋体"/>
        </w:rPr>
        <w:t>”</w:t>
      </w:r>
      <w:r>
        <w:t>行业比例有较大的增加。</w:t>
      </w:r>
    </w:p>
    <w:p>
      <w:pPr>
        <w:ind w:firstLine="422"/>
        <w:jc w:val="center"/>
      </w:pPr>
      <w:r>
        <w:rPr>
          <w:b/>
        </w:rPr>
        <w:drawing>
          <wp:inline distT="0" distB="0" distL="0" distR="0">
            <wp:extent cx="4942840" cy="250126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t xml:space="preserve"> 2018届-2020届毕业生单位行业变化趋势</w:t>
      </w:r>
    </w:p>
    <w:p>
      <w:pPr>
        <w:pStyle w:val="3"/>
        <w:numPr>
          <w:ilvl w:val="0"/>
          <w:numId w:val="0"/>
        </w:numPr>
        <w:rPr>
          <w:rFonts w:cs="Times New Roman"/>
        </w:rPr>
      </w:pPr>
      <w:bookmarkStart w:id="243" w:name="_Toc61594401"/>
      <w:r>
        <w:rPr>
          <w:rFonts w:cs="Times New Roman"/>
        </w:rPr>
        <w:t>四、毕业生就业满意度变化趋势</w:t>
      </w:r>
      <w:bookmarkEnd w:id="243"/>
    </w:p>
    <w:p>
      <w:pPr>
        <w:ind w:firstLine="420"/>
      </w:pPr>
      <w:r>
        <w:t>2018-2020届毕业生就业率趋势如下图所示。2018-2020届总体毕业生就业满意度呈先下降后上升趋势。相较2019届，2020届毕业生就业满意度</w:t>
      </w:r>
      <w:r>
        <w:rPr>
          <w:rFonts w:hint="eastAsia"/>
        </w:rPr>
        <w:t>有所提升</w:t>
      </w:r>
      <w:r>
        <w:t>。</w:t>
      </w:r>
    </w:p>
    <w:p>
      <w:pPr>
        <w:pStyle w:val="56"/>
        <w:rPr>
          <w:rFonts w:ascii="Times New Roman" w:cs="Times New Roman"/>
        </w:rPr>
      </w:pPr>
      <w:r>
        <w:drawing>
          <wp:inline distT="0" distB="0" distL="0" distR="0">
            <wp:extent cx="4353560" cy="1855470"/>
            <wp:effectExtent l="0" t="0" r="8890" b="0"/>
            <wp:docPr id="224" name="图表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t xml:space="preserve"> 2018届-2020届毕业生就业满意度变化趋势</w:t>
      </w:r>
    </w:p>
    <w:p>
      <w:pPr>
        <w:pStyle w:val="3"/>
        <w:numPr>
          <w:ilvl w:val="0"/>
          <w:numId w:val="0"/>
        </w:numPr>
        <w:rPr>
          <w:rFonts w:cs="Times New Roman"/>
        </w:rPr>
      </w:pPr>
      <w:bookmarkStart w:id="244" w:name="_Toc61594402"/>
      <w:r>
        <w:rPr>
          <w:rFonts w:cs="Times New Roman"/>
        </w:rPr>
        <w:t>五、毕业生平均薪资变化趋势</w:t>
      </w:r>
      <w:bookmarkEnd w:id="244"/>
    </w:p>
    <w:p>
      <w:pPr>
        <w:ind w:firstLine="420"/>
      </w:pPr>
      <w:r>
        <w:t>2018-2020届毕业生平均薪资变化趋势如下图所示。2018-2020届总体毕业生平均薪资呈持续上升趋势。相较2019届，2020届毕业生平均薪资增加了223元（增长4.31%）。</w:t>
      </w:r>
    </w:p>
    <w:p>
      <w:pPr>
        <w:keepNext/>
        <w:ind w:firstLine="420"/>
        <w:jc w:val="center"/>
      </w:pPr>
      <w:r>
        <w:drawing>
          <wp:inline distT="0" distB="0" distL="0" distR="0">
            <wp:extent cx="4318000" cy="2498725"/>
            <wp:effectExtent l="0" t="0" r="635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56"/>
        <w:rPr>
          <w:rFonts w:ascii="Times New Roman" w:cs="Times New Roman"/>
        </w:rPr>
      </w:pPr>
      <w:r>
        <w:rPr>
          <w:rFonts w:hint="eastAsia"/>
        </w:rPr>
        <w:t>图7-</w:t>
      </w:r>
      <w:r>
        <w:fldChar w:fldCharType="begin"/>
      </w:r>
      <w:r>
        <w:instrText xml:space="preserve"> </w:instrText>
      </w:r>
      <w:r>
        <w:rPr>
          <w:rFonts w:hint="eastAsia"/>
        </w:rPr>
        <w:instrText xml:space="preserve">SEQ 图7- \* ARABIC</w:instrText>
      </w:r>
      <w:r>
        <w:instrText xml:space="preserve"> </w:instrText>
      </w:r>
      <w:r>
        <w:fldChar w:fldCharType="separate"/>
      </w:r>
      <w:r>
        <w:t>5</w:t>
      </w:r>
      <w:r>
        <w:fldChar w:fldCharType="end"/>
      </w:r>
      <w:r>
        <w:t xml:space="preserve"> </w:t>
      </w:r>
      <w:r>
        <w:rPr>
          <w:rFonts w:ascii="Times New Roman" w:cs="Times New Roman"/>
        </w:rPr>
        <w:t>2018届-2020届毕业生</w:t>
      </w:r>
      <w:r>
        <w:rPr>
          <w:rFonts w:hint="eastAsia" w:ascii="Times New Roman" w:cs="Times New Roman"/>
        </w:rPr>
        <w:t>平均薪资</w:t>
      </w:r>
      <w:r>
        <w:rPr>
          <w:rFonts w:ascii="Times New Roman" w:cs="Times New Roman"/>
        </w:rPr>
        <w:t>变化趋势</w:t>
      </w:r>
    </w:p>
    <w:p>
      <w:pPr>
        <w:pStyle w:val="12"/>
        <w:ind w:firstLine="360"/>
      </w:pPr>
    </w:p>
    <w:p>
      <w:pPr>
        <w:pStyle w:val="3"/>
        <w:numPr>
          <w:ilvl w:val="0"/>
          <w:numId w:val="0"/>
        </w:numPr>
        <w:rPr>
          <w:rFonts w:cs="Times New Roman"/>
        </w:rPr>
      </w:pPr>
      <w:bookmarkStart w:id="245" w:name="_Toc61594403"/>
      <w:r>
        <w:rPr>
          <w:rFonts w:cs="Times New Roman"/>
        </w:rPr>
        <w:t>六、毕业生就业专业相关度变化趋势</w:t>
      </w:r>
      <w:bookmarkEnd w:id="245"/>
    </w:p>
    <w:p>
      <w:pPr>
        <w:ind w:firstLine="420"/>
      </w:pPr>
      <w:r>
        <w:t>2018-2020届毕业生就业率趋势如下图所示。2018-2020届总体毕业生所修专业与就业岗位的相关度呈先下降后上升趋势。相较2019届，2020届毕业生专业与岗位相关度上升了4.12个百分点。</w:t>
      </w:r>
    </w:p>
    <w:p>
      <w:pPr>
        <w:keepNext/>
        <w:ind w:firstLine="0" w:firstLineChars="0"/>
        <w:jc w:val="center"/>
      </w:pPr>
      <w:r>
        <w:drawing>
          <wp:inline distT="0" distB="0" distL="0" distR="0">
            <wp:extent cx="4319905" cy="2879725"/>
            <wp:effectExtent l="0" t="0" r="444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56"/>
        <w:rPr>
          <w:rFonts w:ascii="Times New Roman" w:cs="Times New Roman"/>
        </w:rPr>
      </w:pPr>
      <w:r>
        <w:rPr>
          <w:rFonts w:ascii="Times New Roman" w:cs="Times New Roman"/>
        </w:rPr>
        <w:t>图7-</w:t>
      </w:r>
      <w:r>
        <w:rPr>
          <w:rFonts w:ascii="Times New Roman" w:cs="Times New Roman"/>
        </w:rPr>
        <w:fldChar w:fldCharType="begin"/>
      </w:r>
      <w:r>
        <w:rPr>
          <w:rFonts w:ascii="Times New Roman" w:cs="Times New Roman"/>
        </w:rPr>
        <w:instrText xml:space="preserve"> SEQ 图7- \* ARABIC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t xml:space="preserve"> 2018届-2020届毕业生就业满意度变化趋势</w:t>
      </w:r>
      <w:r>
        <w:br w:type="page"/>
      </w:r>
    </w:p>
    <w:p>
      <w:pPr>
        <w:pStyle w:val="2"/>
      </w:pPr>
      <w:bookmarkStart w:id="246" w:name="_Toc61594404"/>
      <w:r>
        <w:t>第八章 总结</w:t>
      </w:r>
      <w:bookmarkEnd w:id="246"/>
    </w:p>
    <w:p>
      <w:pPr>
        <w:ind w:firstLine="420"/>
      </w:pPr>
      <w:r>
        <w:rPr>
          <w:color w:val="000000" w:themeColor="text1"/>
          <w14:textFill>
            <w14:solidFill>
              <w14:schemeClr w14:val="tx1"/>
            </w14:solidFill>
          </w14:textFill>
        </w:rPr>
        <w:t>学校</w:t>
      </w:r>
      <w:r>
        <w:t>践行</w:t>
      </w:r>
      <w:r>
        <w:rPr>
          <w:rFonts w:ascii="宋体" w:hAnsi="宋体"/>
        </w:rPr>
        <w:t>“</w:t>
      </w:r>
      <w:r>
        <w:t>至善穷理</w:t>
      </w:r>
      <w:r>
        <w:rPr>
          <w:rFonts w:ascii="宋体" w:hAnsi="宋体"/>
        </w:rPr>
        <w:t>”</w:t>
      </w:r>
      <w:r>
        <w:t>校训和</w:t>
      </w:r>
      <w:r>
        <w:rPr>
          <w:rFonts w:ascii="宋体" w:hAnsi="宋体"/>
        </w:rPr>
        <w:t>“</w:t>
      </w:r>
      <w:r>
        <w:t>三个为本</w:t>
      </w:r>
      <w:r>
        <w:rPr>
          <w:rFonts w:ascii="宋体" w:hAnsi="宋体"/>
        </w:rPr>
        <w:t>”</w:t>
      </w:r>
      <w:r>
        <w:t>办学理念</w:t>
      </w:r>
      <w:r>
        <w:rPr>
          <w:color w:val="000000" w:themeColor="text1"/>
          <w14:textFill>
            <w14:solidFill>
              <w14:schemeClr w14:val="tx1"/>
            </w14:solidFill>
          </w14:textFill>
        </w:rPr>
        <w:t>，每年为社会各界输出大量优质应用型人才。做好高校毕业生就业工作，关乎经济升级、民生改善和社会稳定。今年新冠疫情席卷全球，学校深入贯彻党中央、国务院关于做好新冠肺炎疫情防控和高校毕业生就业工作的决策部署，全面落实市委、市政府的工作要求，全力做好毕业生就业工作。毕业生就业质量是学校教育教学质量的现实反馈，根据毕业生就业质量及毕业生与用人单位的评价，学校将不断建立和完善毕业生就业对人才培养的反馈机制，以此为参考，不断完善教育教学与就业服务工作。</w:t>
      </w:r>
    </w:p>
    <w:p>
      <w:pPr>
        <w:pStyle w:val="3"/>
        <w:numPr>
          <w:ilvl w:val="0"/>
          <w:numId w:val="0"/>
        </w:numPr>
        <w:rPr>
          <w:rFonts w:cs="Times New Roman"/>
        </w:rPr>
      </w:pPr>
      <w:bookmarkStart w:id="247" w:name="_Toc12413"/>
      <w:bookmarkStart w:id="248" w:name="_Toc61594405"/>
      <w:r>
        <w:rPr>
          <w:rFonts w:cs="Times New Roman"/>
        </w:rPr>
        <w:t>一、就业质量</w:t>
      </w:r>
      <w:bookmarkEnd w:id="247"/>
      <w:bookmarkEnd w:id="248"/>
    </w:p>
    <w:p>
      <w:pPr>
        <w:ind w:firstLine="422"/>
      </w:pPr>
      <w:r>
        <w:rPr>
          <w:b/>
          <w:color w:val="000000" w:themeColor="text1"/>
          <w14:textFill>
            <w14:solidFill>
              <w14:schemeClr w14:val="tx1"/>
            </w14:solidFill>
          </w14:textFill>
        </w:rPr>
        <w:t>受新冠疫情冲击，毕业生就业率略降，就业质量良好稳定。</w:t>
      </w:r>
      <w:r>
        <w:rPr>
          <w:color w:val="000000" w:themeColor="text1"/>
          <w14:textFill>
            <w14:solidFill>
              <w14:schemeClr w14:val="tx1"/>
            </w14:solidFill>
          </w14:textFill>
        </w:rPr>
        <w:t>学校2020届毕业生人数为4404人，其中66.10%的毕业生来自湖南省，就业人数为3863人，就业率为87.72%</w:t>
      </w:r>
      <w:r>
        <w:rPr>
          <w:rFonts w:hint="eastAsia"/>
          <w:color w:val="000000" w:themeColor="text1"/>
          <w14:textFill>
            <w14:solidFill>
              <w14:schemeClr w14:val="tx1"/>
            </w14:solidFill>
          </w14:textFill>
        </w:rPr>
        <w:t>，年终就业率为90.03%</w:t>
      </w:r>
      <w:r>
        <w:rPr>
          <w:color w:val="000000" w:themeColor="text1"/>
          <w14:textFill>
            <w14:solidFill>
              <w14:schemeClr w14:val="tx1"/>
            </w14:solidFill>
          </w14:textFill>
        </w:rPr>
        <w:t>；其中本科毕业生人数为4195人，就业人数为3666，就业率为87.39%；硕士毕业生人数为209人，就业人数为197人，就业率为94.26%。受新冠疫情影响，相较2019届毕业生（90.14%）就业率有所下降。2020届毕业生中有535人选择继续深造，升学率为12.15%，高于2019届毕业生升学率（11.50%），其中31.40%的毕业生被</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双一流</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高校录取。</w:t>
      </w:r>
      <w:r>
        <w:rPr>
          <w:szCs w:val="21"/>
        </w:rPr>
        <w:t>毕业生的就业满意度达83.12%，较2019届（</w:t>
      </w:r>
      <w:r>
        <w:rPr>
          <w:rFonts w:hint="eastAsia"/>
          <w:szCs w:val="21"/>
        </w:rPr>
        <w:t>80.56</w:t>
      </w:r>
      <w:r>
        <w:rPr>
          <w:szCs w:val="21"/>
        </w:rPr>
        <w:t>%）有</w:t>
      </w:r>
      <w:r>
        <w:rPr>
          <w:rFonts w:hint="eastAsia"/>
          <w:szCs w:val="21"/>
        </w:rPr>
        <w:t>所</w:t>
      </w:r>
      <w:r>
        <w:rPr>
          <w:szCs w:val="21"/>
        </w:rPr>
        <w:t>提升。毕业生</w:t>
      </w:r>
      <w:r>
        <w:rPr>
          <w:color w:val="000000" w:themeColor="text1"/>
          <w14:textFill>
            <w14:solidFill>
              <w14:schemeClr w14:val="tx1"/>
            </w14:solidFill>
          </w14:textFill>
        </w:rPr>
        <w:t>就业专业相关度为74.12%，较2019届毕业生（74.00%）有所提高。毕业生的职业期待吻合度为87.31%。</w:t>
      </w:r>
      <w:r>
        <w:t>2018-2020届总体毕业生平均薪资呈持续上升趋势，相较2019届，2020届毕业生平均薪资增加了223元（增长4.31%）。87.89%的毕业生获得了来自用人单位的福利保障。92.99%的毕业生认为目前工作稳定性较好，92.24%的毕业生对工作环境保持满意。经历新冠疫情洗礼后，2020届毕业生的就业相关数据依旧保持在较高水准。</w:t>
      </w:r>
    </w:p>
    <w:p>
      <w:pPr>
        <w:ind w:firstLine="422"/>
        <w:rPr>
          <w:color w:val="000000" w:themeColor="text1"/>
          <w14:textFill>
            <w14:solidFill>
              <w14:schemeClr w14:val="tx1"/>
            </w14:solidFill>
          </w14:textFill>
        </w:rPr>
      </w:pPr>
      <w:r>
        <w:rPr>
          <w:b/>
        </w:rPr>
        <w:t>毕业生服务国家战略布局，反哺地方经济发展。</w:t>
      </w:r>
      <w:r>
        <w:t>为实现区域均衡发展和人才资源的有效配置，学校积极响应国家号召，有效引导毕业生服务国家发展战略 ，参加国家就业项目。毕业生在</w:t>
      </w:r>
      <w:r>
        <w:rPr>
          <w:rFonts w:hint="eastAsia"/>
        </w:rPr>
        <w:t>“</w:t>
      </w:r>
      <w:r>
        <w:t>长江经济带</w:t>
      </w:r>
      <w:r>
        <w:rPr>
          <w:rFonts w:hint="eastAsia"/>
        </w:rPr>
        <w:t>”</w:t>
      </w:r>
      <w:r>
        <w:t>就业2183人（占比66.13%），</w:t>
      </w:r>
      <w:r>
        <w:rPr>
          <w:rFonts w:hint="eastAsia"/>
        </w:rPr>
        <w:t>“</w:t>
      </w:r>
      <w:r>
        <w:t>一带一路</w:t>
      </w:r>
      <w:r>
        <w:rPr>
          <w:rFonts w:hint="eastAsia"/>
        </w:rPr>
        <w:t>”经济带</w:t>
      </w:r>
      <w:r>
        <w:t>就业1207人（占比36.56%），</w:t>
      </w:r>
      <w:r>
        <w:rPr>
          <w:rFonts w:hint="eastAsia"/>
        </w:rPr>
        <w:t>“</w:t>
      </w:r>
      <w:r>
        <w:t>粤港澳大湾区</w:t>
      </w:r>
      <w:r>
        <w:rPr>
          <w:rFonts w:hint="eastAsia"/>
        </w:rPr>
        <w:t>”</w:t>
      </w:r>
      <w:r>
        <w:t>就业658人（占比19.93%），</w:t>
      </w:r>
      <w:r>
        <w:rPr>
          <w:rFonts w:hint="eastAsia"/>
        </w:rPr>
        <w:t>“</w:t>
      </w:r>
      <w:r>
        <w:t>西部地区</w:t>
      </w:r>
      <w:r>
        <w:rPr>
          <w:rFonts w:hint="eastAsia"/>
        </w:rPr>
        <w:t>”</w:t>
      </w:r>
      <w:r>
        <w:t>就业221人（占比6.69%），</w:t>
      </w:r>
      <w:r>
        <w:rPr>
          <w:rFonts w:hint="eastAsia"/>
        </w:rPr>
        <w:t>“</w:t>
      </w:r>
      <w:r>
        <w:t>京津冀经济圈</w:t>
      </w:r>
      <w:r>
        <w:rPr>
          <w:rFonts w:hint="eastAsia"/>
        </w:rPr>
        <w:t>”</w:t>
      </w:r>
      <w:r>
        <w:t>就业141人（占比4.27%）。2020届毕业生积极响应国家战略布局的同时，还反哺母校地方经济发展方面。有47.41%的毕业生选择留在湖南就业，15.69%的毕业生选择在母校所在地岳阳市就业，其中49.81%的毕业生选择在岳阳市教育行业就业。</w:t>
      </w:r>
    </w:p>
    <w:p>
      <w:pPr>
        <w:pStyle w:val="3"/>
        <w:numPr>
          <w:ilvl w:val="0"/>
          <w:numId w:val="0"/>
        </w:numPr>
        <w:rPr>
          <w:rFonts w:cs="Times New Roman"/>
        </w:rPr>
      </w:pPr>
      <w:bookmarkStart w:id="249" w:name="_Toc61594406"/>
      <w:bookmarkStart w:id="250" w:name="_Toc23925"/>
      <w:r>
        <w:rPr>
          <w:rFonts w:cs="Times New Roman"/>
        </w:rPr>
        <w:t>二、教育教学工作</w:t>
      </w:r>
      <w:bookmarkEnd w:id="249"/>
      <w:bookmarkEnd w:id="250"/>
    </w:p>
    <w:p>
      <w:pPr>
        <w:ind w:firstLine="422"/>
      </w:pPr>
      <w:r>
        <w:rPr>
          <w:b/>
        </w:rPr>
        <w:t>毕业生人才培养满意度高，建议学校重视</w:t>
      </w:r>
      <w:r>
        <w:rPr>
          <w:rFonts w:ascii="宋体" w:hAnsi="宋体"/>
          <w:b/>
        </w:rPr>
        <w:t>“</w:t>
      </w:r>
      <w:r>
        <w:rPr>
          <w:b/>
        </w:rPr>
        <w:t>实践+实用</w:t>
      </w:r>
      <w:r>
        <w:rPr>
          <w:rFonts w:ascii="宋体" w:hAnsi="宋体"/>
          <w:b/>
        </w:rPr>
        <w:t>”</w:t>
      </w:r>
      <w:r>
        <w:rPr>
          <w:b/>
        </w:rPr>
        <w:t>，不断优化教育教学方式方法。</w:t>
      </w:r>
      <w:r>
        <w:t>毕业生调研数据显示，毕业生对人才培养的满意度是96.44%，对母校的推荐度为96.03%。具体来看，毕业生</w:t>
      </w:r>
      <w:r>
        <w:rPr>
          <w:szCs w:val="21"/>
        </w:rPr>
        <w:t>对教师专业素养的满意度是97.38%</w:t>
      </w:r>
      <w:r>
        <w:t>，对实践教学的满意度是94.33%，对专业课程设置的满意度是94.66%。总体来讲，毕业生对母校教育教学工作的满意度高。</w:t>
      </w:r>
      <w:r>
        <w:rPr>
          <w:szCs w:val="21"/>
        </w:rPr>
        <w:t>在教师授课改进反馈建议中，66.06%的毕业生建议加强实践教学，其次是专业课内容及安排（59.16%）和教学方法和手段（58.78%）。在实践教学环节中，</w:t>
      </w:r>
      <w:r>
        <w:t>42.78%</w:t>
      </w:r>
      <w:r>
        <w:rPr>
          <w:szCs w:val="21"/>
        </w:rPr>
        <w:t>的毕业生认为应在</w:t>
      </w:r>
      <w:r>
        <w:t>课程的实践性教学</w:t>
      </w:r>
      <w:r>
        <w:rPr>
          <w:szCs w:val="21"/>
        </w:rPr>
        <w:t>方面加以改善，其次是</w:t>
      </w:r>
      <w:r>
        <w:t>专业实习、见习</w:t>
      </w:r>
      <w:r>
        <w:rPr>
          <w:szCs w:val="21"/>
        </w:rPr>
        <w:t>（</w:t>
      </w:r>
      <w:r>
        <w:t>22.55%</w:t>
      </w:r>
      <w:r>
        <w:rPr>
          <w:szCs w:val="21"/>
        </w:rPr>
        <w:t>）。</w:t>
      </w:r>
      <w:r>
        <w:t>在专业课程设置反馈建议中，70.05%</w:t>
      </w:r>
      <w:r>
        <w:rPr>
          <w:szCs w:val="21"/>
        </w:rPr>
        <w:t>的毕业生应在本专业课程的实用性方面加以改进，其次是</w:t>
      </w:r>
      <w:r>
        <w:t>专业课开设的先后顺序</w:t>
      </w:r>
      <w:r>
        <w:rPr>
          <w:szCs w:val="21"/>
        </w:rPr>
        <w:t>（</w:t>
      </w:r>
      <w:r>
        <w:t>47.32%</w:t>
      </w:r>
      <w:r>
        <w:rPr>
          <w:szCs w:val="21"/>
        </w:rPr>
        <w:t>）和</w:t>
      </w:r>
      <w:r>
        <w:t>实践课程安排次数（45.33%）</w:t>
      </w:r>
      <w:r>
        <w:rPr>
          <w:szCs w:val="21"/>
        </w:rPr>
        <w:t>。</w:t>
      </w:r>
    </w:p>
    <w:p>
      <w:pPr>
        <w:ind w:firstLine="422"/>
        <w:rPr>
          <w:szCs w:val="21"/>
        </w:rPr>
      </w:pPr>
      <w:r>
        <w:rPr>
          <w:b/>
        </w:rPr>
        <w:t>用人单位对毕业生满意度高，建议学校提升毕业生综合素养，增强岗位适应能力。</w:t>
      </w:r>
      <w:r>
        <w:rPr>
          <w:szCs w:val="21"/>
        </w:rPr>
        <w:t>用人单位对学校人才培养的满意度高达100.00%。</w:t>
      </w:r>
      <w:r>
        <w:t>用人单位认为，招聘学校毕业生时最看重的是综合素质（53.09%），其次为社会适应能力（40.74%）和所学专业（32.10%）。</w:t>
      </w:r>
      <w:r>
        <w:rPr>
          <w:szCs w:val="21"/>
        </w:rPr>
        <w:t>而在校期间，除专业知识的教授外，学校也打磨了毕业生的个人素质和工作能力，而这些也是毕业生在走向社会成为职业人所需要具备的素养。用人单位对毕业生相关能力素养</w:t>
      </w:r>
      <w:r>
        <w:t>满意度较高的有</w:t>
      </w:r>
      <w:r>
        <w:rPr>
          <w:rFonts w:ascii="宋体" w:hAnsi="宋体"/>
        </w:rPr>
        <w:t>“</w:t>
      </w:r>
      <w:r>
        <w:t>道德观、价值观与行为礼仪等基本素养</w:t>
      </w:r>
      <w:r>
        <w:rPr>
          <w:rFonts w:ascii="宋体" w:hAnsi="宋体"/>
        </w:rPr>
        <w:t>”</w:t>
      </w:r>
      <w:r>
        <w:t>（100.00%）和</w:t>
      </w:r>
      <w:r>
        <w:rPr>
          <w:rFonts w:ascii="宋体" w:hAnsi="宋体"/>
        </w:rPr>
        <w:t>“</w:t>
      </w:r>
      <w:r>
        <w:t>人生态度、身体素质</w:t>
      </w:r>
      <w:r>
        <w:rPr>
          <w:rFonts w:ascii="宋体" w:hAnsi="宋体"/>
        </w:rPr>
        <w:t>”</w:t>
      </w:r>
      <w:r>
        <w:t>（100.00%），而满意度相对较低的是</w:t>
      </w:r>
      <w:r>
        <w:rPr>
          <w:rFonts w:ascii="宋体" w:hAnsi="宋体"/>
        </w:rPr>
        <w:t>“</w:t>
      </w:r>
      <w:r>
        <w:t>吃苦耐劳精神、抗压抗挫、对环境的适应、应变能力</w:t>
      </w:r>
      <w:r>
        <w:rPr>
          <w:rFonts w:ascii="宋体" w:hAnsi="宋体"/>
        </w:rPr>
        <w:t>”</w:t>
      </w:r>
      <w:r>
        <w:t>（95.88%）和</w:t>
      </w:r>
      <w:r>
        <w:rPr>
          <w:rFonts w:ascii="宋体" w:hAnsi="宋体"/>
        </w:rPr>
        <w:t>“</w:t>
      </w:r>
      <w:r>
        <w:t>自主学习与能力拓展水平</w:t>
      </w:r>
      <w:r>
        <w:rPr>
          <w:rFonts w:ascii="宋体" w:hAnsi="宋体"/>
        </w:rPr>
        <w:t>”</w:t>
      </w:r>
      <w:r>
        <w:t>（98.27%）。</w:t>
      </w:r>
      <w:r>
        <w:rPr>
          <w:szCs w:val="21"/>
        </w:rPr>
        <w:t>用人单位在人才培养方面建议主要是加强对毕业生</w:t>
      </w:r>
      <w:r>
        <w:t>职业素养的培养（33.33%）、团队协作能力培养（33.33%）和创新能力的培养（26.27%）。</w:t>
      </w:r>
      <w:r>
        <w:rPr>
          <w:szCs w:val="21"/>
        </w:rPr>
        <w:t>学校在对毕业生在校期间各方面能力的培养提升需要着重发力。</w:t>
      </w:r>
    </w:p>
    <w:p>
      <w:pPr>
        <w:pStyle w:val="3"/>
        <w:numPr>
          <w:ilvl w:val="0"/>
          <w:numId w:val="0"/>
        </w:numPr>
        <w:rPr>
          <w:rFonts w:cs="Times New Roman"/>
        </w:rPr>
      </w:pPr>
      <w:bookmarkStart w:id="251" w:name="_Toc10280"/>
      <w:bookmarkStart w:id="252" w:name="_Toc61594407"/>
      <w:r>
        <w:rPr>
          <w:rFonts w:cs="Times New Roman"/>
        </w:rPr>
        <w:t>三、就业创业服务</w:t>
      </w:r>
      <w:bookmarkEnd w:id="251"/>
      <w:bookmarkEnd w:id="252"/>
    </w:p>
    <w:p>
      <w:pPr>
        <w:widowControl w:val="0"/>
        <w:autoSpaceDE w:val="0"/>
        <w:autoSpaceDN w:val="0"/>
        <w:adjustRightInd w:val="0"/>
        <w:spacing w:before="156" w:beforeLines="50"/>
        <w:ind w:firstLine="420" w:firstLineChars="0"/>
      </w:pPr>
      <w:bookmarkStart w:id="253" w:name="OLE_LINK77"/>
      <w:bookmarkStart w:id="254" w:name="OLE_LINK78"/>
      <w:r>
        <w:rPr>
          <w:b/>
        </w:rPr>
        <w:t>毕业生对学校疫情就业工作攻坚战认可度高，建议线上就业服务常态化，加强个性化就业辅导。</w:t>
      </w:r>
      <w:r>
        <w:t>2020届毕业生对就创业指导与服务的总体满意度是</w:t>
      </w:r>
      <w:r>
        <w:rPr>
          <w:szCs w:val="21"/>
        </w:rPr>
        <w:t>96.05%</w:t>
      </w:r>
      <w:r>
        <w:t>，总体来看，毕业半年内较为稳定，没有更换过工作的比例为81.72%，疫情下，大多毕业生倾向于先就业再择业。总体来讲，毕业生和用人单位对学校就业服务的满意度高。</w:t>
      </w:r>
    </w:p>
    <w:p>
      <w:pPr>
        <w:ind w:firstLine="420"/>
      </w:pPr>
      <w:r>
        <w:t>在毕业生对下列各项就业指导与服务的评分中，得分较高的为就业信息提供与发布，得分为4.19分；其次为创业咨询与实践指导（4.12分）、职业咨询/辅导（4.04分）；得分较低的为就业政策宣传与讲解（3.90分）、就业/创业指导课（3.97分）等。</w:t>
      </w:r>
      <w:bookmarkEnd w:id="253"/>
      <w:bookmarkEnd w:id="254"/>
      <w:r>
        <w:rPr>
          <w:szCs w:val="21"/>
        </w:rPr>
        <w:t>未就业毕业生期望母校提供的求职帮助主要为增加职位信息（55.45%）、求职技巧培训（43.33%）和求职技巧培训（40.91%）。</w:t>
      </w:r>
      <w:r>
        <w:t>疫情让今年的就业工作困难度增加不少，学校应主动思考如何应对后疫情时期，以线上招聘为主的方式对高校就业工作带来的挑战，不断调整和优化就业指导，学校要将疫情线上化就业服务常态化。</w:t>
      </w:r>
    </w:p>
    <w:p>
      <w:pPr>
        <w:ind w:firstLine="422"/>
      </w:pPr>
      <w:r>
        <w:rPr>
          <w:b/>
        </w:rPr>
        <w:t>用人单位对学校就业服务工作满意度高，建议深入校企合作，升级信息化建设，实现人才供需双方精准对接。</w:t>
      </w:r>
      <w:r>
        <w:t>调研样本中的用人单位最主要的招聘渠道为</w:t>
      </w:r>
      <w:r>
        <w:rPr>
          <w:rFonts w:hint="eastAsia"/>
        </w:rPr>
        <w:t>校园招聘</w:t>
      </w:r>
      <w:r>
        <w:t>，占比</w:t>
      </w:r>
      <w:r>
        <w:rPr>
          <w:rFonts w:hint="eastAsia"/>
        </w:rPr>
        <w:t>53.72</w:t>
      </w:r>
      <w:r>
        <w:t>%。用人单位对学校就业服务各项工作评价如下：满意度达到100.00%的有招聘会的组织工作和档案管理，对就业网站建设及信息服务的满意度为99.43%。调研样本中的用人单位认为学校就业服务需要改进的内容主要为增加校园招聘会场次（3</w:t>
      </w:r>
      <w:r>
        <w:rPr>
          <w:rFonts w:hint="eastAsia"/>
        </w:rPr>
        <w:t>4.51</w:t>
      </w:r>
      <w:r>
        <w:t>%）</w:t>
      </w:r>
      <w:r>
        <w:rPr>
          <w:rFonts w:hint="eastAsia"/>
        </w:rPr>
        <w:t>、</w:t>
      </w:r>
      <w:r>
        <w:t>及时更新发布招聘信息（29.80%）、加强应届毕业生就业指导（27.45%）。</w:t>
      </w:r>
    </w:p>
    <w:p>
      <w:pPr>
        <w:ind w:firstLine="420"/>
      </w:pPr>
      <w:r>
        <w:br w:type="page"/>
      </w:r>
    </w:p>
    <w:p>
      <w:pPr>
        <w:ind w:firstLine="880"/>
      </w:pPr>
      <w:r>
        <w:rPr>
          <w:sz w:val="44"/>
        </w:rPr>
        <w:drawing>
          <wp:anchor distT="0" distB="0" distL="114300" distR="114300" simplePos="0" relativeHeight="251664384" behindDoc="0" locked="0" layoutInCell="1" allowOverlap="1">
            <wp:simplePos x="0" y="0"/>
            <wp:positionH relativeFrom="page">
              <wp:align>left</wp:align>
            </wp:positionH>
            <wp:positionV relativeFrom="paragraph">
              <wp:posOffset>-914400</wp:posOffset>
            </wp:positionV>
            <wp:extent cx="15062200" cy="10715625"/>
            <wp:effectExtent l="0" t="0" r="635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62443" cy="10715625"/>
                    </a:xfrm>
                    <a:prstGeom prst="rect">
                      <a:avLst/>
                    </a:prstGeom>
                  </pic:spPr>
                </pic:pic>
              </a:graphicData>
            </a:graphic>
          </wp:anchor>
        </w:drawing>
      </w:r>
    </w:p>
    <w:sectPr>
      <w:headerReference r:id="rId15" w:type="default"/>
      <w:footerReference r:id="rId17" w:type="default"/>
      <w:headerReference r:id="rId16" w:type="even"/>
      <w:footerReference r:id="rId18" w:type="even"/>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Yuppy SC">
    <w:altName w:val="宋体"/>
    <w:panose1 w:val="00000000000000000000"/>
    <w:charset w:val="86"/>
    <w:family w:val="swiss"/>
    <w:pitch w:val="default"/>
    <w:sig w:usb0="00000000" w:usb1="00000000" w:usb2="0000001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7512761"/>
      <w:docPartObj>
        <w:docPartGallery w:val="autotext"/>
      </w:docPartObj>
    </w:sdtPr>
    <w:sdtContent>
      <w:p>
        <w:pPr>
          <w:pStyle w:val="20"/>
          <w:ind w:firstLine="36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720072"/>
      <w:docPartObj>
        <w:docPartGallery w:val="autotext"/>
      </w:docPartObj>
    </w:sdtPr>
    <w:sdtContent>
      <w:p>
        <w:pPr>
          <w:pStyle w:val="20"/>
          <w:ind w:firstLine="360"/>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6226017"/>
      <w:docPartObj>
        <w:docPartGallery w:val="autotext"/>
      </w:docPartObj>
    </w:sdtPr>
    <w:sdtContent>
      <w:p>
        <w:pPr>
          <w:pStyle w:val="20"/>
          <w:ind w:firstLine="360"/>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5051420"/>
      <w:docPartObj>
        <w:docPartGallery w:val="autotext"/>
      </w:docPartObj>
    </w:sdtPr>
    <w:sdtContent>
      <w:p>
        <w:pPr>
          <w:pStyle w:val="20"/>
          <w:ind w:firstLine="360"/>
          <w:jc w:val="right"/>
        </w:pPr>
        <w:r>
          <w:fldChar w:fldCharType="begin"/>
        </w:r>
        <w:r>
          <w:instrText xml:space="preserve">PAGE   \* MERGEFORMAT</w:instrText>
        </w:r>
        <w:r>
          <w:fldChar w:fldCharType="separate"/>
        </w:r>
        <w:r>
          <w:rPr>
            <w:lang w:val="zh-CN"/>
          </w:rPr>
          <w:t>63</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874117"/>
      <w:docPartObj>
        <w:docPartGallery w:val="autotext"/>
      </w:docPartObj>
    </w:sdtPr>
    <w:sdtContent>
      <w:p>
        <w:pPr>
          <w:pStyle w:val="20"/>
          <w:ind w:firstLine="0" w:firstLineChars="0"/>
        </w:pPr>
        <w:r>
          <w:fldChar w:fldCharType="begin"/>
        </w:r>
        <w:r>
          <w:instrText xml:space="preserve">PAGE   \* MERGEFORMAT</w:instrText>
        </w:r>
        <w:r>
          <w:fldChar w:fldCharType="separate"/>
        </w:r>
        <w:r>
          <w:rPr>
            <w:lang w:val="zh-CN"/>
          </w:rPr>
          <w:t>62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line="360" w:lineRule="auto"/>
        <w:ind w:firstLine="420"/>
      </w:pPr>
      <w:r>
        <w:separator/>
      </w:r>
    </w:p>
  </w:footnote>
  <w:footnote w:type="continuationSeparator" w:id="31">
    <w:p>
      <w:pPr>
        <w:spacing w:line="360" w:lineRule="auto"/>
        <w:ind w:firstLine="420"/>
      </w:pPr>
      <w:r>
        <w:continuationSeparator/>
      </w:r>
    </w:p>
  </w:footnote>
  <w:footnote w:id="0">
    <w:p>
      <w:pPr>
        <w:pStyle w:val="24"/>
        <w:ind w:firstLine="0" w:firstLineChars="0"/>
      </w:pPr>
      <w:r>
        <w:rPr>
          <w:vertAlign w:val="superscript"/>
        </w:rPr>
        <w:t>[</w:t>
      </w:r>
      <w:r>
        <w:rPr>
          <w:rStyle w:val="37"/>
        </w:rPr>
        <w:footnoteRef/>
      </w:r>
      <w:r>
        <w:rPr>
          <w:vertAlign w:val="superscript"/>
        </w:rPr>
        <w:t>]</w:t>
      </w:r>
      <w:r>
        <w:t xml:space="preserve"> </w:t>
      </w:r>
      <w:r>
        <w:rPr>
          <w:rFonts w:hint="eastAsia"/>
        </w:rPr>
        <w:t>按照教育部公布的就业率统计公式，就业情况包括就业、灵活就业、出国、升学、自主创业及自由职业。</w:t>
      </w:r>
    </w:p>
  </w:footnote>
  <w:footnote w:id="1">
    <w:p>
      <w:pPr>
        <w:pStyle w:val="24"/>
        <w:ind w:firstLine="0" w:firstLineChars="0"/>
      </w:pPr>
      <w:r>
        <w:rPr>
          <w:vertAlign w:val="superscript"/>
        </w:rPr>
        <w:t>[</w:t>
      </w:r>
      <w:r>
        <w:rPr>
          <w:vertAlign w:val="superscript"/>
        </w:rPr>
        <w:footnoteRef/>
      </w:r>
      <w:r>
        <w:rPr>
          <w:rFonts w:hint="eastAsia"/>
          <w:vertAlign w:val="superscript"/>
        </w:rPr>
        <w:t>]</w:t>
      </w:r>
      <w:r>
        <w:t xml:space="preserve"> </w:t>
      </w:r>
      <w:r>
        <w:rPr>
          <w:rFonts w:hint="eastAsia" w:ascii="宋体" w:hAnsi="宋体"/>
        </w:rPr>
        <w:t>“</w:t>
      </w:r>
      <w:r>
        <w:rPr>
          <w:rFonts w:hint="eastAsia"/>
        </w:rPr>
        <w:t>长江经济带</w:t>
      </w:r>
      <w:r>
        <w:rPr>
          <w:rFonts w:hint="eastAsia" w:ascii="宋体" w:hAnsi="宋体"/>
        </w:rPr>
        <w:t>”</w:t>
      </w:r>
      <w:r>
        <w:rPr>
          <w:rFonts w:hint="eastAsia"/>
        </w:rPr>
        <w:t>包括上海、江苏、浙江、安徽、江西、湖北、湖南、重庆、四川、云南、贵州等</w:t>
      </w:r>
      <w:r>
        <w:t>11</w:t>
      </w:r>
      <w:r>
        <w:rPr>
          <w:rFonts w:hint="eastAsia"/>
        </w:rPr>
        <w:t>个省（市、自治区）；</w:t>
      </w:r>
      <w:r>
        <w:rPr>
          <w:rFonts w:hint="eastAsia" w:ascii="宋体" w:hAnsi="宋体"/>
        </w:rPr>
        <w:t>“</w:t>
      </w:r>
      <w:r>
        <w:rPr>
          <w:rFonts w:hint="eastAsia"/>
        </w:rPr>
        <w:t>一带一路</w:t>
      </w:r>
      <w:r>
        <w:rPr>
          <w:rFonts w:hint="eastAsia" w:ascii="宋体" w:hAnsi="宋体"/>
        </w:rPr>
        <w:t>”</w:t>
      </w:r>
      <w:r>
        <w:rPr>
          <w:rFonts w:hint="eastAsia"/>
        </w:rPr>
        <w:t>包括新疆、陕西、甘肃、宁夏、青海、内蒙古、黑龙江、吉林、辽宁、广西、云南、西藏、上海、福建、广东、浙江、海南、重庆等1</w:t>
      </w:r>
      <w:r>
        <w:t>8</w:t>
      </w:r>
      <w:r>
        <w:rPr>
          <w:rFonts w:hint="eastAsia"/>
        </w:rPr>
        <w:t>个省（市、自治区）；</w:t>
      </w:r>
      <w:r>
        <w:rPr>
          <w:rFonts w:hint="eastAsia" w:ascii="宋体" w:hAnsi="宋体"/>
        </w:rPr>
        <w:t>“</w:t>
      </w:r>
      <w:r>
        <w:rPr>
          <w:rFonts w:hint="eastAsia"/>
        </w:rPr>
        <w:t>粤港澳大湾区</w:t>
      </w:r>
      <w:r>
        <w:rPr>
          <w:rFonts w:hint="eastAsia" w:ascii="宋体" w:hAnsi="宋体"/>
        </w:rPr>
        <w:t>”</w:t>
      </w:r>
      <w:r>
        <w:rPr>
          <w:rFonts w:hint="eastAsia"/>
        </w:rPr>
        <w:t>包括香港、澳门、广东等3个省（市、自治区）；</w:t>
      </w:r>
      <w:r>
        <w:rPr>
          <w:rFonts w:hint="eastAsia" w:ascii="宋体" w:hAnsi="宋体"/>
        </w:rPr>
        <w:t>“</w:t>
      </w:r>
      <w:r>
        <w:rPr>
          <w:rFonts w:hint="eastAsia"/>
        </w:rPr>
        <w:t>西部地区</w:t>
      </w:r>
      <w:r>
        <w:rPr>
          <w:rFonts w:hint="eastAsia" w:ascii="宋体" w:hAnsi="宋体"/>
        </w:rPr>
        <w:t>”</w:t>
      </w:r>
      <w:r>
        <w:rPr>
          <w:rFonts w:hint="eastAsia"/>
        </w:rPr>
        <w:t>包括广西、四川、甘肃、贵州、重庆、云南、陕西、新疆、青海、西藏、宁夏、内蒙古等1</w:t>
      </w:r>
      <w:r>
        <w:t>2</w:t>
      </w:r>
      <w:r>
        <w:rPr>
          <w:rFonts w:hint="eastAsia"/>
        </w:rPr>
        <w:t>个省（市、自治区）；</w:t>
      </w:r>
      <w:r>
        <w:rPr>
          <w:rFonts w:hint="eastAsia" w:ascii="宋体" w:hAnsi="宋体"/>
        </w:rPr>
        <w:t>“</w:t>
      </w:r>
      <w:r>
        <w:rPr>
          <w:rFonts w:hint="eastAsia"/>
        </w:rPr>
        <w:t>京津冀地区</w:t>
      </w:r>
      <w:r>
        <w:rPr>
          <w:rFonts w:hint="eastAsia" w:ascii="宋体" w:hAnsi="宋体"/>
        </w:rPr>
        <w:t>”</w:t>
      </w:r>
      <w:r>
        <w:rPr>
          <w:rFonts w:hint="eastAsia"/>
        </w:rPr>
        <w:t>包括北京、天津、河北等3个省（市、自治区）；</w:t>
      </w:r>
      <w:r>
        <w:rPr>
          <w:rFonts w:hint="eastAsia" w:ascii="宋体" w:hAnsi="宋体"/>
        </w:rPr>
        <w:t>“</w:t>
      </w:r>
      <w:r>
        <w:rPr>
          <w:rFonts w:hint="eastAsia"/>
        </w:rPr>
        <w:t>海南自贸区</w:t>
      </w:r>
      <w:r>
        <w:rPr>
          <w:rFonts w:hint="eastAsia" w:ascii="宋体" w:hAnsi="宋体"/>
        </w:rPr>
        <w:t>”</w:t>
      </w:r>
      <w:r>
        <w:rPr>
          <w:rFonts w:hint="eastAsia"/>
        </w:rPr>
        <w:t>包括海南省；</w:t>
      </w:r>
      <w:r>
        <w:rPr>
          <w:rFonts w:hint="eastAsia" w:ascii="宋体" w:hAnsi="宋体"/>
        </w:rPr>
        <w:t>“</w:t>
      </w:r>
      <w:r>
        <w:rPr>
          <w:rFonts w:hint="eastAsia"/>
        </w:rPr>
        <w:t>东北地区</w:t>
      </w:r>
      <w:r>
        <w:rPr>
          <w:rFonts w:hint="eastAsia" w:ascii="宋体" w:hAnsi="宋体"/>
        </w:rPr>
        <w:t>”</w:t>
      </w:r>
      <w:r>
        <w:rPr>
          <w:rFonts w:hint="eastAsia"/>
        </w:rPr>
        <w:t>包括黑龙江、吉林、辽宁等3个省（市、自治区）。</w:t>
      </w:r>
    </w:p>
  </w:footnote>
  <w:footnote w:id="2">
    <w:p>
      <w:pPr>
        <w:pStyle w:val="24"/>
        <w:ind w:firstLine="0" w:firstLineChars="0"/>
        <w:rPr>
          <w:rFonts w:ascii="楷体" w:hAnsi="楷体" w:eastAsia="楷体"/>
        </w:rPr>
      </w:pPr>
      <w:r>
        <w:rPr>
          <w:rFonts w:hint="eastAsia"/>
          <w:vertAlign w:val="superscript"/>
        </w:rPr>
        <w:t>[</w:t>
      </w:r>
      <w:r>
        <w:rPr>
          <w:vertAlign w:val="superscript"/>
        </w:rPr>
        <w:footnoteRef/>
      </w:r>
      <w:r>
        <w:rPr>
          <w:vertAlign w:val="superscript"/>
        </w:rPr>
        <w:t>]</w:t>
      </w:r>
      <w:r>
        <w:t xml:space="preserve"> </w:t>
      </w:r>
      <w:r>
        <w:rPr>
          <w:rFonts w:hint="eastAsia"/>
        </w:rPr>
        <w:t>基层就业指在县及县以下城镇社区、农村等就业。</w:t>
      </w:r>
    </w:p>
  </w:footnote>
  <w:footnote w:id="3">
    <w:p>
      <w:pPr>
        <w:pStyle w:val="24"/>
        <w:ind w:firstLine="0" w:firstLineChars="0"/>
      </w:pPr>
      <w:r>
        <w:rPr>
          <w:vertAlign w:val="superscript"/>
        </w:rPr>
        <w:t>[</w:t>
      </w:r>
      <w:r>
        <w:rPr>
          <w:vertAlign w:val="superscript"/>
        </w:rPr>
        <w:footnoteRef/>
      </w:r>
      <w:r>
        <w:rPr>
          <w:rFonts w:hint="eastAsia"/>
          <w:vertAlign w:val="superscript"/>
        </w:rPr>
        <w:t>]</w:t>
      </w:r>
      <w:r>
        <w:rPr>
          <w:vertAlign w:val="superscript"/>
        </w:rPr>
        <w:t xml:space="preserve"> </w:t>
      </w:r>
      <w:r>
        <w:rPr>
          <w:rFonts w:hint="eastAsia"/>
        </w:rPr>
        <w:t>根据国务院发展研究中心发布的《地区协调发展的战略和政策》报告，将全国除港澳台以外的31个省（直辖市、自治区）划分为八大经济区，具体划分如下：A.长江中游经济区，包含湖南、湖北、江西、安徽；B.南部沿海经济区，包含广东、福建、海南；C.东部沿海经济区，包含浙江、上海、江苏；D.西南经济区，包含贵州、四川、广西、云南、重庆；E.北部沿海经济区，包含北京、山东、河北、天津；F.黄河中游经济区，包含河南、陕西、山西、内蒙古；G.大西北经济区，包含新疆、西藏、青海、甘肃、宁夏；H.东北综合经济区，包含黑龙江、辽宁、吉林。</w:t>
      </w:r>
    </w:p>
  </w:footnote>
  <w:footnote w:id="4">
    <w:p>
      <w:pPr>
        <w:pStyle w:val="24"/>
        <w:ind w:firstLine="0" w:firstLineChars="0"/>
      </w:pPr>
      <w:r>
        <w:rPr>
          <w:vertAlign w:val="superscript"/>
        </w:rPr>
        <w:t>[</w:t>
      </w:r>
      <w:r>
        <w:rPr>
          <w:rStyle w:val="37"/>
        </w:rPr>
        <w:footnoteRef/>
      </w:r>
      <w:r>
        <w:rPr>
          <w:vertAlign w:val="superscript"/>
        </w:rPr>
        <w:t>]</w:t>
      </w:r>
      <w:r>
        <w:t xml:space="preserve"> </w:t>
      </w:r>
      <w:r>
        <w:rPr>
          <w:rFonts w:hint="eastAsia"/>
        </w:rPr>
        <w:t>满意度=（非常满意+比较满意+一般）/（非常满意+比较满意+一般+不太满意+非常不满意）*100%。下同。</w:t>
      </w:r>
    </w:p>
  </w:footnote>
  <w:footnote w:id="5">
    <w:p>
      <w:pPr>
        <w:pStyle w:val="24"/>
        <w:ind w:firstLine="0" w:firstLineChars="0"/>
      </w:pPr>
      <w:r>
        <w:rPr>
          <w:vertAlign w:val="superscript"/>
        </w:rPr>
        <w:t>[</w:t>
      </w:r>
      <w:r>
        <w:rPr>
          <w:rStyle w:val="37"/>
        </w:rPr>
        <w:footnoteRef/>
      </w:r>
      <w:r>
        <w:rPr>
          <w:vertAlign w:val="superscript"/>
        </w:rPr>
        <w:t xml:space="preserve">] </w:t>
      </w:r>
      <w:r>
        <w:rPr>
          <w:rFonts w:hint="eastAsia"/>
        </w:rPr>
        <w:t>仅计算样本量大于5的专业。下同。</w:t>
      </w:r>
    </w:p>
  </w:footnote>
  <w:footnote w:id="6">
    <w:p>
      <w:pPr>
        <w:pStyle w:val="24"/>
        <w:ind w:firstLine="0" w:firstLineChars="0"/>
      </w:pPr>
      <w:r>
        <w:rPr>
          <w:vertAlign w:val="superscript"/>
        </w:rPr>
        <w:t>[</w:t>
      </w:r>
      <w:r>
        <w:rPr>
          <w:rStyle w:val="37"/>
        </w:rPr>
        <w:footnoteRef/>
      </w:r>
      <w:r>
        <w:rPr>
          <w:vertAlign w:val="superscript"/>
        </w:rPr>
        <w:t xml:space="preserve">] </w:t>
      </w:r>
      <w:r>
        <w:rPr>
          <w:rFonts w:hint="eastAsia"/>
        </w:rPr>
        <w:t>保障度=（全体调研人数-企业没有任何保障的人数）/全体调研人数*100%</w:t>
      </w:r>
    </w:p>
  </w:footnote>
  <w:footnote w:id="7">
    <w:p>
      <w:pPr>
        <w:pStyle w:val="24"/>
        <w:ind w:firstLine="0" w:firstLineChars="0"/>
      </w:pPr>
      <w:r>
        <w:rPr>
          <w:rFonts w:hint="eastAsia"/>
          <w:vertAlign w:val="superscript"/>
        </w:rPr>
        <w:t>[</w:t>
      </w:r>
      <w:r>
        <w:rPr>
          <w:rStyle w:val="37"/>
        </w:rPr>
        <w:footnoteRef/>
      </w:r>
      <w:r>
        <w:rPr>
          <w:vertAlign w:val="superscript"/>
        </w:rPr>
        <w:t xml:space="preserve">] </w:t>
      </w:r>
      <w:r>
        <w:rPr>
          <w:rFonts w:hint="eastAsia"/>
        </w:rPr>
        <w:t>工伤、失业、医疗、养老共四险，生育险与医疗险已合并统称</w:t>
      </w:r>
      <w:r>
        <w:rPr>
          <w:rFonts w:hint="eastAsia" w:ascii="宋体" w:hAnsi="宋体"/>
        </w:rPr>
        <w:t>“</w:t>
      </w:r>
      <w:r>
        <w:rPr>
          <w:rFonts w:hint="eastAsia"/>
        </w:rPr>
        <w:t>四险</w:t>
      </w:r>
      <w:r>
        <w:rPr>
          <w:rFonts w:hint="eastAsia" w:ascii="宋体" w:hAnsi="宋体"/>
        </w:rPr>
        <w:t>”</w:t>
      </w:r>
      <w:r>
        <w:rPr>
          <w:rFonts w:hint="eastAsia"/>
        </w:rPr>
        <w:t>。</w:t>
      </w:r>
    </w:p>
  </w:footnote>
  <w:footnote w:id="8">
    <w:p>
      <w:pPr>
        <w:pStyle w:val="24"/>
        <w:ind w:firstLine="0" w:firstLineChars="0"/>
      </w:pPr>
      <w:r>
        <w:rPr>
          <w:vertAlign w:val="superscript"/>
        </w:rPr>
        <w:t>[</w:t>
      </w:r>
      <w:r>
        <w:rPr>
          <w:rStyle w:val="37"/>
        </w:rPr>
        <w:footnoteRef/>
      </w:r>
      <w:r>
        <w:rPr>
          <w:vertAlign w:val="superscript"/>
        </w:rPr>
        <w:t xml:space="preserve">] </w:t>
      </w:r>
      <w:r>
        <w:rPr>
          <w:rFonts w:hint="eastAsia"/>
        </w:rPr>
        <w:t>相关度=（非常相关+比较相关</w:t>
      </w:r>
      <w:r>
        <w:t>+</w:t>
      </w:r>
      <w:r>
        <w:rPr>
          <w:rFonts w:hint="eastAsia"/>
        </w:rPr>
        <w:t>一般）/（非常相关+比较相关+一般+不太相关+非常不相关）*100%</w:t>
      </w:r>
    </w:p>
  </w:footnote>
  <w:footnote w:id="9">
    <w:p>
      <w:pPr>
        <w:pStyle w:val="24"/>
        <w:ind w:firstLine="0" w:firstLineChars="0"/>
      </w:pPr>
      <w:r>
        <w:rPr>
          <w:vertAlign w:val="superscript"/>
        </w:rPr>
        <w:t>[</w:t>
      </w:r>
      <w:r>
        <w:rPr>
          <w:rStyle w:val="37"/>
        </w:rPr>
        <w:footnoteRef/>
      </w:r>
      <w:r>
        <w:rPr>
          <w:vertAlign w:val="superscript"/>
        </w:rPr>
        <w:t>]</w:t>
      </w:r>
      <w:bookmarkStart w:id="255" w:name="OLE_LINK15"/>
      <w:bookmarkStart w:id="256" w:name="OLE_LINK16"/>
      <w:r>
        <w:rPr>
          <w:vertAlign w:val="superscript"/>
        </w:rPr>
        <w:t xml:space="preserve"> </w:t>
      </w:r>
      <w:r>
        <w:rPr>
          <w:rFonts w:hint="eastAsia"/>
        </w:rPr>
        <w:t>匹配度=（非常匹配+</w:t>
      </w:r>
      <w:bookmarkStart w:id="257" w:name="OLE_LINK6"/>
      <w:bookmarkStart w:id="258" w:name="OLE_LINK5"/>
      <w:r>
        <w:rPr>
          <w:rFonts w:hint="eastAsia"/>
        </w:rPr>
        <w:t>比较匹配</w:t>
      </w:r>
      <w:bookmarkEnd w:id="257"/>
      <w:bookmarkEnd w:id="258"/>
      <w:r>
        <w:rPr>
          <w:rFonts w:hint="eastAsia"/>
        </w:rPr>
        <w:t>+一般）/（非常匹配+比较匹配+一般+不太匹配+非常不匹配）*100%</w:t>
      </w:r>
      <w:bookmarkEnd w:id="255"/>
      <w:bookmarkEnd w:id="256"/>
    </w:p>
  </w:footnote>
  <w:footnote w:id="10">
    <w:p>
      <w:pPr>
        <w:pStyle w:val="24"/>
        <w:ind w:firstLine="0" w:firstLineChars="0"/>
      </w:pPr>
      <w:r>
        <w:rPr>
          <w:vertAlign w:val="superscript"/>
        </w:rPr>
        <w:t>[</w:t>
      </w:r>
      <w:r>
        <w:rPr>
          <w:rStyle w:val="37"/>
        </w:rPr>
        <w:footnoteRef/>
      </w:r>
      <w:r>
        <w:rPr>
          <w:vertAlign w:val="superscript"/>
        </w:rPr>
        <w:t xml:space="preserve">] </w:t>
      </w:r>
      <w:bookmarkStart w:id="259" w:name="OLE_LINK20"/>
      <w:bookmarkStart w:id="260" w:name="OLE_LINK21"/>
      <w:r>
        <w:rPr>
          <w:rFonts w:hint="eastAsia"/>
        </w:rPr>
        <w:t>稳定性=（非常稳定+比较稳定+一般）/（非常</w:t>
      </w:r>
      <w:bookmarkStart w:id="261" w:name="OLE_LINK19"/>
      <w:bookmarkStart w:id="262" w:name="OLE_LINK18"/>
      <w:r>
        <w:rPr>
          <w:rFonts w:hint="eastAsia"/>
        </w:rPr>
        <w:t>稳定</w:t>
      </w:r>
      <w:bookmarkEnd w:id="261"/>
      <w:bookmarkEnd w:id="262"/>
      <w:r>
        <w:rPr>
          <w:rFonts w:hint="eastAsia"/>
        </w:rPr>
        <w:t>+比较稳定+一般+不太稳定+很不稳定）*100%</w:t>
      </w:r>
      <w:bookmarkEnd w:id="259"/>
      <w:bookmarkEnd w:id="260"/>
    </w:p>
  </w:footnote>
  <w:footnote w:id="11">
    <w:p>
      <w:pPr>
        <w:pStyle w:val="24"/>
        <w:ind w:firstLine="0" w:firstLineChars="0"/>
      </w:pPr>
      <w:r>
        <w:rPr>
          <w:vertAlign w:val="superscript"/>
        </w:rPr>
        <w:t>[</w:t>
      </w:r>
      <w:r>
        <w:rPr>
          <w:rStyle w:val="37"/>
        </w:rPr>
        <w:footnoteRef/>
      </w:r>
      <w:r>
        <w:rPr>
          <w:vertAlign w:val="superscript"/>
        </w:rPr>
        <w:t xml:space="preserve">] </w:t>
      </w:r>
      <w:r>
        <w:rPr>
          <w:rFonts w:hint="eastAsia"/>
        </w:rPr>
        <w:t>轻松度=</w:t>
      </w:r>
      <w:bookmarkStart w:id="263" w:name="OLE_LINK27"/>
      <w:bookmarkStart w:id="264" w:name="OLE_LINK26"/>
      <w:r>
        <w:rPr>
          <w:rFonts w:hint="eastAsia"/>
        </w:rPr>
        <w:t>（非常小+比较小+一般）/（非常小+比较小+一般+比较大+非常大+不了解）*100%</w:t>
      </w:r>
      <w:bookmarkEnd w:id="263"/>
      <w:bookmarkEnd w:id="264"/>
    </w:p>
  </w:footnote>
  <w:footnote w:id="12">
    <w:p>
      <w:pPr>
        <w:pStyle w:val="24"/>
        <w:ind w:firstLine="0" w:firstLineChars="0"/>
      </w:pPr>
      <w:r>
        <w:rPr>
          <w:vertAlign w:val="superscript"/>
        </w:rPr>
        <w:t>[</w:t>
      </w:r>
      <w:r>
        <w:rPr>
          <w:rStyle w:val="37"/>
          <w:rFonts w:hint="eastAsia"/>
        </w:rPr>
        <w:footnoteRef/>
      </w:r>
      <w:r>
        <w:rPr>
          <w:vertAlign w:val="superscript"/>
        </w:rPr>
        <w:t>]</w:t>
      </w:r>
      <w:r>
        <w:t xml:space="preserve"> </w:t>
      </w:r>
      <w:r>
        <w:rPr>
          <w:rFonts w:hint="eastAsia"/>
        </w:rPr>
        <w:t>多选题选项比重的计算方式：该选项被选次数与人数的比值，各选项之和大于1</w:t>
      </w:r>
      <w:r>
        <w:t>00%</w:t>
      </w:r>
      <w:r>
        <w:rPr>
          <w:rFonts w:hint="eastAsia"/>
        </w:rPr>
        <w:t>。下同。</w:t>
      </w:r>
    </w:p>
  </w:footnote>
  <w:footnote w:id="13">
    <w:p>
      <w:pPr>
        <w:pStyle w:val="24"/>
        <w:ind w:firstLine="0" w:firstLineChars="0"/>
      </w:pPr>
      <w:r>
        <w:rPr>
          <w:vertAlign w:val="superscript"/>
        </w:rPr>
        <w:t>[</w:t>
      </w:r>
      <w:r>
        <w:rPr>
          <w:rStyle w:val="37"/>
        </w:rPr>
        <w:footnoteRef/>
      </w:r>
      <w:r>
        <w:rPr>
          <w:vertAlign w:val="superscript"/>
        </w:rPr>
        <w:t>]</w:t>
      </w:r>
      <w:r>
        <w:t xml:space="preserve"> </w:t>
      </w:r>
      <w:r>
        <w:rPr>
          <w:rFonts w:hint="eastAsia"/>
        </w:rPr>
        <w:t>推荐度=</w:t>
      </w:r>
      <w:bookmarkStart w:id="265" w:name="OLE_LINK33"/>
      <w:bookmarkStart w:id="266" w:name="OLE_LINK32"/>
      <w:r>
        <w:rPr>
          <w:rFonts w:hint="eastAsia"/>
        </w:rPr>
        <w:t>（非常愿意+比较愿意+一般）/（非常愿意+比较愿意+一般+不太愿意+不愿意）*100%</w:t>
      </w:r>
      <w:bookmarkEnd w:id="265"/>
      <w:bookmarkEnd w:id="266"/>
    </w:p>
  </w:footnote>
  <w:footnote w:id="14">
    <w:p>
      <w:pPr>
        <w:pStyle w:val="24"/>
        <w:ind w:firstLine="0" w:firstLineChars="0"/>
      </w:pPr>
      <w:r>
        <w:rPr>
          <w:vertAlign w:val="superscript"/>
        </w:rPr>
        <w:t>[</w:t>
      </w:r>
      <w:r>
        <w:rPr>
          <w:rStyle w:val="37"/>
        </w:rPr>
        <w:footnoteRef/>
      </w:r>
      <w:r>
        <w:rPr>
          <w:vertAlign w:val="superscript"/>
        </w:rPr>
        <w:t xml:space="preserve">] </w:t>
      </w:r>
      <w:r>
        <w:rPr>
          <w:rFonts w:hint="eastAsia"/>
        </w:rPr>
        <w:t>趋势分析中往届数据均来源于湖南理工学院2</w:t>
      </w:r>
      <w:r>
        <w:t>018</w:t>
      </w:r>
      <w:r>
        <w:rPr>
          <w:rFonts w:hint="eastAsia"/>
        </w:rPr>
        <w:t>届与2</w:t>
      </w:r>
      <w:r>
        <w:t>019</w:t>
      </w:r>
      <w:r>
        <w:rPr>
          <w:rFonts w:hint="eastAsia"/>
        </w:rPr>
        <w:t>届毕业生就业质量年度报告，下同。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FFFFFF" w:themeColor="background1"/>
        <w:sz w:val="16"/>
        <w:szCs w:val="16"/>
        <w14:textFill>
          <w14:solidFill>
            <w14:schemeClr w14:val="bg1"/>
          </w14:solidFill>
        </w14:textFill>
      </w:rPr>
    </w:pPr>
    <w:r>
      <w:drawing>
        <wp:anchor distT="0" distB="0" distL="114300" distR="114300" simplePos="0" relativeHeight="251671552" behindDoc="0" locked="0" layoutInCell="1" allowOverlap="1">
          <wp:simplePos x="0" y="0"/>
          <wp:positionH relativeFrom="column">
            <wp:posOffset>-478790</wp:posOffset>
          </wp:positionH>
          <wp:positionV relativeFrom="paragraph">
            <wp:posOffset>-176530</wp:posOffset>
          </wp:positionV>
          <wp:extent cx="972185" cy="334645"/>
          <wp:effectExtent l="0" t="0" r="0" b="8255"/>
          <wp:wrapNone/>
          <wp:docPr id="9" name="图片 9" descr="https://gss0.baidu.com/70cFfyinKgQFm2e88IuM_a/baike/pic/item/30ecd5ef836d2108acaf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gss0.baidu.com/70cFfyinKgQFm2e88IuM_a/baike/pic/item/30ecd5ef836d2108acafd5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72000" cy="334800"/>
                  </a:xfrm>
                  <a:prstGeom prst="rect">
                    <a:avLst/>
                  </a:prstGeom>
                  <a:noFill/>
                  <a:ln>
                    <a:noFill/>
                  </a:ln>
                </pic:spPr>
              </pic:pic>
            </a:graphicData>
          </a:graphic>
        </wp:anchor>
      </w:drawing>
    </w: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page">
                <wp:posOffset>-2540</wp:posOffset>
              </wp:positionH>
              <wp:positionV relativeFrom="paragraph">
                <wp:posOffset>0</wp:posOffset>
              </wp:positionV>
              <wp:extent cx="15247620" cy="136525"/>
              <wp:effectExtent l="0" t="0" r="0" b="0"/>
              <wp:wrapNone/>
              <wp:docPr id="34" name="矩形 34"/>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0pt;height:10.75pt;width:1200.6pt;mso-position-horizontal-relative:page;z-index:-251648000;v-text-anchor:middle;mso-width-relative:page;mso-height-relative:page;" fillcolor="#FFFFFF [3212]" filled="t" stroked="f" coordsize="21600,21600" o:gfxdata="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GjDiv1gAAAAYBAAAPAAAA&#10;AAAAAAEAIAAAACIAAABkcnMvZG93bnJldi54bWxQSwECFAAUAAAACACHTuJAFN1DrcICAACeBQAA&#10;DgAAAAAAAAABACAAAAAlAQAAZHJzL2Uyb0RvYy54bWxQSwUGAAAAAAYABgBZAQAAWQYAAAAA&#10;">
              <v:fill type="gradient" on="t" color2="#113F67" colors="0f #FFFFFF;32768f #B4D4F2;65536f #113F67" angle="90" focus="100%" focussize="0,0" rotate="t"/>
              <v:stroke on="f" weight="1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002060"/>
        <w:sz w:val="16"/>
        <w:szCs w:val="16"/>
      </w:rPr>
    </w:pP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67456" behindDoc="1" locked="0" layoutInCell="1" allowOverlap="1">
              <wp:simplePos x="0" y="0"/>
              <wp:positionH relativeFrom="page">
                <wp:posOffset>-7648575</wp:posOffset>
              </wp:positionH>
              <wp:positionV relativeFrom="paragraph">
                <wp:posOffset>0</wp:posOffset>
              </wp:positionV>
              <wp:extent cx="15247620" cy="136525"/>
              <wp:effectExtent l="0" t="0" r="0" b="0"/>
              <wp:wrapNone/>
              <wp:docPr id="33" name="矩形 33"/>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2.25pt;margin-top:0pt;height:10.75pt;width:1200.6pt;mso-position-horizontal-relative:page;z-index:-251649024;v-text-anchor:middle;mso-width-relative:page;mso-height-relative:page;" fillcolor="#FFFFFF [3212]" filled="t" stroked="f" coordsize="21600,21600" o:gfxdata="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22XqnZAAAACgEAAA8A&#10;AAAAAAAAAQAgAAAAIgAAAGRycy9kb3ducmV2LnhtbFBLAQIUABQAAAAIAIdO4kCGkFf+wQIAAJ4F&#10;AAAOAAAAAAAAAAEAIAAAACgBAABkcnMvZTJvRG9jLnhtbFBLBQYAAAAABgAGAFkBAABbBgAAAAA=&#10;">
              <v:fill type="gradient" on="t" color2="#113F67" colors="0f #FFFFFF;32768f #B4D4F2;65536f #113F67" angle="90" focus="100%" focussize="0,0" rotate="t"/>
              <v:stroke on="f" weight="1pt" miterlimit="8" joinstyle="miter"/>
              <v:imagedata o:title=""/>
              <o:lock v:ext="edit" aspectratio="f"/>
            </v:rect>
          </w:pict>
        </mc:Fallback>
      </mc:AlternateContent>
    </w:r>
    <w:r>
      <w:rPr>
        <w:rFonts w:hint="eastAsia" w:ascii="楷体" w:hAnsi="楷体" w:eastAsia="楷体" w:cs="Yuppy SC"/>
        <w:b/>
        <w:color w:val="FFFFFF" w:themeColor="background1"/>
        <w:sz w:val="16"/>
        <w:szCs w:val="16"/>
        <w14:textFill>
          <w14:solidFill>
            <w14:schemeClr w14:val="bg1"/>
          </w14:solidFill>
        </w14:textFill>
      </w:rPr>
      <w:t>20</w:t>
    </w:r>
    <w:r>
      <w:rPr>
        <w:rFonts w:ascii="楷体" w:hAnsi="楷体" w:eastAsia="楷体" w:cs="Yuppy SC"/>
        <w:b/>
        <w:color w:val="FFFFFF" w:themeColor="background1"/>
        <w:sz w:val="16"/>
        <w:szCs w:val="16"/>
        <w14:textFill>
          <w14:solidFill>
            <w14:schemeClr w14:val="bg1"/>
          </w14:solidFill>
        </w14:textFill>
      </w:rPr>
      <w:t>20</w:t>
    </w:r>
    <w:r>
      <w:rPr>
        <w:rFonts w:hint="eastAsia" w:ascii="楷体" w:hAnsi="楷体" w:eastAsia="楷体" w:cs="Yuppy SC"/>
        <w:b/>
        <w:color w:val="FFFFFF" w:themeColor="background1"/>
        <w:sz w:val="16"/>
        <w:szCs w:val="16"/>
        <w14:textFill>
          <w14:solidFill>
            <w14:schemeClr w14:val="bg1"/>
          </w14:solidFill>
        </w14:textFill>
      </w:rPr>
      <w:t>届毕业生就业质量年度报告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FFFFFF" w:themeColor="background1"/>
        <w:sz w:val="16"/>
        <w:szCs w:val="16"/>
        <w14:textFill>
          <w14:solidFill>
            <w14:schemeClr w14:val="bg1"/>
          </w14:solidFill>
        </w14:textFill>
      </w:rPr>
    </w:pPr>
    <w:r>
      <w:drawing>
        <wp:anchor distT="0" distB="0" distL="114300" distR="114300" simplePos="0" relativeHeight="251672576" behindDoc="0" locked="0" layoutInCell="1" allowOverlap="1">
          <wp:simplePos x="0" y="0"/>
          <wp:positionH relativeFrom="column">
            <wp:posOffset>-479425</wp:posOffset>
          </wp:positionH>
          <wp:positionV relativeFrom="paragraph">
            <wp:posOffset>-177800</wp:posOffset>
          </wp:positionV>
          <wp:extent cx="972185" cy="334645"/>
          <wp:effectExtent l="0" t="0" r="0" b="8255"/>
          <wp:wrapNone/>
          <wp:docPr id="17" name="图片 17" descr="https://gss0.baidu.com/70cFfyinKgQFm2e88IuM_a/baike/pic/item/30ecd5ef836d2108acaf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gss0.baidu.com/70cFfyinKgQFm2e88IuM_a/baike/pic/item/30ecd5ef836d2108acafd5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72000" cy="334800"/>
                  </a:xfrm>
                  <a:prstGeom prst="rect">
                    <a:avLst/>
                  </a:prstGeom>
                  <a:noFill/>
                  <a:ln>
                    <a:noFill/>
                  </a:ln>
                </pic:spPr>
              </pic:pic>
            </a:graphicData>
          </a:graphic>
        </wp:anchor>
      </w:drawing>
    </w: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69504" behindDoc="1" locked="0" layoutInCell="1" allowOverlap="1">
              <wp:simplePos x="0" y="0"/>
              <wp:positionH relativeFrom="page">
                <wp:posOffset>-2540</wp:posOffset>
              </wp:positionH>
              <wp:positionV relativeFrom="paragraph">
                <wp:posOffset>0</wp:posOffset>
              </wp:positionV>
              <wp:extent cx="15247620" cy="136525"/>
              <wp:effectExtent l="0" t="0" r="0" b="0"/>
              <wp:wrapNone/>
              <wp:docPr id="49" name="矩形 49"/>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0pt;height:10.75pt;width:1200.6pt;mso-position-horizontal-relative:page;z-index:-251646976;v-text-anchor:middle;mso-width-relative:page;mso-height-relative:page;" fillcolor="#FFFFFF [3212]" filled="t" stroked="f" coordsize="21600,21600" o:gfxdata="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GjDiv1gAAAAYBAAAPAAAA&#10;AAAAAAEAIAAAACIAAABkcnMvZG93bnJldi54bWxQSwECFAAUAAAACACHTuJAsokA/cICAACeBQAA&#10;DgAAAAAAAAABACAAAAAlAQAAZHJzL2Uyb0RvYy54bWxQSwUGAAAAAAYABgBZAQAAWQYAAAAA&#10;">
              <v:fill type="gradient" on="t" color2="#113F67" colors="0f #FFFFFF;32768f #B4D4F2;65536f #113F67" angle="90" focus="100%" focussize="0,0" rotate="t"/>
              <v:stroke on="f" weight="1pt" miterlimit="8" joinstyle="miter"/>
              <v:imagedata o:title=""/>
              <o:lock v:ext="edit" aspectratio="f"/>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楷体" w:hAnsi="楷体" w:eastAsia="楷体"/>
        <w:b/>
        <w:sz w:val="16"/>
        <w:szCs w:val="16"/>
      </w:rPr>
    </w:pP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70528" behindDoc="1" locked="0" layoutInCell="1" allowOverlap="1">
              <wp:simplePos x="0" y="0"/>
              <wp:positionH relativeFrom="page">
                <wp:posOffset>-7629525</wp:posOffset>
              </wp:positionH>
              <wp:positionV relativeFrom="paragraph">
                <wp:posOffset>0</wp:posOffset>
              </wp:positionV>
              <wp:extent cx="15247620" cy="136525"/>
              <wp:effectExtent l="0" t="0" r="0" b="0"/>
              <wp:wrapNone/>
              <wp:docPr id="54" name="矩形 54"/>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75pt;margin-top:0pt;height:10.75pt;width:1200.6pt;mso-position-horizontal-relative:page;z-index:-251645952;v-text-anchor:middle;mso-width-relative:page;mso-height-relative:page;" fillcolor="#FFFFFF [3212]" filled="t" stroked="f" coordsize="21600,21600" o:gfxdata="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8dHAi2QAAAAoBAAAP&#10;AAAAAAAAAAEAIAAAACIAAABkcnMvZG93bnJldi54bWxQSwECFAAUAAAACACHTuJA0MP3PcICAACe&#10;BQAADgAAAAAAAAABACAAAAAoAQAAZHJzL2Uyb0RvYy54bWxQSwUGAAAAAAYABgBZAQAAXAYAAAAA&#10;">
              <v:fill type="gradient" on="t" color2="#113F67" colors="0f #FFFFFF;32768f #B4D4F2;65536f #113F67" angle="90" focus="100%" focussize="0,0" rotate="t"/>
              <v:stroke on="f" weight="1pt" miterlimit="8" joinstyle="miter"/>
              <v:imagedata o:title=""/>
              <o:lock v:ext="edit" aspectratio="f"/>
            </v:rect>
          </w:pict>
        </mc:Fallback>
      </mc:AlternateContent>
    </w:r>
    <w:r>
      <w:rPr>
        <w:rFonts w:hint="eastAsia" w:ascii="楷体" w:hAnsi="楷体" w:eastAsia="楷体" w:cs="Yuppy SC"/>
        <w:b/>
        <w:color w:val="FFFFFF" w:themeColor="background1"/>
        <w:sz w:val="16"/>
        <w:szCs w:val="16"/>
        <w14:textFill>
          <w14:solidFill>
            <w14:schemeClr w14:val="bg1"/>
          </w14:solidFill>
        </w14:textFill>
      </w:rPr>
      <w:t>20</w:t>
    </w:r>
    <w:r>
      <w:rPr>
        <w:rFonts w:ascii="楷体" w:hAnsi="楷体" w:eastAsia="楷体" w:cs="Yuppy SC"/>
        <w:b/>
        <w:color w:val="FFFFFF" w:themeColor="background1"/>
        <w:sz w:val="16"/>
        <w:szCs w:val="16"/>
        <w14:textFill>
          <w14:solidFill>
            <w14:schemeClr w14:val="bg1"/>
          </w14:solidFill>
        </w14:textFill>
      </w:rPr>
      <w:t>20</w:t>
    </w:r>
    <w:r>
      <w:rPr>
        <w:rFonts w:hint="eastAsia" w:ascii="楷体" w:hAnsi="楷体" w:eastAsia="楷体" w:cs="Yuppy SC"/>
        <w:b/>
        <w:color w:val="FFFFFF" w:themeColor="background1"/>
        <w:sz w:val="16"/>
        <w:szCs w:val="16"/>
        <w14:textFill>
          <w14:solidFill>
            <w14:schemeClr w14:val="bg1"/>
          </w14:solidFill>
        </w14:textFill>
      </w:rPr>
      <w:t>届毕业生就业质量年度报告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楷体" w:hAnsi="楷体" w:eastAsia="楷体"/>
        <w:b/>
        <w:sz w:val="16"/>
        <w:szCs w:val="16"/>
      </w:rPr>
    </w:pP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66432" behindDoc="1" locked="0" layoutInCell="1" allowOverlap="1">
              <wp:simplePos x="0" y="0"/>
              <wp:positionH relativeFrom="page">
                <wp:posOffset>-7629525</wp:posOffset>
              </wp:positionH>
              <wp:positionV relativeFrom="paragraph">
                <wp:posOffset>0</wp:posOffset>
              </wp:positionV>
              <wp:extent cx="15247620" cy="136525"/>
              <wp:effectExtent l="0" t="0" r="0" b="0"/>
              <wp:wrapNone/>
              <wp:docPr id="23" name="矩形 23"/>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75pt;margin-top:0pt;height:10.75pt;width:1200.6pt;mso-position-horizontal-relative:page;z-index:-251650048;v-text-anchor:middle;mso-width-relative:page;mso-height-relative:page;" fillcolor="#FFFFFF [3212]" filled="t" stroked="f" coordsize="21600,21600" o:gfxdata="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8dHAi2QAAAAoBAAAP&#10;AAAAAAAAAAEAIAAAACIAAABkcnMvZG93bnJldi54bWxQSwECFAAUAAAACACHTuJAZ2ixcMICAACe&#10;BQAADgAAAAAAAAABACAAAAAoAQAAZHJzL2Uyb0RvYy54bWxQSwUGAAAAAAYABgBZAQAAXAYAAAAA&#10;">
              <v:fill type="gradient" on="t" color2="#113F67" colors="0f #FFFFFF;32768f #B4D4F2;65536f #113F67" angle="90" focus="100%" focussize="0,0" rotate="t"/>
              <v:stroke on="f" weight="1pt" miterlimit="8" joinstyle="miter"/>
              <v:imagedata o:title=""/>
              <o:lock v:ext="edit" aspectratio="f"/>
            </v:rect>
          </w:pict>
        </mc:Fallback>
      </mc:AlternateContent>
    </w:r>
    <w:r>
      <w:rPr>
        <w:rFonts w:hint="eastAsia" w:ascii="楷体" w:hAnsi="楷体" w:eastAsia="楷体" w:cs="Yuppy SC"/>
        <w:b/>
        <w:color w:val="FFFFFF" w:themeColor="background1"/>
        <w:sz w:val="16"/>
        <w:szCs w:val="16"/>
        <w14:textFill>
          <w14:solidFill>
            <w14:schemeClr w14:val="bg1"/>
          </w14:solidFill>
        </w14:textFill>
      </w:rPr>
      <w:t>20</w:t>
    </w:r>
    <w:r>
      <w:rPr>
        <w:rFonts w:ascii="楷体" w:hAnsi="楷体" w:eastAsia="楷体" w:cs="Yuppy SC"/>
        <w:b/>
        <w:color w:val="FFFFFF" w:themeColor="background1"/>
        <w:sz w:val="16"/>
        <w:szCs w:val="16"/>
        <w14:textFill>
          <w14:solidFill>
            <w14:schemeClr w14:val="bg1"/>
          </w14:solidFill>
        </w14:textFill>
      </w:rPr>
      <w:t>20</w:t>
    </w:r>
    <w:r>
      <w:rPr>
        <w:rFonts w:hint="eastAsia" w:ascii="楷体" w:hAnsi="楷体" w:eastAsia="楷体" w:cs="Yuppy SC"/>
        <w:b/>
        <w:color w:val="FFFFFF" w:themeColor="background1"/>
        <w:sz w:val="16"/>
        <w:szCs w:val="16"/>
        <w14:textFill>
          <w14:solidFill>
            <w14:schemeClr w14:val="bg1"/>
          </w14:solidFill>
        </w14:textFill>
      </w:rPr>
      <w:t>届毕业生就业质量年度报告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104" w:firstLine="0" w:firstLineChars="0"/>
      <w:jc w:val="right"/>
      <w:rPr>
        <w:rFonts w:ascii="楷体" w:hAnsi="楷体" w:eastAsia="楷体" w:cs="Yuppy SC"/>
        <w:b/>
        <w:color w:val="FFFFFF" w:themeColor="background1"/>
        <w:sz w:val="16"/>
        <w:szCs w:val="16"/>
        <w14:textFill>
          <w14:solidFill>
            <w14:schemeClr w14:val="bg1"/>
          </w14:solidFill>
        </w14:textFill>
      </w:rPr>
    </w:pPr>
    <w:r>
      <w:drawing>
        <wp:anchor distT="0" distB="0" distL="114300" distR="114300" simplePos="0" relativeHeight="251673600" behindDoc="0" locked="0" layoutInCell="1" allowOverlap="1">
          <wp:simplePos x="0" y="0"/>
          <wp:positionH relativeFrom="column">
            <wp:posOffset>-478790</wp:posOffset>
          </wp:positionH>
          <wp:positionV relativeFrom="paragraph">
            <wp:posOffset>-176530</wp:posOffset>
          </wp:positionV>
          <wp:extent cx="972185" cy="334645"/>
          <wp:effectExtent l="0" t="0" r="0" b="8255"/>
          <wp:wrapNone/>
          <wp:docPr id="18" name="图片 18" descr="https://gss0.baidu.com/70cFfyinKgQFm2e88IuM_a/baike/pic/item/30ecd5ef836d2108acaf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gss0.baidu.com/70cFfyinKgQFm2e88IuM_a/baike/pic/item/30ecd5ef836d2108acafd5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72000" cy="334800"/>
                  </a:xfrm>
                  <a:prstGeom prst="rect">
                    <a:avLst/>
                  </a:prstGeom>
                  <a:noFill/>
                  <a:ln>
                    <a:noFill/>
                  </a:ln>
                </pic:spPr>
              </pic:pic>
            </a:graphicData>
          </a:graphic>
        </wp:anchor>
      </w:drawing>
    </w:r>
    <w:r>
      <w:rPr>
        <w:rFonts w:hint="eastAsia" w:ascii="楷体" w:hAnsi="楷体" w:eastAsia="楷体" w:cs="Yuppy SC"/>
        <w:b/>
        <w:color w:val="FFFFFF" w:themeColor="background1"/>
        <w:sz w:val="16"/>
        <w:szCs w:val="16"/>
        <w14:textFill>
          <w14:solidFill>
            <w14:schemeClr w14:val="bg1"/>
          </w14:solidFill>
        </w14:textFill>
      </w:rPr>
      <mc:AlternateContent>
        <mc:Choice Requires="wps">
          <w:drawing>
            <wp:anchor distT="0" distB="0" distL="114300" distR="114300" simplePos="0" relativeHeight="251665408" behindDoc="1" locked="0" layoutInCell="1" allowOverlap="1">
              <wp:simplePos x="0" y="0"/>
              <wp:positionH relativeFrom="page">
                <wp:posOffset>-2540</wp:posOffset>
              </wp:positionH>
              <wp:positionV relativeFrom="paragraph">
                <wp:posOffset>0</wp:posOffset>
              </wp:positionV>
              <wp:extent cx="15247620" cy="136525"/>
              <wp:effectExtent l="0" t="0" r="0" b="0"/>
              <wp:wrapNone/>
              <wp:docPr id="31" name="矩形 31"/>
              <wp:cNvGraphicFramePr/>
              <a:graphic xmlns:a="http://schemas.openxmlformats.org/drawingml/2006/main">
                <a:graphicData uri="http://schemas.microsoft.com/office/word/2010/wordprocessingShape">
                  <wps:wsp>
                    <wps:cNvSpPr/>
                    <wps:spPr>
                      <a:xfrm>
                        <a:off x="0" y="0"/>
                        <a:ext cx="15247916" cy="136567"/>
                      </a:xfrm>
                      <a:prstGeom prst="rect">
                        <a:avLst/>
                      </a:prstGeom>
                      <a:gradFill flip="none" rotWithShape="1">
                        <a:gsLst>
                          <a:gs pos="100000">
                            <a:srgbClr val="113F67"/>
                          </a:gs>
                          <a:gs pos="0">
                            <a:schemeClr val="bg1"/>
                          </a:gs>
                          <a:gs pos="50000">
                            <a:srgbClr val="B4D4F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0pt;height:10.75pt;width:1200.6pt;mso-position-horizontal-relative:page;z-index:-251651072;v-text-anchor:middle;mso-width-relative:page;mso-height-relative:page;" fillcolor="#FFFFFF [3212]" filled="t" stroked="f" coordsize="21600,21600" o:gfxdata="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jDiv1gAAAAYBAAAP&#10;AAAAAAAAAAEAIAAAACIAAABkcnMvZG93bnJldi54bWxQSwECFAAUAAAACACHTuJAvKF5TsUCAACe&#10;BQAADgAAAAAAAAABACAAAAAlAQAAZHJzL2Uyb0RvYy54bWxQSwUGAAAAAAYABgBZAQAAXAYAAAAA&#10;">
              <v:fill type="gradient" on="t" color2="#113F67" colors="0f #FFFFFF;32768f #B4D4F2;65536f #113F67" angle="90" focus="100%" focussize="0,0" rotate="t"/>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AC0459"/>
    <w:multiLevelType w:val="multilevel"/>
    <w:tmpl w:val="28AC0459"/>
    <w:lvl w:ilvl="0" w:tentative="0">
      <w:start w:val="1"/>
      <w:numFmt w:val="chineseCountingThousand"/>
      <w:suff w:val="space"/>
      <w:lvlText w:val="第%1章"/>
      <w:lvlJc w:val="left"/>
      <w:pPr>
        <w:ind w:left="0" w:firstLine="0"/>
      </w:pPr>
      <w:rPr>
        <w:rFonts w:hint="eastAsia"/>
      </w:rPr>
    </w:lvl>
    <w:lvl w:ilvl="1" w:tentative="0">
      <w:start w:val="1"/>
      <w:numFmt w:val="ideographDigital"/>
      <w:suff w:val="space"/>
      <w:lvlText w:val="%2"/>
      <w:lvlJc w:val="left"/>
      <w:pPr>
        <w:ind w:left="0" w:firstLine="0"/>
      </w:pPr>
      <w:rPr>
        <w:rFonts w:hint="default" w:eastAsia="宋体"/>
      </w:rPr>
    </w:lvl>
    <w:lvl w:ilvl="2" w:tentative="0">
      <w:start w:val="1"/>
      <w:numFmt w:val="ideographDigital"/>
      <w:suff w:val="space"/>
      <w:lvlText w:val="（%3）"/>
      <w:lvlJc w:val="left"/>
      <w:pPr>
        <w:ind w:left="0" w:firstLine="0"/>
      </w:pPr>
      <w:rPr>
        <w:rFonts w:hint="eastAsia"/>
      </w:rPr>
    </w:lvl>
    <w:lvl w:ilvl="3" w:tentative="0">
      <w:start w:val="1"/>
      <w:numFmt w:val="decimal"/>
      <w:pStyle w:val="5"/>
      <w:suff w:val="space"/>
      <w:lvlText w:val="%4."/>
      <w:lvlJc w:val="left"/>
      <w:pPr>
        <w:ind w:left="987" w:hanging="420"/>
      </w:pPr>
      <w:rPr>
        <w:rFonts w:hint="eastAsia"/>
      </w:rPr>
    </w:lvl>
    <w:lvl w:ilvl="4" w:tentative="0">
      <w:start w:val="1"/>
      <w:numFmt w:val="none"/>
      <w:suff w:val="space"/>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49AF12CF"/>
    <w:multiLevelType w:val="multilevel"/>
    <w:tmpl w:val="49AF12CF"/>
    <w:lvl w:ilvl="0" w:tentative="0">
      <w:start w:val="1"/>
      <w:numFmt w:val="chineseCountingThousand"/>
      <w:pStyle w:val="3"/>
      <w:lvlText w:val="%1、"/>
      <w:lvlJc w:val="left"/>
      <w:pPr>
        <w:ind w:left="567" w:hanging="567"/>
      </w:pPr>
      <w:rPr>
        <w:rFonts w:hint="default"/>
      </w:rPr>
    </w:lvl>
    <w:lvl w:ilvl="1" w:tentative="0">
      <w:start w:val="2"/>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japaneseCounting"/>
      <w:lvlText w:val="（%4）"/>
      <w:lvlJc w:val="left"/>
      <w:pPr>
        <w:ind w:left="2025" w:hanging="765"/>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B7842D7"/>
    <w:multiLevelType w:val="multilevel"/>
    <w:tmpl w:val="5B7842D7"/>
    <w:lvl w:ilvl="0" w:tentative="0">
      <w:start w:val="1"/>
      <w:numFmt w:val="chineseCountingThousand"/>
      <w:suff w:val="nothing"/>
      <w:lvlText w:val="第%1章"/>
      <w:lvlJc w:val="left"/>
      <w:pPr>
        <w:ind w:left="0" w:firstLine="0"/>
      </w:pPr>
      <w:rPr>
        <w:rFonts w:hint="eastAsia"/>
      </w:rPr>
    </w:lvl>
    <w:lvl w:ilvl="1" w:tentative="0">
      <w:start w:val="1"/>
      <w:numFmt w:val="ideographDigital"/>
      <w:suff w:val="nothing"/>
      <w:lvlText w:val="%2"/>
      <w:lvlJc w:val="left"/>
      <w:pPr>
        <w:ind w:left="0" w:firstLine="0"/>
      </w:pPr>
      <w:rPr>
        <w:rFonts w:hint="default" w:eastAsiaTheme="majorEastAsia"/>
      </w:rPr>
    </w:lvl>
    <w:lvl w:ilvl="2" w:tentative="0">
      <w:start w:val="1"/>
      <w:numFmt w:val="japaneseCounting"/>
      <w:lvlText w:val="（%3）"/>
      <w:lvlJc w:val="left"/>
      <w:pPr>
        <w:ind w:left="0" w:firstLine="0"/>
      </w:pPr>
      <w:rPr>
        <w:rFonts w:hint="default"/>
      </w:rPr>
    </w:lvl>
    <w:lvl w:ilvl="3" w:tentative="0">
      <w:start w:val="1"/>
      <w:numFmt w:val="decimal"/>
      <w:lvlText w:val="%4."/>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30"/>
    <w:footnote w:id="3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FE9"/>
    <w:rsid w:val="00002EDC"/>
    <w:rsid w:val="00003AB4"/>
    <w:rsid w:val="00005183"/>
    <w:rsid w:val="00005588"/>
    <w:rsid w:val="00010CBA"/>
    <w:rsid w:val="00010E66"/>
    <w:rsid w:val="00011DFD"/>
    <w:rsid w:val="00012619"/>
    <w:rsid w:val="00013C52"/>
    <w:rsid w:val="000145BF"/>
    <w:rsid w:val="0001755A"/>
    <w:rsid w:val="00021592"/>
    <w:rsid w:val="0002402B"/>
    <w:rsid w:val="00024155"/>
    <w:rsid w:val="00024A4E"/>
    <w:rsid w:val="00025695"/>
    <w:rsid w:val="00026426"/>
    <w:rsid w:val="00026640"/>
    <w:rsid w:val="000274F6"/>
    <w:rsid w:val="000304CE"/>
    <w:rsid w:val="000306F5"/>
    <w:rsid w:val="0003076B"/>
    <w:rsid w:val="00031E00"/>
    <w:rsid w:val="00036C57"/>
    <w:rsid w:val="000379FE"/>
    <w:rsid w:val="000410CB"/>
    <w:rsid w:val="00041E81"/>
    <w:rsid w:val="00043127"/>
    <w:rsid w:val="00045E69"/>
    <w:rsid w:val="00046F06"/>
    <w:rsid w:val="00047E75"/>
    <w:rsid w:val="000502CF"/>
    <w:rsid w:val="000509E8"/>
    <w:rsid w:val="00051DDC"/>
    <w:rsid w:val="00052293"/>
    <w:rsid w:val="00053CBC"/>
    <w:rsid w:val="00054505"/>
    <w:rsid w:val="00054A78"/>
    <w:rsid w:val="00054AE6"/>
    <w:rsid w:val="00054E89"/>
    <w:rsid w:val="000568B7"/>
    <w:rsid w:val="00060134"/>
    <w:rsid w:val="00061F95"/>
    <w:rsid w:val="0006375C"/>
    <w:rsid w:val="0006459E"/>
    <w:rsid w:val="00064712"/>
    <w:rsid w:val="000648F1"/>
    <w:rsid w:val="00064D73"/>
    <w:rsid w:val="00064F86"/>
    <w:rsid w:val="000668E1"/>
    <w:rsid w:val="00067D41"/>
    <w:rsid w:val="00070731"/>
    <w:rsid w:val="0007225F"/>
    <w:rsid w:val="0007260A"/>
    <w:rsid w:val="000738C4"/>
    <w:rsid w:val="00073DB1"/>
    <w:rsid w:val="00073F78"/>
    <w:rsid w:val="000741C4"/>
    <w:rsid w:val="00075D92"/>
    <w:rsid w:val="00076BCF"/>
    <w:rsid w:val="00080DC5"/>
    <w:rsid w:val="000811FC"/>
    <w:rsid w:val="000820D3"/>
    <w:rsid w:val="000826F6"/>
    <w:rsid w:val="00082E3B"/>
    <w:rsid w:val="00083C8B"/>
    <w:rsid w:val="000862D1"/>
    <w:rsid w:val="00086558"/>
    <w:rsid w:val="00086CA7"/>
    <w:rsid w:val="00090305"/>
    <w:rsid w:val="00090853"/>
    <w:rsid w:val="000915B9"/>
    <w:rsid w:val="000970AE"/>
    <w:rsid w:val="00097262"/>
    <w:rsid w:val="000975E0"/>
    <w:rsid w:val="000A363C"/>
    <w:rsid w:val="000A6C55"/>
    <w:rsid w:val="000A70CF"/>
    <w:rsid w:val="000A7E5B"/>
    <w:rsid w:val="000B0CD1"/>
    <w:rsid w:val="000B3693"/>
    <w:rsid w:val="000B57E9"/>
    <w:rsid w:val="000B6755"/>
    <w:rsid w:val="000B67E1"/>
    <w:rsid w:val="000B7836"/>
    <w:rsid w:val="000C1D91"/>
    <w:rsid w:val="000C1E0F"/>
    <w:rsid w:val="000C2C1C"/>
    <w:rsid w:val="000C4393"/>
    <w:rsid w:val="000C4C25"/>
    <w:rsid w:val="000C5A30"/>
    <w:rsid w:val="000C6C4D"/>
    <w:rsid w:val="000D001A"/>
    <w:rsid w:val="000D0A06"/>
    <w:rsid w:val="000D41D9"/>
    <w:rsid w:val="000D6A92"/>
    <w:rsid w:val="000D78E5"/>
    <w:rsid w:val="000D7E3D"/>
    <w:rsid w:val="000E16F9"/>
    <w:rsid w:val="000E2B8F"/>
    <w:rsid w:val="000E2D72"/>
    <w:rsid w:val="000E3B14"/>
    <w:rsid w:val="000E493B"/>
    <w:rsid w:val="000E4D1E"/>
    <w:rsid w:val="000E5126"/>
    <w:rsid w:val="000E59B8"/>
    <w:rsid w:val="000E70D2"/>
    <w:rsid w:val="000E7FF5"/>
    <w:rsid w:val="000F1F22"/>
    <w:rsid w:val="000F7343"/>
    <w:rsid w:val="001001B0"/>
    <w:rsid w:val="001011E2"/>
    <w:rsid w:val="00101BD8"/>
    <w:rsid w:val="001027B7"/>
    <w:rsid w:val="00102D69"/>
    <w:rsid w:val="0010370B"/>
    <w:rsid w:val="00103DFD"/>
    <w:rsid w:val="00104AD2"/>
    <w:rsid w:val="00104F3D"/>
    <w:rsid w:val="001067EC"/>
    <w:rsid w:val="001078C2"/>
    <w:rsid w:val="00110338"/>
    <w:rsid w:val="00110CBB"/>
    <w:rsid w:val="001129A3"/>
    <w:rsid w:val="00113AE0"/>
    <w:rsid w:val="00113FA9"/>
    <w:rsid w:val="00116068"/>
    <w:rsid w:val="001162A7"/>
    <w:rsid w:val="00116646"/>
    <w:rsid w:val="001171E4"/>
    <w:rsid w:val="00117429"/>
    <w:rsid w:val="00117B7F"/>
    <w:rsid w:val="00121CEA"/>
    <w:rsid w:val="0012259E"/>
    <w:rsid w:val="0012290C"/>
    <w:rsid w:val="00123CB8"/>
    <w:rsid w:val="001260E0"/>
    <w:rsid w:val="00131404"/>
    <w:rsid w:val="001356F3"/>
    <w:rsid w:val="00135A06"/>
    <w:rsid w:val="00136535"/>
    <w:rsid w:val="001365E3"/>
    <w:rsid w:val="00137277"/>
    <w:rsid w:val="001372AA"/>
    <w:rsid w:val="00141C78"/>
    <w:rsid w:val="001426F5"/>
    <w:rsid w:val="00142BEA"/>
    <w:rsid w:val="00147AE3"/>
    <w:rsid w:val="0015541F"/>
    <w:rsid w:val="00155BEA"/>
    <w:rsid w:val="00157BCD"/>
    <w:rsid w:val="001602BD"/>
    <w:rsid w:val="00161715"/>
    <w:rsid w:val="00161A57"/>
    <w:rsid w:val="00162D0D"/>
    <w:rsid w:val="00163E10"/>
    <w:rsid w:val="00164E3F"/>
    <w:rsid w:val="00166052"/>
    <w:rsid w:val="00170089"/>
    <w:rsid w:val="00170924"/>
    <w:rsid w:val="00171D58"/>
    <w:rsid w:val="001737CA"/>
    <w:rsid w:val="00173F87"/>
    <w:rsid w:val="00174E81"/>
    <w:rsid w:val="001761FA"/>
    <w:rsid w:val="0018171E"/>
    <w:rsid w:val="0018283F"/>
    <w:rsid w:val="00182FC3"/>
    <w:rsid w:val="001852B1"/>
    <w:rsid w:val="00185C3F"/>
    <w:rsid w:val="00191D39"/>
    <w:rsid w:val="00192430"/>
    <w:rsid w:val="0019339D"/>
    <w:rsid w:val="00193D67"/>
    <w:rsid w:val="00193DBB"/>
    <w:rsid w:val="001949BF"/>
    <w:rsid w:val="00196222"/>
    <w:rsid w:val="001974F5"/>
    <w:rsid w:val="001A12EA"/>
    <w:rsid w:val="001A2083"/>
    <w:rsid w:val="001A20FB"/>
    <w:rsid w:val="001A291C"/>
    <w:rsid w:val="001A4F9A"/>
    <w:rsid w:val="001A61F5"/>
    <w:rsid w:val="001B056B"/>
    <w:rsid w:val="001B1197"/>
    <w:rsid w:val="001B206E"/>
    <w:rsid w:val="001B297D"/>
    <w:rsid w:val="001B2FF5"/>
    <w:rsid w:val="001B508F"/>
    <w:rsid w:val="001B6BB3"/>
    <w:rsid w:val="001C16BC"/>
    <w:rsid w:val="001C2EAF"/>
    <w:rsid w:val="001C5859"/>
    <w:rsid w:val="001C7BD5"/>
    <w:rsid w:val="001D1C37"/>
    <w:rsid w:val="001D1E2C"/>
    <w:rsid w:val="001D6D27"/>
    <w:rsid w:val="001D73FC"/>
    <w:rsid w:val="001E1310"/>
    <w:rsid w:val="001E1A6E"/>
    <w:rsid w:val="001E1DD9"/>
    <w:rsid w:val="001E1E54"/>
    <w:rsid w:val="001E2441"/>
    <w:rsid w:val="001E2580"/>
    <w:rsid w:val="001E37CC"/>
    <w:rsid w:val="001E3B0E"/>
    <w:rsid w:val="001E5E45"/>
    <w:rsid w:val="001E61ED"/>
    <w:rsid w:val="001E7826"/>
    <w:rsid w:val="001E7C2D"/>
    <w:rsid w:val="001F00D5"/>
    <w:rsid w:val="001F08E2"/>
    <w:rsid w:val="001F279A"/>
    <w:rsid w:val="001F312B"/>
    <w:rsid w:val="001F4641"/>
    <w:rsid w:val="001F4664"/>
    <w:rsid w:val="001F5CE2"/>
    <w:rsid w:val="001F5D66"/>
    <w:rsid w:val="001F7D17"/>
    <w:rsid w:val="00200270"/>
    <w:rsid w:val="002014E0"/>
    <w:rsid w:val="00202938"/>
    <w:rsid w:val="002052D4"/>
    <w:rsid w:val="00206A2B"/>
    <w:rsid w:val="0020792C"/>
    <w:rsid w:val="00207C71"/>
    <w:rsid w:val="00211911"/>
    <w:rsid w:val="00212F1E"/>
    <w:rsid w:val="0021330D"/>
    <w:rsid w:val="002138C0"/>
    <w:rsid w:val="0021440B"/>
    <w:rsid w:val="00216A41"/>
    <w:rsid w:val="00216CB8"/>
    <w:rsid w:val="00220534"/>
    <w:rsid w:val="00221272"/>
    <w:rsid w:val="00221541"/>
    <w:rsid w:val="00221B96"/>
    <w:rsid w:val="00222B62"/>
    <w:rsid w:val="00222F77"/>
    <w:rsid w:val="00223343"/>
    <w:rsid w:val="002234BB"/>
    <w:rsid w:val="00223A6B"/>
    <w:rsid w:val="00223CF4"/>
    <w:rsid w:val="002249D7"/>
    <w:rsid w:val="00224F0A"/>
    <w:rsid w:val="002253D2"/>
    <w:rsid w:val="00225750"/>
    <w:rsid w:val="0023115A"/>
    <w:rsid w:val="00233296"/>
    <w:rsid w:val="0023574C"/>
    <w:rsid w:val="00236879"/>
    <w:rsid w:val="002377DE"/>
    <w:rsid w:val="00240255"/>
    <w:rsid w:val="0024413B"/>
    <w:rsid w:val="002441BE"/>
    <w:rsid w:val="002447AB"/>
    <w:rsid w:val="00244C6D"/>
    <w:rsid w:val="00245527"/>
    <w:rsid w:val="00246A8F"/>
    <w:rsid w:val="00247A17"/>
    <w:rsid w:val="00247AD0"/>
    <w:rsid w:val="00250165"/>
    <w:rsid w:val="002516A3"/>
    <w:rsid w:val="00251AC4"/>
    <w:rsid w:val="002526C2"/>
    <w:rsid w:val="002535F9"/>
    <w:rsid w:val="00255630"/>
    <w:rsid w:val="00257972"/>
    <w:rsid w:val="00257FBA"/>
    <w:rsid w:val="002617A3"/>
    <w:rsid w:val="002623B2"/>
    <w:rsid w:val="00262787"/>
    <w:rsid w:val="00262DBF"/>
    <w:rsid w:val="00262F84"/>
    <w:rsid w:val="002641DA"/>
    <w:rsid w:val="00266040"/>
    <w:rsid w:val="002704E4"/>
    <w:rsid w:val="00272F88"/>
    <w:rsid w:val="00273775"/>
    <w:rsid w:val="0027448F"/>
    <w:rsid w:val="00276BAB"/>
    <w:rsid w:val="00277B0A"/>
    <w:rsid w:val="002806A8"/>
    <w:rsid w:val="0028270E"/>
    <w:rsid w:val="00285C6C"/>
    <w:rsid w:val="002900E2"/>
    <w:rsid w:val="0029268B"/>
    <w:rsid w:val="00295AC5"/>
    <w:rsid w:val="00296966"/>
    <w:rsid w:val="002978D8"/>
    <w:rsid w:val="002A064A"/>
    <w:rsid w:val="002A150C"/>
    <w:rsid w:val="002A54D3"/>
    <w:rsid w:val="002A619D"/>
    <w:rsid w:val="002B0346"/>
    <w:rsid w:val="002B0356"/>
    <w:rsid w:val="002B0769"/>
    <w:rsid w:val="002B29E3"/>
    <w:rsid w:val="002B39DD"/>
    <w:rsid w:val="002B767E"/>
    <w:rsid w:val="002B78A1"/>
    <w:rsid w:val="002C3765"/>
    <w:rsid w:val="002C3B53"/>
    <w:rsid w:val="002C49D5"/>
    <w:rsid w:val="002C50B2"/>
    <w:rsid w:val="002C5DC3"/>
    <w:rsid w:val="002C60C8"/>
    <w:rsid w:val="002D0791"/>
    <w:rsid w:val="002D0B21"/>
    <w:rsid w:val="002D28DC"/>
    <w:rsid w:val="002D363D"/>
    <w:rsid w:val="002D53E6"/>
    <w:rsid w:val="002D5666"/>
    <w:rsid w:val="002D6676"/>
    <w:rsid w:val="002E0156"/>
    <w:rsid w:val="002E0A76"/>
    <w:rsid w:val="002E233C"/>
    <w:rsid w:val="002E3D11"/>
    <w:rsid w:val="002E3E68"/>
    <w:rsid w:val="002E6A4A"/>
    <w:rsid w:val="002E719C"/>
    <w:rsid w:val="002E7CF6"/>
    <w:rsid w:val="002F1A42"/>
    <w:rsid w:val="002F1FC3"/>
    <w:rsid w:val="002F3379"/>
    <w:rsid w:val="002F421D"/>
    <w:rsid w:val="00305314"/>
    <w:rsid w:val="00306A85"/>
    <w:rsid w:val="00307474"/>
    <w:rsid w:val="00311BD1"/>
    <w:rsid w:val="003145BD"/>
    <w:rsid w:val="00315D3C"/>
    <w:rsid w:val="003168EB"/>
    <w:rsid w:val="003171D0"/>
    <w:rsid w:val="0032048A"/>
    <w:rsid w:val="00320586"/>
    <w:rsid w:val="00323496"/>
    <w:rsid w:val="003251FD"/>
    <w:rsid w:val="003258C1"/>
    <w:rsid w:val="0033098E"/>
    <w:rsid w:val="00331A33"/>
    <w:rsid w:val="00332394"/>
    <w:rsid w:val="00332666"/>
    <w:rsid w:val="0033451F"/>
    <w:rsid w:val="00334FA0"/>
    <w:rsid w:val="003362D8"/>
    <w:rsid w:val="00336BB0"/>
    <w:rsid w:val="003400D2"/>
    <w:rsid w:val="0034139E"/>
    <w:rsid w:val="00341E9A"/>
    <w:rsid w:val="003434C5"/>
    <w:rsid w:val="00343B4E"/>
    <w:rsid w:val="00344042"/>
    <w:rsid w:val="00345622"/>
    <w:rsid w:val="0034750D"/>
    <w:rsid w:val="00350074"/>
    <w:rsid w:val="00351245"/>
    <w:rsid w:val="00351744"/>
    <w:rsid w:val="003518B0"/>
    <w:rsid w:val="00351A1C"/>
    <w:rsid w:val="00351C61"/>
    <w:rsid w:val="00352B66"/>
    <w:rsid w:val="00353342"/>
    <w:rsid w:val="00353CB5"/>
    <w:rsid w:val="003540B9"/>
    <w:rsid w:val="00357428"/>
    <w:rsid w:val="003576FA"/>
    <w:rsid w:val="003612A1"/>
    <w:rsid w:val="0036314E"/>
    <w:rsid w:val="00366432"/>
    <w:rsid w:val="00366A50"/>
    <w:rsid w:val="0036732E"/>
    <w:rsid w:val="00371D9B"/>
    <w:rsid w:val="00372E48"/>
    <w:rsid w:val="00376D6C"/>
    <w:rsid w:val="00377EA1"/>
    <w:rsid w:val="00380534"/>
    <w:rsid w:val="00381809"/>
    <w:rsid w:val="00381A7A"/>
    <w:rsid w:val="0038225E"/>
    <w:rsid w:val="00382A19"/>
    <w:rsid w:val="00383638"/>
    <w:rsid w:val="00384CC2"/>
    <w:rsid w:val="0039280E"/>
    <w:rsid w:val="003928D4"/>
    <w:rsid w:val="00392A53"/>
    <w:rsid w:val="00392B75"/>
    <w:rsid w:val="003934D7"/>
    <w:rsid w:val="00393972"/>
    <w:rsid w:val="00394CD5"/>
    <w:rsid w:val="00395A69"/>
    <w:rsid w:val="00395B3C"/>
    <w:rsid w:val="00396D4D"/>
    <w:rsid w:val="00397597"/>
    <w:rsid w:val="00397EC3"/>
    <w:rsid w:val="003A0DAC"/>
    <w:rsid w:val="003A2C4D"/>
    <w:rsid w:val="003A36EB"/>
    <w:rsid w:val="003A36F7"/>
    <w:rsid w:val="003A439A"/>
    <w:rsid w:val="003A4F7A"/>
    <w:rsid w:val="003A5828"/>
    <w:rsid w:val="003A7ABF"/>
    <w:rsid w:val="003B1A48"/>
    <w:rsid w:val="003B1DCC"/>
    <w:rsid w:val="003B2B14"/>
    <w:rsid w:val="003B2B29"/>
    <w:rsid w:val="003B30C1"/>
    <w:rsid w:val="003B3360"/>
    <w:rsid w:val="003B4CF8"/>
    <w:rsid w:val="003B51F2"/>
    <w:rsid w:val="003B73D8"/>
    <w:rsid w:val="003B7E98"/>
    <w:rsid w:val="003C1C93"/>
    <w:rsid w:val="003C3270"/>
    <w:rsid w:val="003C3666"/>
    <w:rsid w:val="003C41BC"/>
    <w:rsid w:val="003C48C7"/>
    <w:rsid w:val="003C4AFF"/>
    <w:rsid w:val="003C6812"/>
    <w:rsid w:val="003C76A2"/>
    <w:rsid w:val="003C76D8"/>
    <w:rsid w:val="003D1529"/>
    <w:rsid w:val="003D2384"/>
    <w:rsid w:val="003D5A5D"/>
    <w:rsid w:val="003D6142"/>
    <w:rsid w:val="003E05BC"/>
    <w:rsid w:val="003E2BE3"/>
    <w:rsid w:val="003E3B52"/>
    <w:rsid w:val="003E69FF"/>
    <w:rsid w:val="003F2B29"/>
    <w:rsid w:val="003F33A3"/>
    <w:rsid w:val="003F4BF3"/>
    <w:rsid w:val="003F6290"/>
    <w:rsid w:val="003F6495"/>
    <w:rsid w:val="003F6D9B"/>
    <w:rsid w:val="003F6EA8"/>
    <w:rsid w:val="0040162D"/>
    <w:rsid w:val="004017DE"/>
    <w:rsid w:val="00401F4D"/>
    <w:rsid w:val="00404176"/>
    <w:rsid w:val="0040629A"/>
    <w:rsid w:val="00407B44"/>
    <w:rsid w:val="00410B5F"/>
    <w:rsid w:val="004111ED"/>
    <w:rsid w:val="00413B57"/>
    <w:rsid w:val="00416EE6"/>
    <w:rsid w:val="004176E6"/>
    <w:rsid w:val="004179D8"/>
    <w:rsid w:val="00421C82"/>
    <w:rsid w:val="00424AA9"/>
    <w:rsid w:val="00424DB2"/>
    <w:rsid w:val="004254ED"/>
    <w:rsid w:val="00427735"/>
    <w:rsid w:val="004304A8"/>
    <w:rsid w:val="00431AB0"/>
    <w:rsid w:val="00431DC3"/>
    <w:rsid w:val="0043265E"/>
    <w:rsid w:val="00432E62"/>
    <w:rsid w:val="004333AB"/>
    <w:rsid w:val="00433FFA"/>
    <w:rsid w:val="004369BE"/>
    <w:rsid w:val="00437EED"/>
    <w:rsid w:val="004412B8"/>
    <w:rsid w:val="004417BD"/>
    <w:rsid w:val="00442444"/>
    <w:rsid w:val="0044343B"/>
    <w:rsid w:val="00443ACC"/>
    <w:rsid w:val="0044569E"/>
    <w:rsid w:val="0044623B"/>
    <w:rsid w:val="00447540"/>
    <w:rsid w:val="00450A6D"/>
    <w:rsid w:val="00451028"/>
    <w:rsid w:val="004519E7"/>
    <w:rsid w:val="00452721"/>
    <w:rsid w:val="004543A4"/>
    <w:rsid w:val="004548FE"/>
    <w:rsid w:val="00455DBD"/>
    <w:rsid w:val="00456188"/>
    <w:rsid w:val="004569B8"/>
    <w:rsid w:val="004632E0"/>
    <w:rsid w:val="00463CD3"/>
    <w:rsid w:val="00464AD7"/>
    <w:rsid w:val="00465FFB"/>
    <w:rsid w:val="00466B4E"/>
    <w:rsid w:val="00466CA0"/>
    <w:rsid w:val="00470985"/>
    <w:rsid w:val="00470D6E"/>
    <w:rsid w:val="00471693"/>
    <w:rsid w:val="00471EB6"/>
    <w:rsid w:val="00475C95"/>
    <w:rsid w:val="00480358"/>
    <w:rsid w:val="00481178"/>
    <w:rsid w:val="0048203E"/>
    <w:rsid w:val="004832F4"/>
    <w:rsid w:val="00483C75"/>
    <w:rsid w:val="004850CB"/>
    <w:rsid w:val="00485DE6"/>
    <w:rsid w:val="00487922"/>
    <w:rsid w:val="00487E7F"/>
    <w:rsid w:val="004906D6"/>
    <w:rsid w:val="00490D02"/>
    <w:rsid w:val="0049267C"/>
    <w:rsid w:val="00493F6E"/>
    <w:rsid w:val="00496C77"/>
    <w:rsid w:val="00497918"/>
    <w:rsid w:val="00497BAB"/>
    <w:rsid w:val="004A0BC4"/>
    <w:rsid w:val="004A1193"/>
    <w:rsid w:val="004A48F3"/>
    <w:rsid w:val="004A4B8E"/>
    <w:rsid w:val="004A4FC0"/>
    <w:rsid w:val="004A57F3"/>
    <w:rsid w:val="004B2086"/>
    <w:rsid w:val="004B3B89"/>
    <w:rsid w:val="004B49D5"/>
    <w:rsid w:val="004B4F2A"/>
    <w:rsid w:val="004B4F7C"/>
    <w:rsid w:val="004B501E"/>
    <w:rsid w:val="004B5204"/>
    <w:rsid w:val="004B5D8A"/>
    <w:rsid w:val="004B6B09"/>
    <w:rsid w:val="004C3A3D"/>
    <w:rsid w:val="004C5DD6"/>
    <w:rsid w:val="004C697D"/>
    <w:rsid w:val="004C6B24"/>
    <w:rsid w:val="004C6DDE"/>
    <w:rsid w:val="004C7755"/>
    <w:rsid w:val="004D3369"/>
    <w:rsid w:val="004D34EB"/>
    <w:rsid w:val="004D3D5C"/>
    <w:rsid w:val="004D40AA"/>
    <w:rsid w:val="004D43A3"/>
    <w:rsid w:val="004D583E"/>
    <w:rsid w:val="004D6E45"/>
    <w:rsid w:val="004D7EAD"/>
    <w:rsid w:val="004E1590"/>
    <w:rsid w:val="004E2DD9"/>
    <w:rsid w:val="004E2E83"/>
    <w:rsid w:val="004E4118"/>
    <w:rsid w:val="004E6320"/>
    <w:rsid w:val="004E66AB"/>
    <w:rsid w:val="004F1178"/>
    <w:rsid w:val="004F1EA0"/>
    <w:rsid w:val="004F20B7"/>
    <w:rsid w:val="004F3191"/>
    <w:rsid w:val="004F3712"/>
    <w:rsid w:val="004F377C"/>
    <w:rsid w:val="004F754E"/>
    <w:rsid w:val="00500A89"/>
    <w:rsid w:val="00502E0F"/>
    <w:rsid w:val="005038E1"/>
    <w:rsid w:val="00503B61"/>
    <w:rsid w:val="00504A23"/>
    <w:rsid w:val="00506CB1"/>
    <w:rsid w:val="00507279"/>
    <w:rsid w:val="00510751"/>
    <w:rsid w:val="00510C7E"/>
    <w:rsid w:val="00512875"/>
    <w:rsid w:val="005152CB"/>
    <w:rsid w:val="005200CB"/>
    <w:rsid w:val="00523CB0"/>
    <w:rsid w:val="00525CB8"/>
    <w:rsid w:val="00526437"/>
    <w:rsid w:val="00527048"/>
    <w:rsid w:val="005276A5"/>
    <w:rsid w:val="005304CB"/>
    <w:rsid w:val="00530655"/>
    <w:rsid w:val="0053393E"/>
    <w:rsid w:val="00533F6F"/>
    <w:rsid w:val="0053449A"/>
    <w:rsid w:val="005344FB"/>
    <w:rsid w:val="00534C3E"/>
    <w:rsid w:val="005352E8"/>
    <w:rsid w:val="00536FC9"/>
    <w:rsid w:val="00537E61"/>
    <w:rsid w:val="00541FAC"/>
    <w:rsid w:val="005446A4"/>
    <w:rsid w:val="005477DD"/>
    <w:rsid w:val="00550DF0"/>
    <w:rsid w:val="005540CD"/>
    <w:rsid w:val="0055418F"/>
    <w:rsid w:val="00554C43"/>
    <w:rsid w:val="00560029"/>
    <w:rsid w:val="00562460"/>
    <w:rsid w:val="005627C4"/>
    <w:rsid w:val="00562905"/>
    <w:rsid w:val="00562BFD"/>
    <w:rsid w:val="00563061"/>
    <w:rsid w:val="005639EE"/>
    <w:rsid w:val="00563ECA"/>
    <w:rsid w:val="00565EAF"/>
    <w:rsid w:val="005661C6"/>
    <w:rsid w:val="00570738"/>
    <w:rsid w:val="0057085E"/>
    <w:rsid w:val="00571CE0"/>
    <w:rsid w:val="00572F9B"/>
    <w:rsid w:val="0057360D"/>
    <w:rsid w:val="00574938"/>
    <w:rsid w:val="00576D58"/>
    <w:rsid w:val="00576FC1"/>
    <w:rsid w:val="00577D24"/>
    <w:rsid w:val="00580123"/>
    <w:rsid w:val="00580B04"/>
    <w:rsid w:val="00582903"/>
    <w:rsid w:val="00585BD3"/>
    <w:rsid w:val="005868E8"/>
    <w:rsid w:val="00586A72"/>
    <w:rsid w:val="0059095F"/>
    <w:rsid w:val="00590AC7"/>
    <w:rsid w:val="005924F9"/>
    <w:rsid w:val="00594AE4"/>
    <w:rsid w:val="00595BD6"/>
    <w:rsid w:val="005962A4"/>
    <w:rsid w:val="005A0357"/>
    <w:rsid w:val="005A20B0"/>
    <w:rsid w:val="005A21FA"/>
    <w:rsid w:val="005A4207"/>
    <w:rsid w:val="005A4C29"/>
    <w:rsid w:val="005A5190"/>
    <w:rsid w:val="005A57B9"/>
    <w:rsid w:val="005B1C80"/>
    <w:rsid w:val="005B21DF"/>
    <w:rsid w:val="005B2852"/>
    <w:rsid w:val="005B34C4"/>
    <w:rsid w:val="005B4867"/>
    <w:rsid w:val="005B5B36"/>
    <w:rsid w:val="005B68CB"/>
    <w:rsid w:val="005B7635"/>
    <w:rsid w:val="005C025B"/>
    <w:rsid w:val="005C0C89"/>
    <w:rsid w:val="005C4132"/>
    <w:rsid w:val="005C57D8"/>
    <w:rsid w:val="005C5B0C"/>
    <w:rsid w:val="005C5BF0"/>
    <w:rsid w:val="005C66DA"/>
    <w:rsid w:val="005C7517"/>
    <w:rsid w:val="005D04BB"/>
    <w:rsid w:val="005D0FDB"/>
    <w:rsid w:val="005D22ED"/>
    <w:rsid w:val="005D3963"/>
    <w:rsid w:val="005D3F97"/>
    <w:rsid w:val="005D5522"/>
    <w:rsid w:val="005D63DC"/>
    <w:rsid w:val="005D6882"/>
    <w:rsid w:val="005E0D9A"/>
    <w:rsid w:val="005E5344"/>
    <w:rsid w:val="005E593F"/>
    <w:rsid w:val="005E67D5"/>
    <w:rsid w:val="005E7E5A"/>
    <w:rsid w:val="005F2D2F"/>
    <w:rsid w:val="005F3CAC"/>
    <w:rsid w:val="005F7678"/>
    <w:rsid w:val="00600280"/>
    <w:rsid w:val="00601968"/>
    <w:rsid w:val="00602665"/>
    <w:rsid w:val="00602E4A"/>
    <w:rsid w:val="00603829"/>
    <w:rsid w:val="0060619C"/>
    <w:rsid w:val="006063EE"/>
    <w:rsid w:val="006076D1"/>
    <w:rsid w:val="00610636"/>
    <w:rsid w:val="00610B96"/>
    <w:rsid w:val="00612643"/>
    <w:rsid w:val="00614467"/>
    <w:rsid w:val="0061518A"/>
    <w:rsid w:val="00617C8E"/>
    <w:rsid w:val="00617EA4"/>
    <w:rsid w:val="0062061C"/>
    <w:rsid w:val="006214E6"/>
    <w:rsid w:val="006225E5"/>
    <w:rsid w:val="006261E4"/>
    <w:rsid w:val="00627438"/>
    <w:rsid w:val="00630F22"/>
    <w:rsid w:val="006337F8"/>
    <w:rsid w:val="0063721E"/>
    <w:rsid w:val="0064019B"/>
    <w:rsid w:val="006403D2"/>
    <w:rsid w:val="006409A1"/>
    <w:rsid w:val="00640A74"/>
    <w:rsid w:val="00641675"/>
    <w:rsid w:val="00641E2F"/>
    <w:rsid w:val="00642C68"/>
    <w:rsid w:val="00644250"/>
    <w:rsid w:val="00647C4C"/>
    <w:rsid w:val="0065204C"/>
    <w:rsid w:val="00652C88"/>
    <w:rsid w:val="00653072"/>
    <w:rsid w:val="0065379F"/>
    <w:rsid w:val="00653DCB"/>
    <w:rsid w:val="00653F82"/>
    <w:rsid w:val="00654B42"/>
    <w:rsid w:val="006575F2"/>
    <w:rsid w:val="00657970"/>
    <w:rsid w:val="00657BC5"/>
    <w:rsid w:val="00660CB7"/>
    <w:rsid w:val="006650DB"/>
    <w:rsid w:val="00665572"/>
    <w:rsid w:val="0066573C"/>
    <w:rsid w:val="0066585D"/>
    <w:rsid w:val="0066755A"/>
    <w:rsid w:val="006676CC"/>
    <w:rsid w:val="006678AF"/>
    <w:rsid w:val="0066799C"/>
    <w:rsid w:val="0067010C"/>
    <w:rsid w:val="00670BDD"/>
    <w:rsid w:val="00672646"/>
    <w:rsid w:val="0067342D"/>
    <w:rsid w:val="006735CB"/>
    <w:rsid w:val="00673617"/>
    <w:rsid w:val="00673C63"/>
    <w:rsid w:val="006757E0"/>
    <w:rsid w:val="0067679D"/>
    <w:rsid w:val="00676DBD"/>
    <w:rsid w:val="006803D6"/>
    <w:rsid w:val="00680E67"/>
    <w:rsid w:val="00684EEE"/>
    <w:rsid w:val="00685C79"/>
    <w:rsid w:val="006908CD"/>
    <w:rsid w:val="00692EC8"/>
    <w:rsid w:val="00692EFA"/>
    <w:rsid w:val="00693424"/>
    <w:rsid w:val="00694122"/>
    <w:rsid w:val="0069463B"/>
    <w:rsid w:val="00694CC9"/>
    <w:rsid w:val="006957C2"/>
    <w:rsid w:val="00697543"/>
    <w:rsid w:val="006A2F78"/>
    <w:rsid w:val="006A336F"/>
    <w:rsid w:val="006A3B30"/>
    <w:rsid w:val="006A497B"/>
    <w:rsid w:val="006A548D"/>
    <w:rsid w:val="006A59C4"/>
    <w:rsid w:val="006A5B4A"/>
    <w:rsid w:val="006A775D"/>
    <w:rsid w:val="006B005B"/>
    <w:rsid w:val="006B2747"/>
    <w:rsid w:val="006B2B76"/>
    <w:rsid w:val="006B2D88"/>
    <w:rsid w:val="006B43F2"/>
    <w:rsid w:val="006B7A2E"/>
    <w:rsid w:val="006C01B6"/>
    <w:rsid w:val="006C063F"/>
    <w:rsid w:val="006C1189"/>
    <w:rsid w:val="006C1E88"/>
    <w:rsid w:val="006C1FB0"/>
    <w:rsid w:val="006C2FAF"/>
    <w:rsid w:val="006C533A"/>
    <w:rsid w:val="006C5628"/>
    <w:rsid w:val="006C5DF6"/>
    <w:rsid w:val="006C683B"/>
    <w:rsid w:val="006D09BF"/>
    <w:rsid w:val="006D0F95"/>
    <w:rsid w:val="006D1131"/>
    <w:rsid w:val="006D238C"/>
    <w:rsid w:val="006D31F3"/>
    <w:rsid w:val="006D3FC1"/>
    <w:rsid w:val="006D5243"/>
    <w:rsid w:val="006D645B"/>
    <w:rsid w:val="006D6FE2"/>
    <w:rsid w:val="006E0951"/>
    <w:rsid w:val="006E102D"/>
    <w:rsid w:val="006E1758"/>
    <w:rsid w:val="006E199A"/>
    <w:rsid w:val="006E31B3"/>
    <w:rsid w:val="006E3749"/>
    <w:rsid w:val="006E4E24"/>
    <w:rsid w:val="006E727D"/>
    <w:rsid w:val="006F0C79"/>
    <w:rsid w:val="006F0F31"/>
    <w:rsid w:val="006F10F9"/>
    <w:rsid w:val="006F3920"/>
    <w:rsid w:val="006F4EC2"/>
    <w:rsid w:val="006F6A67"/>
    <w:rsid w:val="006F6E59"/>
    <w:rsid w:val="006F7828"/>
    <w:rsid w:val="00700642"/>
    <w:rsid w:val="007023F6"/>
    <w:rsid w:val="00704746"/>
    <w:rsid w:val="007051C8"/>
    <w:rsid w:val="00705A35"/>
    <w:rsid w:val="00705EEF"/>
    <w:rsid w:val="00705F63"/>
    <w:rsid w:val="00706076"/>
    <w:rsid w:val="00706616"/>
    <w:rsid w:val="00712B8D"/>
    <w:rsid w:val="00713121"/>
    <w:rsid w:val="0071370F"/>
    <w:rsid w:val="00714B21"/>
    <w:rsid w:val="00714E7F"/>
    <w:rsid w:val="007157BC"/>
    <w:rsid w:val="00715806"/>
    <w:rsid w:val="00715F2F"/>
    <w:rsid w:val="00716A5D"/>
    <w:rsid w:val="00717364"/>
    <w:rsid w:val="007179D7"/>
    <w:rsid w:val="00720817"/>
    <w:rsid w:val="00724509"/>
    <w:rsid w:val="00724F12"/>
    <w:rsid w:val="00724F25"/>
    <w:rsid w:val="00725A99"/>
    <w:rsid w:val="00726B87"/>
    <w:rsid w:val="007301CC"/>
    <w:rsid w:val="0073133B"/>
    <w:rsid w:val="0073166F"/>
    <w:rsid w:val="00731A8F"/>
    <w:rsid w:val="0073240B"/>
    <w:rsid w:val="00733037"/>
    <w:rsid w:val="0073355C"/>
    <w:rsid w:val="00733658"/>
    <w:rsid w:val="007339AB"/>
    <w:rsid w:val="007346AB"/>
    <w:rsid w:val="00734B70"/>
    <w:rsid w:val="00734D1B"/>
    <w:rsid w:val="0073516B"/>
    <w:rsid w:val="007365A3"/>
    <w:rsid w:val="00736645"/>
    <w:rsid w:val="007368CB"/>
    <w:rsid w:val="00736F64"/>
    <w:rsid w:val="00741050"/>
    <w:rsid w:val="00741DDA"/>
    <w:rsid w:val="00742B58"/>
    <w:rsid w:val="007448B3"/>
    <w:rsid w:val="00745AC9"/>
    <w:rsid w:val="00746171"/>
    <w:rsid w:val="0074755F"/>
    <w:rsid w:val="00747DDC"/>
    <w:rsid w:val="00751798"/>
    <w:rsid w:val="00756572"/>
    <w:rsid w:val="0075688D"/>
    <w:rsid w:val="00756F2D"/>
    <w:rsid w:val="0076027A"/>
    <w:rsid w:val="0076078E"/>
    <w:rsid w:val="007618EF"/>
    <w:rsid w:val="007652A0"/>
    <w:rsid w:val="0076555B"/>
    <w:rsid w:val="00765B27"/>
    <w:rsid w:val="00766BF9"/>
    <w:rsid w:val="00766FF2"/>
    <w:rsid w:val="00767EE6"/>
    <w:rsid w:val="00770EC6"/>
    <w:rsid w:val="00772B6F"/>
    <w:rsid w:val="00772EA5"/>
    <w:rsid w:val="00780B17"/>
    <w:rsid w:val="00780D0C"/>
    <w:rsid w:val="0078101B"/>
    <w:rsid w:val="007868CA"/>
    <w:rsid w:val="007910D5"/>
    <w:rsid w:val="00791663"/>
    <w:rsid w:val="007922FE"/>
    <w:rsid w:val="00795252"/>
    <w:rsid w:val="00796A99"/>
    <w:rsid w:val="00796E49"/>
    <w:rsid w:val="007975A0"/>
    <w:rsid w:val="007976F0"/>
    <w:rsid w:val="00797B15"/>
    <w:rsid w:val="007A0744"/>
    <w:rsid w:val="007A1DDE"/>
    <w:rsid w:val="007A25AD"/>
    <w:rsid w:val="007A46C0"/>
    <w:rsid w:val="007A56D1"/>
    <w:rsid w:val="007A7896"/>
    <w:rsid w:val="007B3311"/>
    <w:rsid w:val="007B3F4E"/>
    <w:rsid w:val="007B537D"/>
    <w:rsid w:val="007B5560"/>
    <w:rsid w:val="007C0404"/>
    <w:rsid w:val="007C17A1"/>
    <w:rsid w:val="007C1A01"/>
    <w:rsid w:val="007C2520"/>
    <w:rsid w:val="007C3A13"/>
    <w:rsid w:val="007C3FC5"/>
    <w:rsid w:val="007C4E7A"/>
    <w:rsid w:val="007C5EB0"/>
    <w:rsid w:val="007C658E"/>
    <w:rsid w:val="007C7570"/>
    <w:rsid w:val="007D1ED9"/>
    <w:rsid w:val="007D296A"/>
    <w:rsid w:val="007D3764"/>
    <w:rsid w:val="007D4977"/>
    <w:rsid w:val="007D5413"/>
    <w:rsid w:val="007D6020"/>
    <w:rsid w:val="007D7E45"/>
    <w:rsid w:val="007E0530"/>
    <w:rsid w:val="007E0A69"/>
    <w:rsid w:val="007E1C97"/>
    <w:rsid w:val="007E2942"/>
    <w:rsid w:val="007E44A0"/>
    <w:rsid w:val="007E5784"/>
    <w:rsid w:val="007F3094"/>
    <w:rsid w:val="007F3AA3"/>
    <w:rsid w:val="007F64E4"/>
    <w:rsid w:val="007F7E5B"/>
    <w:rsid w:val="00803667"/>
    <w:rsid w:val="00803DB8"/>
    <w:rsid w:val="00805240"/>
    <w:rsid w:val="008062FF"/>
    <w:rsid w:val="00811366"/>
    <w:rsid w:val="00811391"/>
    <w:rsid w:val="00813D35"/>
    <w:rsid w:val="00814048"/>
    <w:rsid w:val="00814B25"/>
    <w:rsid w:val="00816CFE"/>
    <w:rsid w:val="00816D04"/>
    <w:rsid w:val="00817182"/>
    <w:rsid w:val="00820990"/>
    <w:rsid w:val="00823551"/>
    <w:rsid w:val="0082495E"/>
    <w:rsid w:val="00833633"/>
    <w:rsid w:val="008347ED"/>
    <w:rsid w:val="00834A57"/>
    <w:rsid w:val="008358C1"/>
    <w:rsid w:val="008372B0"/>
    <w:rsid w:val="008377BB"/>
    <w:rsid w:val="0084025A"/>
    <w:rsid w:val="00840FDF"/>
    <w:rsid w:val="008413E7"/>
    <w:rsid w:val="00842796"/>
    <w:rsid w:val="0084653F"/>
    <w:rsid w:val="008474EB"/>
    <w:rsid w:val="00847CE5"/>
    <w:rsid w:val="008523EE"/>
    <w:rsid w:val="008524AB"/>
    <w:rsid w:val="00855CF0"/>
    <w:rsid w:val="00855F5B"/>
    <w:rsid w:val="0085679B"/>
    <w:rsid w:val="008577CC"/>
    <w:rsid w:val="008578F4"/>
    <w:rsid w:val="00857982"/>
    <w:rsid w:val="008624D8"/>
    <w:rsid w:val="00863848"/>
    <w:rsid w:val="008643A1"/>
    <w:rsid w:val="00864C18"/>
    <w:rsid w:val="00865347"/>
    <w:rsid w:val="00867123"/>
    <w:rsid w:val="00867E0A"/>
    <w:rsid w:val="008704B0"/>
    <w:rsid w:val="00871504"/>
    <w:rsid w:val="00873292"/>
    <w:rsid w:val="00873B6D"/>
    <w:rsid w:val="00874FA4"/>
    <w:rsid w:val="008751FD"/>
    <w:rsid w:val="00875527"/>
    <w:rsid w:val="00876D56"/>
    <w:rsid w:val="008815F2"/>
    <w:rsid w:val="008845CD"/>
    <w:rsid w:val="00885352"/>
    <w:rsid w:val="0089113D"/>
    <w:rsid w:val="00891E31"/>
    <w:rsid w:val="0089616D"/>
    <w:rsid w:val="00896A35"/>
    <w:rsid w:val="00896EC4"/>
    <w:rsid w:val="008A0D5B"/>
    <w:rsid w:val="008A1F96"/>
    <w:rsid w:val="008A219D"/>
    <w:rsid w:val="008A52E5"/>
    <w:rsid w:val="008A723C"/>
    <w:rsid w:val="008A79EE"/>
    <w:rsid w:val="008A7B21"/>
    <w:rsid w:val="008B3B4B"/>
    <w:rsid w:val="008B4958"/>
    <w:rsid w:val="008B4C3B"/>
    <w:rsid w:val="008B5C4A"/>
    <w:rsid w:val="008B6211"/>
    <w:rsid w:val="008C166B"/>
    <w:rsid w:val="008C21A8"/>
    <w:rsid w:val="008C23A0"/>
    <w:rsid w:val="008C40CB"/>
    <w:rsid w:val="008C6B07"/>
    <w:rsid w:val="008D08E7"/>
    <w:rsid w:val="008D0F15"/>
    <w:rsid w:val="008D115D"/>
    <w:rsid w:val="008D12EF"/>
    <w:rsid w:val="008D49B7"/>
    <w:rsid w:val="008D4A0A"/>
    <w:rsid w:val="008D58BE"/>
    <w:rsid w:val="008D5B2B"/>
    <w:rsid w:val="008D66B5"/>
    <w:rsid w:val="008D69D6"/>
    <w:rsid w:val="008D7181"/>
    <w:rsid w:val="008D7759"/>
    <w:rsid w:val="008D7E3B"/>
    <w:rsid w:val="008E07AC"/>
    <w:rsid w:val="008E2CCD"/>
    <w:rsid w:val="008E3EA0"/>
    <w:rsid w:val="008E5CA4"/>
    <w:rsid w:val="008F07E6"/>
    <w:rsid w:val="008F126D"/>
    <w:rsid w:val="008F25A5"/>
    <w:rsid w:val="008F2D16"/>
    <w:rsid w:val="008F34C7"/>
    <w:rsid w:val="008F40C4"/>
    <w:rsid w:val="008F5F08"/>
    <w:rsid w:val="008F6618"/>
    <w:rsid w:val="008F6A8B"/>
    <w:rsid w:val="009003CE"/>
    <w:rsid w:val="009006A7"/>
    <w:rsid w:val="00901464"/>
    <w:rsid w:val="009040CD"/>
    <w:rsid w:val="009044C1"/>
    <w:rsid w:val="00905B93"/>
    <w:rsid w:val="00906392"/>
    <w:rsid w:val="00907BDA"/>
    <w:rsid w:val="00907D15"/>
    <w:rsid w:val="00910ABE"/>
    <w:rsid w:val="0091231A"/>
    <w:rsid w:val="009137D3"/>
    <w:rsid w:val="0091423B"/>
    <w:rsid w:val="00923470"/>
    <w:rsid w:val="00924BF0"/>
    <w:rsid w:val="00924EF7"/>
    <w:rsid w:val="00927045"/>
    <w:rsid w:val="009353AA"/>
    <w:rsid w:val="009405F6"/>
    <w:rsid w:val="00940ABC"/>
    <w:rsid w:val="009410D7"/>
    <w:rsid w:val="00942583"/>
    <w:rsid w:val="00943B82"/>
    <w:rsid w:val="00943FF4"/>
    <w:rsid w:val="00944260"/>
    <w:rsid w:val="0094530B"/>
    <w:rsid w:val="00947504"/>
    <w:rsid w:val="00950856"/>
    <w:rsid w:val="009528F4"/>
    <w:rsid w:val="0095611B"/>
    <w:rsid w:val="009579B1"/>
    <w:rsid w:val="00960A19"/>
    <w:rsid w:val="009612EA"/>
    <w:rsid w:val="00961FB7"/>
    <w:rsid w:val="009633C5"/>
    <w:rsid w:val="00963489"/>
    <w:rsid w:val="009636CD"/>
    <w:rsid w:val="00965627"/>
    <w:rsid w:val="00966E2C"/>
    <w:rsid w:val="0096756F"/>
    <w:rsid w:val="009676BE"/>
    <w:rsid w:val="009709FC"/>
    <w:rsid w:val="0097179D"/>
    <w:rsid w:val="00973EB0"/>
    <w:rsid w:val="00975DD8"/>
    <w:rsid w:val="009772C4"/>
    <w:rsid w:val="00977B9A"/>
    <w:rsid w:val="0098056D"/>
    <w:rsid w:val="00981AC3"/>
    <w:rsid w:val="00983526"/>
    <w:rsid w:val="009848E0"/>
    <w:rsid w:val="00986F47"/>
    <w:rsid w:val="00987542"/>
    <w:rsid w:val="00987D9E"/>
    <w:rsid w:val="00990209"/>
    <w:rsid w:val="00991D07"/>
    <w:rsid w:val="009954B3"/>
    <w:rsid w:val="00996796"/>
    <w:rsid w:val="00997749"/>
    <w:rsid w:val="00997FEB"/>
    <w:rsid w:val="009A1789"/>
    <w:rsid w:val="009A22E6"/>
    <w:rsid w:val="009A271D"/>
    <w:rsid w:val="009A4CA0"/>
    <w:rsid w:val="009A5B89"/>
    <w:rsid w:val="009A6175"/>
    <w:rsid w:val="009A61BD"/>
    <w:rsid w:val="009A7608"/>
    <w:rsid w:val="009B10A3"/>
    <w:rsid w:val="009B1B3F"/>
    <w:rsid w:val="009B1E73"/>
    <w:rsid w:val="009B43ED"/>
    <w:rsid w:val="009B61D9"/>
    <w:rsid w:val="009B6BFB"/>
    <w:rsid w:val="009C0F4D"/>
    <w:rsid w:val="009C1196"/>
    <w:rsid w:val="009C2A72"/>
    <w:rsid w:val="009C3644"/>
    <w:rsid w:val="009C3988"/>
    <w:rsid w:val="009C5AC0"/>
    <w:rsid w:val="009C60BB"/>
    <w:rsid w:val="009C60DC"/>
    <w:rsid w:val="009C6698"/>
    <w:rsid w:val="009C6B3A"/>
    <w:rsid w:val="009C7951"/>
    <w:rsid w:val="009C7BEF"/>
    <w:rsid w:val="009D03FF"/>
    <w:rsid w:val="009D12A0"/>
    <w:rsid w:val="009D2207"/>
    <w:rsid w:val="009D2713"/>
    <w:rsid w:val="009D4364"/>
    <w:rsid w:val="009D51B7"/>
    <w:rsid w:val="009D65F1"/>
    <w:rsid w:val="009D66EA"/>
    <w:rsid w:val="009D6727"/>
    <w:rsid w:val="009E0A5B"/>
    <w:rsid w:val="009E2989"/>
    <w:rsid w:val="009E2D5B"/>
    <w:rsid w:val="009E2EBF"/>
    <w:rsid w:val="009E5E8A"/>
    <w:rsid w:val="009E799F"/>
    <w:rsid w:val="009F07BB"/>
    <w:rsid w:val="009F1B6B"/>
    <w:rsid w:val="009F1FBC"/>
    <w:rsid w:val="009F29F8"/>
    <w:rsid w:val="009F3858"/>
    <w:rsid w:val="009F413C"/>
    <w:rsid w:val="009F49B4"/>
    <w:rsid w:val="009F4B6B"/>
    <w:rsid w:val="009F6B9B"/>
    <w:rsid w:val="00A00E9A"/>
    <w:rsid w:val="00A01656"/>
    <w:rsid w:val="00A016E5"/>
    <w:rsid w:val="00A0197D"/>
    <w:rsid w:val="00A02A44"/>
    <w:rsid w:val="00A04AC8"/>
    <w:rsid w:val="00A07914"/>
    <w:rsid w:val="00A1114F"/>
    <w:rsid w:val="00A140F2"/>
    <w:rsid w:val="00A14E21"/>
    <w:rsid w:val="00A14E3E"/>
    <w:rsid w:val="00A1616B"/>
    <w:rsid w:val="00A208CC"/>
    <w:rsid w:val="00A242EC"/>
    <w:rsid w:val="00A258D9"/>
    <w:rsid w:val="00A30EEF"/>
    <w:rsid w:val="00A32A22"/>
    <w:rsid w:val="00A32FFD"/>
    <w:rsid w:val="00A41256"/>
    <w:rsid w:val="00A416D2"/>
    <w:rsid w:val="00A43BE0"/>
    <w:rsid w:val="00A4620A"/>
    <w:rsid w:val="00A462A6"/>
    <w:rsid w:val="00A501F2"/>
    <w:rsid w:val="00A50BFE"/>
    <w:rsid w:val="00A51505"/>
    <w:rsid w:val="00A5268B"/>
    <w:rsid w:val="00A528C0"/>
    <w:rsid w:val="00A56087"/>
    <w:rsid w:val="00A5638C"/>
    <w:rsid w:val="00A615F5"/>
    <w:rsid w:val="00A62CAA"/>
    <w:rsid w:val="00A634A2"/>
    <w:rsid w:val="00A63FE8"/>
    <w:rsid w:val="00A66E30"/>
    <w:rsid w:val="00A707AA"/>
    <w:rsid w:val="00A709E9"/>
    <w:rsid w:val="00A715E6"/>
    <w:rsid w:val="00A73312"/>
    <w:rsid w:val="00A744BE"/>
    <w:rsid w:val="00A75559"/>
    <w:rsid w:val="00A75C46"/>
    <w:rsid w:val="00A81847"/>
    <w:rsid w:val="00A826EE"/>
    <w:rsid w:val="00A85D6A"/>
    <w:rsid w:val="00A870EF"/>
    <w:rsid w:val="00A902C9"/>
    <w:rsid w:val="00A90678"/>
    <w:rsid w:val="00A913BE"/>
    <w:rsid w:val="00A91CC1"/>
    <w:rsid w:val="00A93EBE"/>
    <w:rsid w:val="00A95099"/>
    <w:rsid w:val="00A96FD5"/>
    <w:rsid w:val="00A97B6A"/>
    <w:rsid w:val="00AA0B80"/>
    <w:rsid w:val="00AA1445"/>
    <w:rsid w:val="00AA1636"/>
    <w:rsid w:val="00AA2A6B"/>
    <w:rsid w:val="00AA47EF"/>
    <w:rsid w:val="00AA5412"/>
    <w:rsid w:val="00AA6605"/>
    <w:rsid w:val="00AA6B28"/>
    <w:rsid w:val="00AA7173"/>
    <w:rsid w:val="00AB02F7"/>
    <w:rsid w:val="00AB0FC7"/>
    <w:rsid w:val="00AB258B"/>
    <w:rsid w:val="00AB25BD"/>
    <w:rsid w:val="00AB26FF"/>
    <w:rsid w:val="00AB3B1A"/>
    <w:rsid w:val="00AC165A"/>
    <w:rsid w:val="00AC2988"/>
    <w:rsid w:val="00AC2E30"/>
    <w:rsid w:val="00AC3837"/>
    <w:rsid w:val="00AC3DF4"/>
    <w:rsid w:val="00AC437B"/>
    <w:rsid w:val="00AD1870"/>
    <w:rsid w:val="00AD4A00"/>
    <w:rsid w:val="00AD4D3C"/>
    <w:rsid w:val="00AD5486"/>
    <w:rsid w:val="00AD666A"/>
    <w:rsid w:val="00AD7B23"/>
    <w:rsid w:val="00AE0A9F"/>
    <w:rsid w:val="00AE16A9"/>
    <w:rsid w:val="00AE1832"/>
    <w:rsid w:val="00AE22CC"/>
    <w:rsid w:val="00AE2729"/>
    <w:rsid w:val="00AE29D5"/>
    <w:rsid w:val="00AE6E1F"/>
    <w:rsid w:val="00AE6EC6"/>
    <w:rsid w:val="00AF01A1"/>
    <w:rsid w:val="00AF097F"/>
    <w:rsid w:val="00AF0BA6"/>
    <w:rsid w:val="00AF2FAE"/>
    <w:rsid w:val="00AF38E3"/>
    <w:rsid w:val="00AF3A1D"/>
    <w:rsid w:val="00B00777"/>
    <w:rsid w:val="00B01AA3"/>
    <w:rsid w:val="00B020F8"/>
    <w:rsid w:val="00B037FE"/>
    <w:rsid w:val="00B04FE7"/>
    <w:rsid w:val="00B05EA3"/>
    <w:rsid w:val="00B076DE"/>
    <w:rsid w:val="00B11AC8"/>
    <w:rsid w:val="00B11AE7"/>
    <w:rsid w:val="00B148B7"/>
    <w:rsid w:val="00B15FB4"/>
    <w:rsid w:val="00B15FCC"/>
    <w:rsid w:val="00B16203"/>
    <w:rsid w:val="00B1632F"/>
    <w:rsid w:val="00B16A1D"/>
    <w:rsid w:val="00B1747D"/>
    <w:rsid w:val="00B17CE2"/>
    <w:rsid w:val="00B20C8E"/>
    <w:rsid w:val="00B2280D"/>
    <w:rsid w:val="00B228E5"/>
    <w:rsid w:val="00B231BE"/>
    <w:rsid w:val="00B239E5"/>
    <w:rsid w:val="00B24777"/>
    <w:rsid w:val="00B25961"/>
    <w:rsid w:val="00B25D9D"/>
    <w:rsid w:val="00B25E6A"/>
    <w:rsid w:val="00B26D9F"/>
    <w:rsid w:val="00B27E04"/>
    <w:rsid w:val="00B34D40"/>
    <w:rsid w:val="00B36F62"/>
    <w:rsid w:val="00B40640"/>
    <w:rsid w:val="00B41B70"/>
    <w:rsid w:val="00B42692"/>
    <w:rsid w:val="00B43C24"/>
    <w:rsid w:val="00B4652E"/>
    <w:rsid w:val="00B46DA6"/>
    <w:rsid w:val="00B50CB1"/>
    <w:rsid w:val="00B517E9"/>
    <w:rsid w:val="00B541AE"/>
    <w:rsid w:val="00B568DA"/>
    <w:rsid w:val="00B56A2E"/>
    <w:rsid w:val="00B61E7C"/>
    <w:rsid w:val="00B63BD5"/>
    <w:rsid w:val="00B64515"/>
    <w:rsid w:val="00B669EF"/>
    <w:rsid w:val="00B707D2"/>
    <w:rsid w:val="00B73708"/>
    <w:rsid w:val="00B73A2B"/>
    <w:rsid w:val="00B75115"/>
    <w:rsid w:val="00B80B64"/>
    <w:rsid w:val="00B81A8A"/>
    <w:rsid w:val="00B82449"/>
    <w:rsid w:val="00B84EDB"/>
    <w:rsid w:val="00B85EBF"/>
    <w:rsid w:val="00B85F5E"/>
    <w:rsid w:val="00B86E5F"/>
    <w:rsid w:val="00B879F8"/>
    <w:rsid w:val="00B9206A"/>
    <w:rsid w:val="00B92E8F"/>
    <w:rsid w:val="00B93C0C"/>
    <w:rsid w:val="00B95894"/>
    <w:rsid w:val="00BA027E"/>
    <w:rsid w:val="00BA0CAC"/>
    <w:rsid w:val="00BA3724"/>
    <w:rsid w:val="00BA3CB9"/>
    <w:rsid w:val="00BA44E6"/>
    <w:rsid w:val="00BA5F6F"/>
    <w:rsid w:val="00BA76F5"/>
    <w:rsid w:val="00BA78F8"/>
    <w:rsid w:val="00BB0057"/>
    <w:rsid w:val="00BB01B5"/>
    <w:rsid w:val="00BB0997"/>
    <w:rsid w:val="00BB344D"/>
    <w:rsid w:val="00BB3F33"/>
    <w:rsid w:val="00BB454F"/>
    <w:rsid w:val="00BB548F"/>
    <w:rsid w:val="00BB681D"/>
    <w:rsid w:val="00BC39CB"/>
    <w:rsid w:val="00BC4971"/>
    <w:rsid w:val="00BC4C7B"/>
    <w:rsid w:val="00BC4CE2"/>
    <w:rsid w:val="00BD00C0"/>
    <w:rsid w:val="00BD0453"/>
    <w:rsid w:val="00BD13C3"/>
    <w:rsid w:val="00BD1C2C"/>
    <w:rsid w:val="00BD1FD5"/>
    <w:rsid w:val="00BD2B7B"/>
    <w:rsid w:val="00BD2CE1"/>
    <w:rsid w:val="00BD54BC"/>
    <w:rsid w:val="00BD58CA"/>
    <w:rsid w:val="00BD7A02"/>
    <w:rsid w:val="00BE147B"/>
    <w:rsid w:val="00BE2698"/>
    <w:rsid w:val="00BE5912"/>
    <w:rsid w:val="00BE5F8B"/>
    <w:rsid w:val="00BE7FE9"/>
    <w:rsid w:val="00BF08E6"/>
    <w:rsid w:val="00BF0CBD"/>
    <w:rsid w:val="00BF2B84"/>
    <w:rsid w:val="00BF3314"/>
    <w:rsid w:val="00BF5DFE"/>
    <w:rsid w:val="00BF6CEB"/>
    <w:rsid w:val="00BF6F7E"/>
    <w:rsid w:val="00C0039B"/>
    <w:rsid w:val="00C023A1"/>
    <w:rsid w:val="00C038CF"/>
    <w:rsid w:val="00C05951"/>
    <w:rsid w:val="00C10669"/>
    <w:rsid w:val="00C11F07"/>
    <w:rsid w:val="00C11F2B"/>
    <w:rsid w:val="00C1373B"/>
    <w:rsid w:val="00C14400"/>
    <w:rsid w:val="00C1489F"/>
    <w:rsid w:val="00C152AE"/>
    <w:rsid w:val="00C163E9"/>
    <w:rsid w:val="00C208C7"/>
    <w:rsid w:val="00C2090C"/>
    <w:rsid w:val="00C2159A"/>
    <w:rsid w:val="00C22CCE"/>
    <w:rsid w:val="00C2452E"/>
    <w:rsid w:val="00C2648B"/>
    <w:rsid w:val="00C2764A"/>
    <w:rsid w:val="00C30809"/>
    <w:rsid w:val="00C319DE"/>
    <w:rsid w:val="00C31CA4"/>
    <w:rsid w:val="00C32CAD"/>
    <w:rsid w:val="00C34796"/>
    <w:rsid w:val="00C3695D"/>
    <w:rsid w:val="00C377D1"/>
    <w:rsid w:val="00C40D12"/>
    <w:rsid w:val="00C420C3"/>
    <w:rsid w:val="00C45B42"/>
    <w:rsid w:val="00C45D5F"/>
    <w:rsid w:val="00C46493"/>
    <w:rsid w:val="00C50973"/>
    <w:rsid w:val="00C527A7"/>
    <w:rsid w:val="00C53E6B"/>
    <w:rsid w:val="00C57474"/>
    <w:rsid w:val="00C575F0"/>
    <w:rsid w:val="00C57927"/>
    <w:rsid w:val="00C6006D"/>
    <w:rsid w:val="00C61837"/>
    <w:rsid w:val="00C618F8"/>
    <w:rsid w:val="00C63458"/>
    <w:rsid w:val="00C65676"/>
    <w:rsid w:val="00C703ED"/>
    <w:rsid w:val="00C7385D"/>
    <w:rsid w:val="00C75153"/>
    <w:rsid w:val="00C75F13"/>
    <w:rsid w:val="00C76892"/>
    <w:rsid w:val="00C778C3"/>
    <w:rsid w:val="00C81FE0"/>
    <w:rsid w:val="00C82975"/>
    <w:rsid w:val="00C83E1A"/>
    <w:rsid w:val="00C850FF"/>
    <w:rsid w:val="00C8717D"/>
    <w:rsid w:val="00C9153D"/>
    <w:rsid w:val="00C92105"/>
    <w:rsid w:val="00C9302B"/>
    <w:rsid w:val="00C93047"/>
    <w:rsid w:val="00C93616"/>
    <w:rsid w:val="00C93FCF"/>
    <w:rsid w:val="00C94EEE"/>
    <w:rsid w:val="00C95A52"/>
    <w:rsid w:val="00C96FDA"/>
    <w:rsid w:val="00C97DC9"/>
    <w:rsid w:val="00CA02C9"/>
    <w:rsid w:val="00CA054A"/>
    <w:rsid w:val="00CA5292"/>
    <w:rsid w:val="00CA663C"/>
    <w:rsid w:val="00CA7238"/>
    <w:rsid w:val="00CA7F71"/>
    <w:rsid w:val="00CB05E3"/>
    <w:rsid w:val="00CB0888"/>
    <w:rsid w:val="00CB17A4"/>
    <w:rsid w:val="00CB2112"/>
    <w:rsid w:val="00CB3F79"/>
    <w:rsid w:val="00CB51D8"/>
    <w:rsid w:val="00CB62B6"/>
    <w:rsid w:val="00CC12B2"/>
    <w:rsid w:val="00CC22B3"/>
    <w:rsid w:val="00CC2A2F"/>
    <w:rsid w:val="00CD27D2"/>
    <w:rsid w:val="00CD3678"/>
    <w:rsid w:val="00CD3C23"/>
    <w:rsid w:val="00CD4E05"/>
    <w:rsid w:val="00CD4FE5"/>
    <w:rsid w:val="00CD6230"/>
    <w:rsid w:val="00CD7366"/>
    <w:rsid w:val="00CE0323"/>
    <w:rsid w:val="00CE04BA"/>
    <w:rsid w:val="00CE2BD4"/>
    <w:rsid w:val="00CE4BF3"/>
    <w:rsid w:val="00CE50C1"/>
    <w:rsid w:val="00CE544A"/>
    <w:rsid w:val="00CE5B3D"/>
    <w:rsid w:val="00CE5CE9"/>
    <w:rsid w:val="00CE624E"/>
    <w:rsid w:val="00CE6386"/>
    <w:rsid w:val="00CE678D"/>
    <w:rsid w:val="00CF0A21"/>
    <w:rsid w:val="00CF0DC3"/>
    <w:rsid w:val="00CF17B3"/>
    <w:rsid w:val="00CF1976"/>
    <w:rsid w:val="00CF29B4"/>
    <w:rsid w:val="00CF4C41"/>
    <w:rsid w:val="00D00DAE"/>
    <w:rsid w:val="00D017E0"/>
    <w:rsid w:val="00D0248A"/>
    <w:rsid w:val="00D0477D"/>
    <w:rsid w:val="00D058B5"/>
    <w:rsid w:val="00D062AB"/>
    <w:rsid w:val="00D06F0F"/>
    <w:rsid w:val="00D109D4"/>
    <w:rsid w:val="00D10FDF"/>
    <w:rsid w:val="00D123E1"/>
    <w:rsid w:val="00D125B3"/>
    <w:rsid w:val="00D12A94"/>
    <w:rsid w:val="00D13F1C"/>
    <w:rsid w:val="00D1647C"/>
    <w:rsid w:val="00D167F8"/>
    <w:rsid w:val="00D17545"/>
    <w:rsid w:val="00D17C19"/>
    <w:rsid w:val="00D17C39"/>
    <w:rsid w:val="00D20EAC"/>
    <w:rsid w:val="00D22D15"/>
    <w:rsid w:val="00D23456"/>
    <w:rsid w:val="00D24DC4"/>
    <w:rsid w:val="00D258AF"/>
    <w:rsid w:val="00D27860"/>
    <w:rsid w:val="00D2791C"/>
    <w:rsid w:val="00D27E56"/>
    <w:rsid w:val="00D3111B"/>
    <w:rsid w:val="00D3221B"/>
    <w:rsid w:val="00D3245A"/>
    <w:rsid w:val="00D3328A"/>
    <w:rsid w:val="00D335F0"/>
    <w:rsid w:val="00D3446D"/>
    <w:rsid w:val="00D36264"/>
    <w:rsid w:val="00D36AA1"/>
    <w:rsid w:val="00D37F89"/>
    <w:rsid w:val="00D41477"/>
    <w:rsid w:val="00D42138"/>
    <w:rsid w:val="00D433FF"/>
    <w:rsid w:val="00D44B84"/>
    <w:rsid w:val="00D45E66"/>
    <w:rsid w:val="00D464AE"/>
    <w:rsid w:val="00D472FD"/>
    <w:rsid w:val="00D4747B"/>
    <w:rsid w:val="00D50651"/>
    <w:rsid w:val="00D521D6"/>
    <w:rsid w:val="00D52388"/>
    <w:rsid w:val="00D52476"/>
    <w:rsid w:val="00D5258B"/>
    <w:rsid w:val="00D578BD"/>
    <w:rsid w:val="00D57E12"/>
    <w:rsid w:val="00D60F5C"/>
    <w:rsid w:val="00D62249"/>
    <w:rsid w:val="00D63056"/>
    <w:rsid w:val="00D6364E"/>
    <w:rsid w:val="00D64D41"/>
    <w:rsid w:val="00D652E0"/>
    <w:rsid w:val="00D657D8"/>
    <w:rsid w:val="00D659CA"/>
    <w:rsid w:val="00D65FCE"/>
    <w:rsid w:val="00D664BD"/>
    <w:rsid w:val="00D6747E"/>
    <w:rsid w:val="00D70A3D"/>
    <w:rsid w:val="00D7259C"/>
    <w:rsid w:val="00D7317A"/>
    <w:rsid w:val="00D73E42"/>
    <w:rsid w:val="00D74B2E"/>
    <w:rsid w:val="00D7544C"/>
    <w:rsid w:val="00D7568B"/>
    <w:rsid w:val="00D76EAE"/>
    <w:rsid w:val="00D77201"/>
    <w:rsid w:val="00D77D65"/>
    <w:rsid w:val="00D803A1"/>
    <w:rsid w:val="00D80FB3"/>
    <w:rsid w:val="00D8162D"/>
    <w:rsid w:val="00D8244C"/>
    <w:rsid w:val="00D863BA"/>
    <w:rsid w:val="00D87275"/>
    <w:rsid w:val="00D90F80"/>
    <w:rsid w:val="00D91FF3"/>
    <w:rsid w:val="00D92F1A"/>
    <w:rsid w:val="00D93D00"/>
    <w:rsid w:val="00D943D4"/>
    <w:rsid w:val="00D95533"/>
    <w:rsid w:val="00D9583A"/>
    <w:rsid w:val="00D97B9A"/>
    <w:rsid w:val="00DA17E7"/>
    <w:rsid w:val="00DA3F81"/>
    <w:rsid w:val="00DA424B"/>
    <w:rsid w:val="00DA6715"/>
    <w:rsid w:val="00DA6884"/>
    <w:rsid w:val="00DB0E71"/>
    <w:rsid w:val="00DB1770"/>
    <w:rsid w:val="00DB268B"/>
    <w:rsid w:val="00DB2761"/>
    <w:rsid w:val="00DB2B18"/>
    <w:rsid w:val="00DB609D"/>
    <w:rsid w:val="00DB6B79"/>
    <w:rsid w:val="00DB6EC1"/>
    <w:rsid w:val="00DB762B"/>
    <w:rsid w:val="00DC1A53"/>
    <w:rsid w:val="00DC3604"/>
    <w:rsid w:val="00DC4085"/>
    <w:rsid w:val="00DC4233"/>
    <w:rsid w:val="00DC692D"/>
    <w:rsid w:val="00DC78D0"/>
    <w:rsid w:val="00DD0499"/>
    <w:rsid w:val="00DD3569"/>
    <w:rsid w:val="00DD4077"/>
    <w:rsid w:val="00DD5508"/>
    <w:rsid w:val="00DD5C23"/>
    <w:rsid w:val="00DE02F6"/>
    <w:rsid w:val="00DE15DD"/>
    <w:rsid w:val="00DE3A46"/>
    <w:rsid w:val="00DE3B64"/>
    <w:rsid w:val="00DF3274"/>
    <w:rsid w:val="00DF3704"/>
    <w:rsid w:val="00DF4B38"/>
    <w:rsid w:val="00DF5D46"/>
    <w:rsid w:val="00DF5E72"/>
    <w:rsid w:val="00DF60F2"/>
    <w:rsid w:val="00DF6DBB"/>
    <w:rsid w:val="00E02945"/>
    <w:rsid w:val="00E02960"/>
    <w:rsid w:val="00E030CC"/>
    <w:rsid w:val="00E03F3D"/>
    <w:rsid w:val="00E040BC"/>
    <w:rsid w:val="00E04359"/>
    <w:rsid w:val="00E053D0"/>
    <w:rsid w:val="00E06C4F"/>
    <w:rsid w:val="00E07880"/>
    <w:rsid w:val="00E078F9"/>
    <w:rsid w:val="00E07989"/>
    <w:rsid w:val="00E1061F"/>
    <w:rsid w:val="00E1174F"/>
    <w:rsid w:val="00E13D2F"/>
    <w:rsid w:val="00E15C8A"/>
    <w:rsid w:val="00E20110"/>
    <w:rsid w:val="00E21472"/>
    <w:rsid w:val="00E22938"/>
    <w:rsid w:val="00E23822"/>
    <w:rsid w:val="00E23C3B"/>
    <w:rsid w:val="00E245C4"/>
    <w:rsid w:val="00E26350"/>
    <w:rsid w:val="00E27E5E"/>
    <w:rsid w:val="00E32D69"/>
    <w:rsid w:val="00E34FA7"/>
    <w:rsid w:val="00E3505D"/>
    <w:rsid w:val="00E37BF3"/>
    <w:rsid w:val="00E415FA"/>
    <w:rsid w:val="00E434E8"/>
    <w:rsid w:val="00E461A0"/>
    <w:rsid w:val="00E47728"/>
    <w:rsid w:val="00E50473"/>
    <w:rsid w:val="00E50E6B"/>
    <w:rsid w:val="00E50ECF"/>
    <w:rsid w:val="00E52A2D"/>
    <w:rsid w:val="00E5360D"/>
    <w:rsid w:val="00E53EFB"/>
    <w:rsid w:val="00E56CB3"/>
    <w:rsid w:val="00E604E3"/>
    <w:rsid w:val="00E61840"/>
    <w:rsid w:val="00E61861"/>
    <w:rsid w:val="00E62359"/>
    <w:rsid w:val="00E63149"/>
    <w:rsid w:val="00E6382D"/>
    <w:rsid w:val="00E66F50"/>
    <w:rsid w:val="00E67F27"/>
    <w:rsid w:val="00E70D46"/>
    <w:rsid w:val="00E710E2"/>
    <w:rsid w:val="00E7183C"/>
    <w:rsid w:val="00E73F2A"/>
    <w:rsid w:val="00E8156E"/>
    <w:rsid w:val="00E815DD"/>
    <w:rsid w:val="00E81741"/>
    <w:rsid w:val="00E81988"/>
    <w:rsid w:val="00E854CA"/>
    <w:rsid w:val="00E870D5"/>
    <w:rsid w:val="00E87488"/>
    <w:rsid w:val="00E8780F"/>
    <w:rsid w:val="00E9085A"/>
    <w:rsid w:val="00E940C1"/>
    <w:rsid w:val="00E9574B"/>
    <w:rsid w:val="00E95E6C"/>
    <w:rsid w:val="00E960CC"/>
    <w:rsid w:val="00E96358"/>
    <w:rsid w:val="00E96603"/>
    <w:rsid w:val="00E9705E"/>
    <w:rsid w:val="00E9714E"/>
    <w:rsid w:val="00E977E7"/>
    <w:rsid w:val="00E97B8E"/>
    <w:rsid w:val="00EA0BEE"/>
    <w:rsid w:val="00EA21CA"/>
    <w:rsid w:val="00EA307D"/>
    <w:rsid w:val="00EA386B"/>
    <w:rsid w:val="00EB162F"/>
    <w:rsid w:val="00EB2D91"/>
    <w:rsid w:val="00EB2EC2"/>
    <w:rsid w:val="00EB3A17"/>
    <w:rsid w:val="00EB3FB6"/>
    <w:rsid w:val="00EB4A2D"/>
    <w:rsid w:val="00EB5FE9"/>
    <w:rsid w:val="00EB73F8"/>
    <w:rsid w:val="00EC1F8C"/>
    <w:rsid w:val="00EC36D4"/>
    <w:rsid w:val="00EC39B9"/>
    <w:rsid w:val="00EC4AC1"/>
    <w:rsid w:val="00EC4BA3"/>
    <w:rsid w:val="00EC65D5"/>
    <w:rsid w:val="00EC67EE"/>
    <w:rsid w:val="00EC6D4C"/>
    <w:rsid w:val="00EC7B67"/>
    <w:rsid w:val="00ED00A7"/>
    <w:rsid w:val="00ED1FB3"/>
    <w:rsid w:val="00ED2969"/>
    <w:rsid w:val="00ED2CA1"/>
    <w:rsid w:val="00ED2E1A"/>
    <w:rsid w:val="00ED32B3"/>
    <w:rsid w:val="00ED387A"/>
    <w:rsid w:val="00ED3BA3"/>
    <w:rsid w:val="00ED63F1"/>
    <w:rsid w:val="00EE0374"/>
    <w:rsid w:val="00EE041B"/>
    <w:rsid w:val="00EE0BB5"/>
    <w:rsid w:val="00EE2CDC"/>
    <w:rsid w:val="00EE2FC8"/>
    <w:rsid w:val="00EE33F8"/>
    <w:rsid w:val="00EE3692"/>
    <w:rsid w:val="00EE3B02"/>
    <w:rsid w:val="00EE45EE"/>
    <w:rsid w:val="00EE4911"/>
    <w:rsid w:val="00EE5ECD"/>
    <w:rsid w:val="00EE5FDA"/>
    <w:rsid w:val="00EE678F"/>
    <w:rsid w:val="00EE6C2F"/>
    <w:rsid w:val="00EF030F"/>
    <w:rsid w:val="00EF121E"/>
    <w:rsid w:val="00EF17DB"/>
    <w:rsid w:val="00EF25FB"/>
    <w:rsid w:val="00EF2EF5"/>
    <w:rsid w:val="00EF3060"/>
    <w:rsid w:val="00EF311F"/>
    <w:rsid w:val="00EF31C9"/>
    <w:rsid w:val="00EF35B6"/>
    <w:rsid w:val="00EF64F6"/>
    <w:rsid w:val="00EF7B26"/>
    <w:rsid w:val="00F001A9"/>
    <w:rsid w:val="00F02194"/>
    <w:rsid w:val="00F02E5A"/>
    <w:rsid w:val="00F0336B"/>
    <w:rsid w:val="00F03F5C"/>
    <w:rsid w:val="00F04A38"/>
    <w:rsid w:val="00F055AA"/>
    <w:rsid w:val="00F05E66"/>
    <w:rsid w:val="00F06472"/>
    <w:rsid w:val="00F064AA"/>
    <w:rsid w:val="00F065F3"/>
    <w:rsid w:val="00F079D9"/>
    <w:rsid w:val="00F07B1B"/>
    <w:rsid w:val="00F100F8"/>
    <w:rsid w:val="00F10F32"/>
    <w:rsid w:val="00F13F3E"/>
    <w:rsid w:val="00F15828"/>
    <w:rsid w:val="00F16E19"/>
    <w:rsid w:val="00F21BF4"/>
    <w:rsid w:val="00F23500"/>
    <w:rsid w:val="00F244C7"/>
    <w:rsid w:val="00F25937"/>
    <w:rsid w:val="00F262C0"/>
    <w:rsid w:val="00F26C54"/>
    <w:rsid w:val="00F300C3"/>
    <w:rsid w:val="00F30D8C"/>
    <w:rsid w:val="00F31545"/>
    <w:rsid w:val="00F31AE3"/>
    <w:rsid w:val="00F32945"/>
    <w:rsid w:val="00F3468E"/>
    <w:rsid w:val="00F36FA8"/>
    <w:rsid w:val="00F37418"/>
    <w:rsid w:val="00F375D6"/>
    <w:rsid w:val="00F3776B"/>
    <w:rsid w:val="00F405B4"/>
    <w:rsid w:val="00F40F67"/>
    <w:rsid w:val="00F42843"/>
    <w:rsid w:val="00F43CA6"/>
    <w:rsid w:val="00F44B24"/>
    <w:rsid w:val="00F458E0"/>
    <w:rsid w:val="00F46D47"/>
    <w:rsid w:val="00F47A0F"/>
    <w:rsid w:val="00F51212"/>
    <w:rsid w:val="00F5207F"/>
    <w:rsid w:val="00F529CD"/>
    <w:rsid w:val="00F529FB"/>
    <w:rsid w:val="00F52BA0"/>
    <w:rsid w:val="00F52F86"/>
    <w:rsid w:val="00F555F8"/>
    <w:rsid w:val="00F55A98"/>
    <w:rsid w:val="00F56057"/>
    <w:rsid w:val="00F56CA0"/>
    <w:rsid w:val="00F57802"/>
    <w:rsid w:val="00F615B7"/>
    <w:rsid w:val="00F616BC"/>
    <w:rsid w:val="00F61E9B"/>
    <w:rsid w:val="00F62E8B"/>
    <w:rsid w:val="00F63D17"/>
    <w:rsid w:val="00F66347"/>
    <w:rsid w:val="00F66CEE"/>
    <w:rsid w:val="00F70612"/>
    <w:rsid w:val="00F71222"/>
    <w:rsid w:val="00F71339"/>
    <w:rsid w:val="00F71B1D"/>
    <w:rsid w:val="00F7504C"/>
    <w:rsid w:val="00F75C65"/>
    <w:rsid w:val="00F77634"/>
    <w:rsid w:val="00F8199A"/>
    <w:rsid w:val="00F8554E"/>
    <w:rsid w:val="00F85C98"/>
    <w:rsid w:val="00F861B2"/>
    <w:rsid w:val="00F86735"/>
    <w:rsid w:val="00F87499"/>
    <w:rsid w:val="00F90D49"/>
    <w:rsid w:val="00F920AF"/>
    <w:rsid w:val="00F922EC"/>
    <w:rsid w:val="00F93CB3"/>
    <w:rsid w:val="00F95255"/>
    <w:rsid w:val="00F97755"/>
    <w:rsid w:val="00FA00E3"/>
    <w:rsid w:val="00FA15E7"/>
    <w:rsid w:val="00FA69E7"/>
    <w:rsid w:val="00FB10B1"/>
    <w:rsid w:val="00FB133F"/>
    <w:rsid w:val="00FB1D27"/>
    <w:rsid w:val="00FB1FAE"/>
    <w:rsid w:val="00FB2325"/>
    <w:rsid w:val="00FB24E7"/>
    <w:rsid w:val="00FB2996"/>
    <w:rsid w:val="00FB55ED"/>
    <w:rsid w:val="00FB5846"/>
    <w:rsid w:val="00FB632C"/>
    <w:rsid w:val="00FB75C9"/>
    <w:rsid w:val="00FC0DEC"/>
    <w:rsid w:val="00FC3C18"/>
    <w:rsid w:val="00FC4C68"/>
    <w:rsid w:val="00FC6081"/>
    <w:rsid w:val="00FC7A24"/>
    <w:rsid w:val="00FC7B87"/>
    <w:rsid w:val="00FD0040"/>
    <w:rsid w:val="00FD0E0A"/>
    <w:rsid w:val="00FD1B26"/>
    <w:rsid w:val="00FD264F"/>
    <w:rsid w:val="00FD38CA"/>
    <w:rsid w:val="00FD518B"/>
    <w:rsid w:val="00FD53E7"/>
    <w:rsid w:val="00FD5A63"/>
    <w:rsid w:val="00FE04B9"/>
    <w:rsid w:val="00FE2C7C"/>
    <w:rsid w:val="00FE3A94"/>
    <w:rsid w:val="00FE744D"/>
    <w:rsid w:val="00FE746D"/>
    <w:rsid w:val="00FE7C7C"/>
    <w:rsid w:val="00FF059D"/>
    <w:rsid w:val="00FF15B4"/>
    <w:rsid w:val="00FF15EC"/>
    <w:rsid w:val="00FF1FE8"/>
    <w:rsid w:val="00FF5448"/>
    <w:rsid w:val="00FF6956"/>
    <w:rsid w:val="00FF6C22"/>
    <w:rsid w:val="00FF6C83"/>
    <w:rsid w:val="0E4774AC"/>
    <w:rsid w:val="176921D1"/>
    <w:rsid w:val="241155C7"/>
    <w:rsid w:val="29FB2849"/>
    <w:rsid w:val="38CD2B9B"/>
    <w:rsid w:val="47A520F7"/>
    <w:rsid w:val="48477A09"/>
    <w:rsid w:val="54A646EA"/>
    <w:rsid w:val="6911682F"/>
    <w:rsid w:val="6F347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iPriority="99"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9"/>
    <w:qFormat/>
    <w:uiPriority w:val="9"/>
    <w:pPr>
      <w:keepNext/>
      <w:keepLines/>
      <w:spacing w:before="120" w:after="374" w:afterLines="120"/>
      <w:ind w:firstLine="0" w:firstLineChars="0"/>
      <w:jc w:val="center"/>
      <w:outlineLvl w:val="0"/>
    </w:pPr>
    <w:rPr>
      <w:b/>
      <w:bCs/>
      <w:kern w:val="44"/>
      <w:sz w:val="36"/>
      <w:szCs w:val="48"/>
    </w:rPr>
  </w:style>
  <w:style w:type="paragraph" w:styleId="3">
    <w:name w:val="heading 2"/>
    <w:basedOn w:val="1"/>
    <w:next w:val="1"/>
    <w:link w:val="40"/>
    <w:unhideWhenUsed/>
    <w:qFormat/>
    <w:uiPriority w:val="9"/>
    <w:pPr>
      <w:keepNext/>
      <w:keepLines/>
      <w:numPr>
        <w:ilvl w:val="0"/>
        <w:numId w:val="1"/>
      </w:numPr>
      <w:spacing w:line="300" w:lineRule="auto"/>
      <w:ind w:firstLine="0" w:firstLineChars="0"/>
      <w:jc w:val="left"/>
      <w:outlineLvl w:val="1"/>
    </w:pPr>
    <w:rPr>
      <w:rFonts w:cstheme="majorBidi"/>
      <w:b/>
      <w:bCs/>
      <w:sz w:val="28"/>
      <w:szCs w:val="32"/>
    </w:rPr>
  </w:style>
  <w:style w:type="paragraph" w:styleId="4">
    <w:name w:val="heading 3"/>
    <w:basedOn w:val="1"/>
    <w:next w:val="1"/>
    <w:link w:val="41"/>
    <w:unhideWhenUsed/>
    <w:qFormat/>
    <w:uiPriority w:val="9"/>
    <w:pPr>
      <w:keepNext/>
      <w:keepLines/>
      <w:spacing w:before="80" w:after="40"/>
      <w:ind w:firstLine="0" w:firstLineChars="0"/>
      <w:outlineLvl w:val="2"/>
    </w:pPr>
    <w:rPr>
      <w:b/>
      <w:bCs/>
      <w:sz w:val="24"/>
      <w:szCs w:val="32"/>
    </w:rPr>
  </w:style>
  <w:style w:type="paragraph" w:styleId="5">
    <w:name w:val="heading 4"/>
    <w:basedOn w:val="1"/>
    <w:next w:val="1"/>
    <w:link w:val="42"/>
    <w:unhideWhenUsed/>
    <w:qFormat/>
    <w:uiPriority w:val="9"/>
    <w:pPr>
      <w:keepNext/>
      <w:keepLines/>
      <w:numPr>
        <w:ilvl w:val="3"/>
        <w:numId w:val="2"/>
      </w:numPr>
      <w:spacing w:line="300" w:lineRule="auto"/>
      <w:ind w:firstLine="0" w:firstLineChars="0"/>
      <w:outlineLvl w:val="3"/>
    </w:pPr>
    <w:rPr>
      <w:rFonts w:ascii="宋体" w:hAnsi="宋体" w:cstheme="majorBidi"/>
      <w:b/>
      <w:bCs/>
      <w:kern w:val="0"/>
      <w:szCs w:val="28"/>
    </w:rPr>
  </w:style>
  <w:style w:type="paragraph" w:styleId="6">
    <w:name w:val="heading 5"/>
    <w:basedOn w:val="1"/>
    <w:next w:val="1"/>
    <w:link w:val="51"/>
    <w:unhideWhenUsed/>
    <w:qFormat/>
    <w:uiPriority w:val="9"/>
    <w:pPr>
      <w:keepNext/>
      <w:keepLines/>
      <w:numPr>
        <w:ilvl w:val="4"/>
        <w:numId w:val="3"/>
      </w:numPr>
      <w:ind w:left="420" w:leftChars="200" w:firstLineChars="0"/>
      <w:outlineLvl w:val="4"/>
    </w:pPr>
    <w:rPr>
      <w:b/>
      <w:bCs/>
      <w:szCs w:val="28"/>
    </w:rPr>
  </w:style>
  <w:style w:type="paragraph" w:styleId="7">
    <w:name w:val="heading 6"/>
    <w:basedOn w:val="1"/>
    <w:next w:val="1"/>
    <w:link w:val="52"/>
    <w:semiHidden/>
    <w:unhideWhenUsed/>
    <w:qFormat/>
    <w:uiPriority w:val="9"/>
    <w:pPr>
      <w:keepNext/>
      <w:keepLines/>
      <w:spacing w:before="240" w:after="64" w:line="320" w:lineRule="auto"/>
      <w:ind w:firstLine="0" w:firstLineChars="0"/>
      <w:outlineLvl w:val="5"/>
    </w:pPr>
    <w:rPr>
      <w:rFonts w:asciiTheme="majorHAnsi" w:hAnsiTheme="majorHAnsi" w:eastAsiaTheme="majorEastAsia" w:cstheme="majorBidi"/>
      <w:b/>
      <w:bCs/>
      <w:sz w:val="24"/>
      <w:szCs w:val="24"/>
    </w:rPr>
  </w:style>
  <w:style w:type="paragraph" w:styleId="8">
    <w:name w:val="heading 7"/>
    <w:basedOn w:val="1"/>
    <w:next w:val="1"/>
    <w:link w:val="53"/>
    <w:semiHidden/>
    <w:unhideWhenUsed/>
    <w:qFormat/>
    <w:uiPriority w:val="9"/>
    <w:pPr>
      <w:keepNext/>
      <w:keepLines/>
      <w:spacing w:before="240" w:after="64" w:line="320" w:lineRule="auto"/>
      <w:ind w:firstLine="0" w:firstLineChars="0"/>
      <w:outlineLvl w:val="6"/>
    </w:pPr>
    <w:rPr>
      <w:b/>
      <w:bCs/>
      <w:sz w:val="24"/>
      <w:szCs w:val="24"/>
    </w:rPr>
  </w:style>
  <w:style w:type="paragraph" w:styleId="9">
    <w:name w:val="heading 8"/>
    <w:basedOn w:val="1"/>
    <w:next w:val="1"/>
    <w:link w:val="54"/>
    <w:semiHidden/>
    <w:unhideWhenUsed/>
    <w:qFormat/>
    <w:uiPriority w:val="9"/>
    <w:pPr>
      <w:keepNext/>
      <w:keepLines/>
      <w:spacing w:before="240" w:after="64" w:line="320" w:lineRule="auto"/>
      <w:ind w:firstLine="0" w:firstLineChars="0"/>
      <w:outlineLvl w:val="7"/>
    </w:pPr>
    <w:rPr>
      <w:rFonts w:asciiTheme="majorHAnsi" w:hAnsiTheme="majorHAnsi" w:eastAsiaTheme="majorEastAsia" w:cstheme="majorBidi"/>
      <w:sz w:val="24"/>
      <w:szCs w:val="24"/>
    </w:rPr>
  </w:style>
  <w:style w:type="paragraph" w:styleId="10">
    <w:name w:val="heading 9"/>
    <w:basedOn w:val="1"/>
    <w:next w:val="1"/>
    <w:link w:val="55"/>
    <w:semiHidden/>
    <w:unhideWhenUsed/>
    <w:qFormat/>
    <w:uiPriority w:val="9"/>
    <w:pPr>
      <w:keepNext/>
      <w:keepLines/>
      <w:spacing w:before="240" w:after="64" w:line="320" w:lineRule="auto"/>
      <w:ind w:firstLine="0" w:firstLineChars="0"/>
      <w:outlineLvl w:val="8"/>
    </w:pPr>
    <w:rPr>
      <w:rFonts w:asciiTheme="majorHAnsi" w:hAnsiTheme="majorHAnsi" w:eastAsiaTheme="majorEastAsia" w:cstheme="majorBidi"/>
      <w:szCs w:val="21"/>
    </w:rPr>
  </w:style>
  <w:style w:type="character" w:default="1" w:styleId="31">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300" w:lineRule="auto"/>
      <w:ind w:left="1260"/>
      <w:jc w:val="left"/>
    </w:pPr>
    <w:rPr>
      <w:rFonts w:hAnsi="宋体" w:cs="宋体" w:asciiTheme="minorHAnsi" w:eastAsiaTheme="minorHAnsi"/>
      <w:kern w:val="0"/>
      <w:sz w:val="18"/>
      <w:szCs w:val="18"/>
    </w:rPr>
  </w:style>
  <w:style w:type="paragraph" w:styleId="12">
    <w:name w:val="caption"/>
    <w:basedOn w:val="1"/>
    <w:next w:val="1"/>
    <w:link w:val="45"/>
    <w:unhideWhenUsed/>
    <w:qFormat/>
    <w:uiPriority w:val="35"/>
    <w:pPr>
      <w:spacing w:line="200" w:lineRule="atLeast"/>
      <w:jc w:val="center"/>
    </w:pPr>
    <w:rPr>
      <w:rFonts w:asciiTheme="majorHAnsi" w:hAnsiTheme="majorHAnsi" w:cstheme="majorBidi"/>
      <w:kern w:val="0"/>
      <w:sz w:val="18"/>
      <w:szCs w:val="20"/>
    </w:rPr>
  </w:style>
  <w:style w:type="paragraph" w:styleId="13">
    <w:name w:val="annotation text"/>
    <w:basedOn w:val="1"/>
    <w:link w:val="46"/>
    <w:semiHidden/>
    <w:unhideWhenUsed/>
    <w:qFormat/>
    <w:uiPriority w:val="99"/>
    <w:pPr>
      <w:jc w:val="left"/>
    </w:pPr>
  </w:style>
  <w:style w:type="paragraph" w:styleId="14">
    <w:name w:val="toc 5"/>
    <w:basedOn w:val="1"/>
    <w:next w:val="1"/>
    <w:unhideWhenUsed/>
    <w:qFormat/>
    <w:uiPriority w:val="39"/>
    <w:pPr>
      <w:spacing w:line="300" w:lineRule="auto"/>
      <w:ind w:left="840"/>
      <w:jc w:val="left"/>
    </w:pPr>
    <w:rPr>
      <w:rFonts w:hAnsi="宋体" w:cs="宋体" w:asciiTheme="minorHAnsi" w:eastAsiaTheme="minorHAnsi"/>
      <w:kern w:val="0"/>
      <w:sz w:val="18"/>
      <w:szCs w:val="18"/>
    </w:r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spacing w:line="300" w:lineRule="auto"/>
      <w:ind w:left="1470"/>
      <w:jc w:val="left"/>
    </w:pPr>
    <w:rPr>
      <w:rFonts w:hAnsi="宋体" w:cs="宋体" w:asciiTheme="minorHAnsi" w:eastAsiaTheme="minorHAnsi"/>
      <w:kern w:val="0"/>
      <w:sz w:val="18"/>
      <w:szCs w:val="18"/>
    </w:rPr>
  </w:style>
  <w:style w:type="paragraph" w:styleId="17">
    <w:name w:val="Date"/>
    <w:basedOn w:val="1"/>
    <w:next w:val="1"/>
    <w:link w:val="64"/>
    <w:semiHidden/>
    <w:unhideWhenUsed/>
    <w:qFormat/>
    <w:uiPriority w:val="99"/>
    <w:pPr>
      <w:ind w:left="100" w:leftChars="2500"/>
    </w:pPr>
  </w:style>
  <w:style w:type="paragraph" w:styleId="18">
    <w:name w:val="endnote text"/>
    <w:basedOn w:val="1"/>
    <w:link w:val="49"/>
    <w:semiHidden/>
    <w:unhideWhenUsed/>
    <w:qFormat/>
    <w:uiPriority w:val="99"/>
    <w:pPr>
      <w:snapToGrid w:val="0"/>
      <w:jc w:val="left"/>
    </w:pPr>
  </w:style>
  <w:style w:type="paragraph" w:styleId="19">
    <w:name w:val="Balloon Text"/>
    <w:basedOn w:val="1"/>
    <w:link w:val="48"/>
    <w:semiHidden/>
    <w:unhideWhenUsed/>
    <w:qFormat/>
    <w:uiPriority w:val="99"/>
    <w:pPr>
      <w:spacing w:line="240" w:lineRule="auto"/>
    </w:pPr>
    <w:rPr>
      <w:sz w:val="18"/>
      <w:szCs w:val="18"/>
    </w:rPr>
  </w:style>
  <w:style w:type="paragraph" w:styleId="20">
    <w:name w:val="footer"/>
    <w:basedOn w:val="1"/>
    <w:link w:val="44"/>
    <w:unhideWhenUsed/>
    <w:qFormat/>
    <w:uiPriority w:val="99"/>
    <w:pPr>
      <w:tabs>
        <w:tab w:val="center" w:pos="4153"/>
        <w:tab w:val="right" w:pos="8306"/>
      </w:tabs>
      <w:snapToGrid w:val="0"/>
      <w:spacing w:line="240" w:lineRule="auto"/>
      <w:jc w:val="left"/>
    </w:pPr>
    <w:rPr>
      <w:sz w:val="18"/>
      <w:szCs w:val="18"/>
    </w:rPr>
  </w:style>
  <w:style w:type="paragraph" w:styleId="21">
    <w:name w:val="header"/>
    <w:basedOn w:val="1"/>
    <w:link w:val="4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spacing w:line="300" w:lineRule="auto"/>
      <w:ind w:left="630"/>
      <w:jc w:val="left"/>
    </w:pPr>
    <w:rPr>
      <w:rFonts w:hAnsi="宋体" w:cs="宋体" w:asciiTheme="minorHAnsi" w:eastAsiaTheme="minorHAnsi"/>
      <w:kern w:val="0"/>
      <w:sz w:val="18"/>
      <w:szCs w:val="18"/>
    </w:rPr>
  </w:style>
  <w:style w:type="paragraph" w:styleId="24">
    <w:name w:val="footnote text"/>
    <w:basedOn w:val="1"/>
    <w:link w:val="50"/>
    <w:unhideWhenUsed/>
    <w:qFormat/>
    <w:uiPriority w:val="99"/>
    <w:pPr>
      <w:snapToGrid w:val="0"/>
      <w:jc w:val="left"/>
    </w:pPr>
    <w:rPr>
      <w:sz w:val="18"/>
      <w:szCs w:val="18"/>
    </w:rPr>
  </w:style>
  <w:style w:type="paragraph" w:styleId="25">
    <w:name w:val="toc 6"/>
    <w:basedOn w:val="1"/>
    <w:next w:val="1"/>
    <w:unhideWhenUsed/>
    <w:qFormat/>
    <w:uiPriority w:val="39"/>
    <w:pPr>
      <w:spacing w:line="300" w:lineRule="auto"/>
      <w:ind w:left="1050"/>
      <w:jc w:val="left"/>
    </w:pPr>
    <w:rPr>
      <w:rFonts w:hAnsi="宋体" w:cs="宋体" w:asciiTheme="minorHAnsi" w:eastAsiaTheme="minorHAnsi"/>
      <w:kern w:val="0"/>
      <w:sz w:val="18"/>
      <w:szCs w:val="18"/>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spacing w:line="300" w:lineRule="auto"/>
      <w:ind w:left="1680"/>
      <w:jc w:val="left"/>
    </w:pPr>
    <w:rPr>
      <w:rFonts w:hAnsi="宋体" w:cs="宋体" w:asciiTheme="minorHAnsi" w:eastAsiaTheme="minorHAnsi"/>
      <w:kern w:val="0"/>
      <w:sz w:val="18"/>
      <w:szCs w:val="18"/>
    </w:rPr>
  </w:style>
  <w:style w:type="paragraph" w:styleId="28">
    <w:name w:val="Normal (Web)"/>
    <w:basedOn w:val="1"/>
    <w:unhideWhenUsed/>
    <w:qFormat/>
    <w:uiPriority w:val="0"/>
    <w:pPr>
      <w:spacing w:before="100" w:beforeAutospacing="1" w:after="100" w:afterAutospacing="1" w:line="240" w:lineRule="auto"/>
      <w:ind w:firstLine="0" w:firstLineChars="0"/>
      <w:jc w:val="left"/>
    </w:pPr>
    <w:rPr>
      <w:rFonts w:ascii="宋体" w:hAnsi="宋体" w:cs="宋体"/>
      <w:kern w:val="0"/>
      <w:sz w:val="24"/>
      <w:szCs w:val="24"/>
    </w:rPr>
  </w:style>
  <w:style w:type="paragraph" w:styleId="29">
    <w:name w:val="annotation subject"/>
    <w:basedOn w:val="13"/>
    <w:next w:val="13"/>
    <w:link w:val="47"/>
    <w:semiHidden/>
    <w:unhideWhenUsed/>
    <w:qFormat/>
    <w:uiPriority w:val="99"/>
    <w:rPr>
      <w:b/>
      <w:bCs/>
    </w:rPr>
  </w:style>
  <w:style w:type="character" w:styleId="32">
    <w:name w:val="endnote reference"/>
    <w:basedOn w:val="31"/>
    <w:semiHidden/>
    <w:unhideWhenUsed/>
    <w:qFormat/>
    <w:uiPriority w:val="99"/>
    <w:rPr>
      <w:vertAlign w:val="superscript"/>
    </w:rPr>
  </w:style>
  <w:style w:type="character" w:styleId="33">
    <w:name w:val="page number"/>
    <w:basedOn w:val="31"/>
    <w:unhideWhenUsed/>
    <w:qFormat/>
    <w:uiPriority w:val="99"/>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basedOn w:val="31"/>
    <w:unhideWhenUsed/>
    <w:qFormat/>
    <w:uiPriority w:val="99"/>
    <w:rPr>
      <w:color w:val="0563C1" w:themeColor="hyperlink"/>
      <w:u w:val="single"/>
      <w14:textFill>
        <w14:solidFill>
          <w14:schemeClr w14:val="hlink"/>
        </w14:solidFill>
      </w14:textFill>
    </w:rPr>
  </w:style>
  <w:style w:type="character" w:styleId="36">
    <w:name w:val="annotation reference"/>
    <w:basedOn w:val="31"/>
    <w:semiHidden/>
    <w:unhideWhenUsed/>
    <w:qFormat/>
    <w:uiPriority w:val="99"/>
    <w:rPr>
      <w:sz w:val="21"/>
      <w:szCs w:val="21"/>
    </w:rPr>
  </w:style>
  <w:style w:type="character" w:styleId="37">
    <w:name w:val="footnote reference"/>
    <w:basedOn w:val="31"/>
    <w:unhideWhenUsed/>
    <w:qFormat/>
    <w:uiPriority w:val="99"/>
    <w:rPr>
      <w:vertAlign w:val="superscript"/>
    </w:rPr>
  </w:style>
  <w:style w:type="paragraph" w:styleId="38">
    <w:name w:val="List Paragraph"/>
    <w:basedOn w:val="1"/>
    <w:qFormat/>
    <w:uiPriority w:val="34"/>
    <w:pPr>
      <w:ind w:firstLine="420"/>
    </w:pPr>
  </w:style>
  <w:style w:type="character" w:customStyle="1" w:styleId="39">
    <w:name w:val="标题 1 字符"/>
    <w:basedOn w:val="31"/>
    <w:link w:val="2"/>
    <w:qFormat/>
    <w:uiPriority w:val="9"/>
    <w:rPr>
      <w:rFonts w:ascii="Times New Roman" w:hAnsi="Times New Roman" w:eastAsia="宋体" w:cs="Times New Roman"/>
      <w:b/>
      <w:bCs/>
      <w:kern w:val="44"/>
      <w:sz w:val="36"/>
      <w:szCs w:val="48"/>
    </w:rPr>
  </w:style>
  <w:style w:type="character" w:customStyle="1" w:styleId="40">
    <w:name w:val="标题 2 字符"/>
    <w:basedOn w:val="31"/>
    <w:link w:val="3"/>
    <w:qFormat/>
    <w:uiPriority w:val="9"/>
    <w:rPr>
      <w:rFonts w:ascii="Times New Roman" w:hAnsi="Times New Roman" w:eastAsia="宋体" w:cstheme="majorBidi"/>
      <w:b/>
      <w:bCs/>
      <w:sz w:val="28"/>
      <w:szCs w:val="32"/>
    </w:rPr>
  </w:style>
  <w:style w:type="character" w:customStyle="1" w:styleId="41">
    <w:name w:val="标题 3 字符"/>
    <w:basedOn w:val="31"/>
    <w:link w:val="4"/>
    <w:qFormat/>
    <w:uiPriority w:val="9"/>
    <w:rPr>
      <w:rFonts w:ascii="Times New Roman" w:hAnsi="Times New Roman" w:eastAsia="宋体" w:cs="Times New Roman"/>
      <w:b/>
      <w:bCs/>
      <w:sz w:val="24"/>
      <w:szCs w:val="32"/>
    </w:rPr>
  </w:style>
  <w:style w:type="character" w:customStyle="1" w:styleId="42">
    <w:name w:val="标题 4 字符"/>
    <w:basedOn w:val="31"/>
    <w:link w:val="5"/>
    <w:qFormat/>
    <w:uiPriority w:val="9"/>
    <w:rPr>
      <w:rFonts w:ascii="宋体" w:hAnsi="宋体" w:eastAsia="宋体" w:cstheme="majorBidi"/>
      <w:b/>
      <w:bCs/>
      <w:kern w:val="0"/>
      <w:szCs w:val="28"/>
    </w:rPr>
  </w:style>
  <w:style w:type="character" w:customStyle="1" w:styleId="43">
    <w:name w:val="页眉 字符"/>
    <w:basedOn w:val="31"/>
    <w:link w:val="21"/>
    <w:qFormat/>
    <w:uiPriority w:val="99"/>
    <w:rPr>
      <w:rFonts w:ascii="等线" w:hAnsi="等线" w:eastAsia="等线" w:cs="Times New Roman"/>
      <w:sz w:val="18"/>
      <w:szCs w:val="18"/>
    </w:rPr>
  </w:style>
  <w:style w:type="character" w:customStyle="1" w:styleId="44">
    <w:name w:val="页脚 字符"/>
    <w:basedOn w:val="31"/>
    <w:link w:val="20"/>
    <w:qFormat/>
    <w:uiPriority w:val="99"/>
    <w:rPr>
      <w:rFonts w:ascii="等线" w:hAnsi="等线" w:eastAsia="等线" w:cs="Times New Roman"/>
      <w:sz w:val="18"/>
      <w:szCs w:val="18"/>
    </w:rPr>
  </w:style>
  <w:style w:type="character" w:customStyle="1" w:styleId="45">
    <w:name w:val="题注 字符"/>
    <w:basedOn w:val="31"/>
    <w:link w:val="12"/>
    <w:qFormat/>
    <w:uiPriority w:val="35"/>
    <w:rPr>
      <w:rFonts w:eastAsia="宋体" w:asciiTheme="majorHAnsi" w:hAnsiTheme="majorHAnsi" w:cstheme="majorBidi"/>
      <w:kern w:val="0"/>
      <w:sz w:val="18"/>
      <w:szCs w:val="20"/>
    </w:rPr>
  </w:style>
  <w:style w:type="character" w:customStyle="1" w:styleId="46">
    <w:name w:val="批注文字 字符"/>
    <w:basedOn w:val="31"/>
    <w:link w:val="13"/>
    <w:semiHidden/>
    <w:qFormat/>
    <w:uiPriority w:val="99"/>
    <w:rPr>
      <w:rFonts w:ascii="等线" w:hAnsi="等线" w:eastAsia="等线" w:cs="Times New Roman"/>
    </w:rPr>
  </w:style>
  <w:style w:type="character" w:customStyle="1" w:styleId="47">
    <w:name w:val="批注主题 字符"/>
    <w:basedOn w:val="46"/>
    <w:link w:val="29"/>
    <w:semiHidden/>
    <w:qFormat/>
    <w:uiPriority w:val="99"/>
    <w:rPr>
      <w:rFonts w:ascii="等线" w:hAnsi="等线" w:eastAsia="等线" w:cs="Times New Roman"/>
      <w:b/>
      <w:bCs/>
    </w:rPr>
  </w:style>
  <w:style w:type="character" w:customStyle="1" w:styleId="48">
    <w:name w:val="批注框文本 字符"/>
    <w:basedOn w:val="31"/>
    <w:link w:val="19"/>
    <w:semiHidden/>
    <w:qFormat/>
    <w:uiPriority w:val="99"/>
    <w:rPr>
      <w:rFonts w:ascii="等线" w:hAnsi="等线" w:eastAsia="等线" w:cs="Times New Roman"/>
      <w:sz w:val="18"/>
      <w:szCs w:val="18"/>
    </w:rPr>
  </w:style>
  <w:style w:type="character" w:customStyle="1" w:styleId="49">
    <w:name w:val="尾注文本 字符"/>
    <w:basedOn w:val="31"/>
    <w:link w:val="18"/>
    <w:semiHidden/>
    <w:qFormat/>
    <w:uiPriority w:val="99"/>
    <w:rPr>
      <w:rFonts w:ascii="等线" w:hAnsi="等线" w:eastAsia="等线" w:cs="Times New Roman"/>
    </w:rPr>
  </w:style>
  <w:style w:type="character" w:customStyle="1" w:styleId="50">
    <w:name w:val="脚注文本 字符"/>
    <w:basedOn w:val="31"/>
    <w:link w:val="24"/>
    <w:qFormat/>
    <w:uiPriority w:val="99"/>
    <w:rPr>
      <w:rFonts w:ascii="等线" w:hAnsi="等线" w:eastAsia="等线" w:cs="Times New Roman"/>
      <w:sz w:val="18"/>
      <w:szCs w:val="18"/>
    </w:rPr>
  </w:style>
  <w:style w:type="character" w:customStyle="1" w:styleId="51">
    <w:name w:val="标题 5 字符"/>
    <w:basedOn w:val="31"/>
    <w:link w:val="6"/>
    <w:qFormat/>
    <w:uiPriority w:val="9"/>
    <w:rPr>
      <w:rFonts w:ascii="Times New Roman" w:hAnsi="Times New Roman" w:eastAsia="宋体" w:cs="Times New Roman"/>
      <w:b/>
      <w:bCs/>
      <w:szCs w:val="28"/>
    </w:rPr>
  </w:style>
  <w:style w:type="character" w:customStyle="1" w:styleId="52">
    <w:name w:val="标题 6 字符"/>
    <w:basedOn w:val="31"/>
    <w:link w:val="7"/>
    <w:semiHidden/>
    <w:qFormat/>
    <w:uiPriority w:val="9"/>
    <w:rPr>
      <w:rFonts w:asciiTheme="majorHAnsi" w:hAnsiTheme="majorHAnsi" w:eastAsiaTheme="majorEastAsia" w:cstheme="majorBidi"/>
      <w:b/>
      <w:bCs/>
      <w:sz w:val="24"/>
      <w:szCs w:val="24"/>
    </w:rPr>
  </w:style>
  <w:style w:type="character" w:customStyle="1" w:styleId="53">
    <w:name w:val="标题 7 字符"/>
    <w:basedOn w:val="31"/>
    <w:link w:val="8"/>
    <w:semiHidden/>
    <w:qFormat/>
    <w:uiPriority w:val="9"/>
    <w:rPr>
      <w:rFonts w:ascii="Times New Roman" w:hAnsi="Times New Roman" w:eastAsia="宋体" w:cs="Times New Roman"/>
      <w:b/>
      <w:bCs/>
      <w:sz w:val="24"/>
      <w:szCs w:val="24"/>
    </w:rPr>
  </w:style>
  <w:style w:type="character" w:customStyle="1" w:styleId="54">
    <w:name w:val="标题 8 字符"/>
    <w:basedOn w:val="31"/>
    <w:link w:val="9"/>
    <w:semiHidden/>
    <w:qFormat/>
    <w:uiPriority w:val="9"/>
    <w:rPr>
      <w:rFonts w:asciiTheme="majorHAnsi" w:hAnsiTheme="majorHAnsi" w:eastAsiaTheme="majorEastAsia" w:cstheme="majorBidi"/>
      <w:sz w:val="24"/>
      <w:szCs w:val="24"/>
    </w:rPr>
  </w:style>
  <w:style w:type="character" w:customStyle="1" w:styleId="55">
    <w:name w:val="标题 9 字符"/>
    <w:basedOn w:val="31"/>
    <w:link w:val="10"/>
    <w:semiHidden/>
    <w:qFormat/>
    <w:uiPriority w:val="9"/>
    <w:rPr>
      <w:rFonts w:asciiTheme="majorHAnsi" w:hAnsiTheme="majorHAnsi" w:eastAsiaTheme="majorEastAsia" w:cstheme="majorBidi"/>
      <w:szCs w:val="21"/>
    </w:rPr>
  </w:style>
  <w:style w:type="paragraph" w:styleId="56">
    <w:name w:val="No Spacing"/>
    <w:basedOn w:val="12"/>
    <w:qFormat/>
    <w:uiPriority w:val="1"/>
    <w:pPr>
      <w:spacing w:before="156" w:beforeLines="50" w:after="156" w:afterLines="50"/>
      <w:ind w:firstLine="0" w:firstLineChars="0"/>
    </w:pPr>
    <w:rPr>
      <w:rFonts w:ascii="宋体" w:hAnsi="Times New Roman"/>
    </w:rPr>
  </w:style>
  <w:style w:type="paragraph" w:customStyle="1" w:styleId="57">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styleId="58">
    <w:name w:val="Placeholder Text"/>
    <w:basedOn w:val="31"/>
    <w:semiHidden/>
    <w:qFormat/>
    <w:uiPriority w:val="99"/>
    <w:rPr>
      <w:color w:val="808080"/>
    </w:rPr>
  </w:style>
  <w:style w:type="paragraph" w:customStyle="1" w:styleId="59">
    <w:name w:val="msonormal"/>
    <w:basedOn w:val="1"/>
    <w:qFormat/>
    <w:uiPriority w:val="0"/>
    <w:pPr>
      <w:spacing w:before="100" w:beforeAutospacing="1" w:after="100" w:afterAutospacing="1" w:line="300" w:lineRule="auto"/>
    </w:pPr>
    <w:rPr>
      <w:rFonts w:ascii="宋体" w:hAnsi="宋体" w:cs="宋体"/>
      <w:kern w:val="0"/>
      <w:szCs w:val="24"/>
    </w:rPr>
  </w:style>
  <w:style w:type="paragraph" w:customStyle="1" w:styleId="60">
    <w:name w:val="Revision"/>
    <w:hidden/>
    <w:semiHidden/>
    <w:qFormat/>
    <w:uiPriority w:val="99"/>
    <w:rPr>
      <w:rFonts w:ascii="宋体" w:hAnsi="宋体" w:eastAsia="宋体" w:cs="宋体"/>
      <w:kern w:val="0"/>
      <w:sz w:val="21"/>
      <w:szCs w:val="24"/>
      <w:lang w:val="en-US" w:eastAsia="zh-CN" w:bidi="ar-SA"/>
    </w:rPr>
  </w:style>
  <w:style w:type="character" w:customStyle="1" w:styleId="61">
    <w:name w:val="el-tableempty-text"/>
    <w:basedOn w:val="31"/>
    <w:qFormat/>
    <w:uiPriority w:val="0"/>
  </w:style>
  <w:style w:type="paragraph" w:customStyle="1" w:styleId="62">
    <w:name w:val="List Paragraph1"/>
    <w:basedOn w:val="1"/>
    <w:qFormat/>
    <w:uiPriority w:val="34"/>
    <w:pPr>
      <w:ind w:firstLine="420"/>
    </w:pPr>
    <w:rPr>
      <w:sz w:val="24"/>
      <w:szCs w:val="24"/>
    </w:rPr>
  </w:style>
  <w:style w:type="character" w:customStyle="1" w:styleId="63">
    <w:name w:val="未处理的提及1"/>
    <w:basedOn w:val="31"/>
    <w:semiHidden/>
    <w:unhideWhenUsed/>
    <w:qFormat/>
    <w:uiPriority w:val="99"/>
    <w:rPr>
      <w:color w:val="605E5C"/>
      <w:shd w:val="clear" w:color="auto" w:fill="E1DFDD"/>
    </w:rPr>
  </w:style>
  <w:style w:type="character" w:customStyle="1" w:styleId="64">
    <w:name w:val="日期 字符"/>
    <w:basedOn w:val="31"/>
    <w:link w:val="17"/>
    <w:semiHidden/>
    <w:qFormat/>
    <w:uiPriority w:val="99"/>
    <w:rPr>
      <w:rFonts w:ascii="Times New Roman" w:hAnsi="Times New Roman" w:eastAsia="宋体" w:cs="Times New Roman"/>
    </w:rPr>
  </w:style>
  <w:style w:type="character" w:customStyle="1" w:styleId="65">
    <w:name w:val="Unresolved Mention"/>
    <w:basedOn w:val="31"/>
    <w:semiHidden/>
    <w:unhideWhenUsed/>
    <w:qFormat/>
    <w:uiPriority w:val="99"/>
    <w:rPr>
      <w:color w:val="605E5C"/>
      <w:shd w:val="clear" w:color="auto" w:fill="E1DFDD"/>
    </w:rPr>
  </w:style>
  <w:style w:type="character" w:customStyle="1" w:styleId="66">
    <w:name w:val="font41"/>
    <w:basedOn w:val="31"/>
    <w:qFormat/>
    <w:uiPriority w:val="0"/>
    <w:rPr>
      <w:rFonts w:hint="default" w:ascii="Times New Roman" w:hAnsi="Times New Roman" w:cs="Times New Roman"/>
      <w:color w:val="000000"/>
      <w:sz w:val="18"/>
      <w:szCs w:val="18"/>
      <w:u w:val="none"/>
    </w:rPr>
  </w:style>
  <w:style w:type="character" w:customStyle="1" w:styleId="67">
    <w:name w:val="font11"/>
    <w:basedOn w:val="31"/>
    <w:qFormat/>
    <w:uiPriority w:val="0"/>
    <w:rPr>
      <w:rFonts w:hint="eastAsia" w:ascii="宋体" w:hAnsi="宋体" w:eastAsia="宋体"/>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chart" Target="charts/chart68.xml"/><Relationship Id="rId96" Type="http://schemas.openxmlformats.org/officeDocument/2006/relationships/chart" Target="charts/chart67.xml"/><Relationship Id="rId95" Type="http://schemas.openxmlformats.org/officeDocument/2006/relationships/chart" Target="charts/chart66.xml"/><Relationship Id="rId94" Type="http://schemas.openxmlformats.org/officeDocument/2006/relationships/chart" Target="charts/chart65.xml"/><Relationship Id="rId93" Type="http://schemas.openxmlformats.org/officeDocument/2006/relationships/chart" Target="charts/chart64.xml"/><Relationship Id="rId92" Type="http://schemas.openxmlformats.org/officeDocument/2006/relationships/chart" Target="charts/chart63.xml"/><Relationship Id="rId91" Type="http://schemas.openxmlformats.org/officeDocument/2006/relationships/chart" Target="charts/chart62.xml"/><Relationship Id="rId90" Type="http://schemas.openxmlformats.org/officeDocument/2006/relationships/chart" Target="charts/chart61.xml"/><Relationship Id="rId9" Type="http://schemas.openxmlformats.org/officeDocument/2006/relationships/footer" Target="footer2.xml"/><Relationship Id="rId89" Type="http://schemas.openxmlformats.org/officeDocument/2006/relationships/chart" Target="charts/chart60.xml"/><Relationship Id="rId88" Type="http://schemas.openxmlformats.org/officeDocument/2006/relationships/chart" Target="charts/chart59.xml"/><Relationship Id="rId87" Type="http://schemas.openxmlformats.org/officeDocument/2006/relationships/chart" Target="charts/chart58.xml"/><Relationship Id="rId86" Type="http://schemas.openxmlformats.org/officeDocument/2006/relationships/chart" Target="charts/chart57.xml"/><Relationship Id="rId85" Type="http://schemas.openxmlformats.org/officeDocument/2006/relationships/chart" Target="charts/chart56.xml"/><Relationship Id="rId84" Type="http://schemas.openxmlformats.org/officeDocument/2006/relationships/chart" Target="charts/chart55.xml"/><Relationship Id="rId83" Type="http://schemas.openxmlformats.org/officeDocument/2006/relationships/chart" Target="charts/chart54.xml"/><Relationship Id="rId82" Type="http://schemas.openxmlformats.org/officeDocument/2006/relationships/chart" Target="charts/chart53.xml"/><Relationship Id="rId81" Type="http://schemas.openxmlformats.org/officeDocument/2006/relationships/chart" Target="charts/chart52.xml"/><Relationship Id="rId80" Type="http://schemas.openxmlformats.org/officeDocument/2006/relationships/chart" Target="charts/chart51.xml"/><Relationship Id="rId8" Type="http://schemas.openxmlformats.org/officeDocument/2006/relationships/footer" Target="footer1.xml"/><Relationship Id="rId79" Type="http://schemas.openxmlformats.org/officeDocument/2006/relationships/chart" Target="charts/chart50.xml"/><Relationship Id="rId78" Type="http://schemas.openxmlformats.org/officeDocument/2006/relationships/chart" Target="charts/chart49.xml"/><Relationship Id="rId77" Type="http://schemas.openxmlformats.org/officeDocument/2006/relationships/chart" Target="charts/chart48.xml"/><Relationship Id="rId76" Type="http://schemas.openxmlformats.org/officeDocument/2006/relationships/chart" Target="charts/chart47.xml"/><Relationship Id="rId75" Type="http://schemas.openxmlformats.org/officeDocument/2006/relationships/chart" Target="charts/chart46.xml"/><Relationship Id="rId74" Type="http://schemas.openxmlformats.org/officeDocument/2006/relationships/chart" Target="charts/chart45.xml"/><Relationship Id="rId73" Type="http://schemas.openxmlformats.org/officeDocument/2006/relationships/chart" Target="charts/chart44.xml"/><Relationship Id="rId72" Type="http://schemas.openxmlformats.org/officeDocument/2006/relationships/chart" Target="charts/chart43.xml"/><Relationship Id="rId71" Type="http://schemas.openxmlformats.org/officeDocument/2006/relationships/chart" Target="charts/chart42.xml"/><Relationship Id="rId70" Type="http://schemas.openxmlformats.org/officeDocument/2006/relationships/chart" Target="charts/chart41.xml"/><Relationship Id="rId7" Type="http://schemas.openxmlformats.org/officeDocument/2006/relationships/header" Target="header3.xml"/><Relationship Id="rId69" Type="http://schemas.openxmlformats.org/officeDocument/2006/relationships/chart" Target="charts/chart40.xml"/><Relationship Id="rId68" Type="http://schemas.openxmlformats.org/officeDocument/2006/relationships/chart" Target="charts/chart39.xml"/><Relationship Id="rId67" Type="http://schemas.openxmlformats.org/officeDocument/2006/relationships/chart" Target="charts/chart38.xml"/><Relationship Id="rId66" Type="http://schemas.openxmlformats.org/officeDocument/2006/relationships/chart" Target="charts/chart37.xml"/><Relationship Id="rId65" Type="http://schemas.openxmlformats.org/officeDocument/2006/relationships/chart" Target="charts/chart36.xml"/><Relationship Id="rId64" Type="http://schemas.openxmlformats.org/officeDocument/2006/relationships/chart" Target="charts/chart35.xml"/><Relationship Id="rId63" Type="http://schemas.openxmlformats.org/officeDocument/2006/relationships/chart" Target="charts/chart34.xml"/><Relationship Id="rId62" Type="http://schemas.openxmlformats.org/officeDocument/2006/relationships/chart" Target="charts/chart33.xml"/><Relationship Id="rId61" Type="http://schemas.openxmlformats.org/officeDocument/2006/relationships/chart" Target="charts/chart32.xml"/><Relationship Id="rId60" Type="http://schemas.openxmlformats.org/officeDocument/2006/relationships/chart" Target="charts/chart31.xml"/><Relationship Id="rId6" Type="http://schemas.openxmlformats.org/officeDocument/2006/relationships/header" Target="header2.xml"/><Relationship Id="rId59" Type="http://schemas.openxmlformats.org/officeDocument/2006/relationships/chart" Target="charts/chart30.xml"/><Relationship Id="rId58" Type="http://schemas.openxmlformats.org/officeDocument/2006/relationships/chart" Target="charts/chart29.xml"/><Relationship Id="rId57" Type="http://schemas.openxmlformats.org/officeDocument/2006/relationships/chart" Target="charts/chart28.xml"/><Relationship Id="rId56" Type="http://schemas.openxmlformats.org/officeDocument/2006/relationships/chart" Target="charts/chart27.xml"/><Relationship Id="rId55" Type="http://schemas.openxmlformats.org/officeDocument/2006/relationships/chart" Target="charts/chart26.xml"/><Relationship Id="rId54" Type="http://schemas.openxmlformats.org/officeDocument/2006/relationships/chart" Target="charts/chart25.xml"/><Relationship Id="rId53" Type="http://schemas.openxmlformats.org/officeDocument/2006/relationships/chart" Target="charts/chart24.xml"/><Relationship Id="rId52" Type="http://schemas.openxmlformats.org/officeDocument/2006/relationships/chart" Target="charts/chart23.xml"/><Relationship Id="rId51" Type="http://schemas.openxmlformats.org/officeDocument/2006/relationships/chart" Target="charts/chart22.xml"/><Relationship Id="rId50" Type="http://schemas.openxmlformats.org/officeDocument/2006/relationships/chart" Target="charts/chart21.xml"/><Relationship Id="rId5" Type="http://schemas.openxmlformats.org/officeDocument/2006/relationships/header" Target="header1.xml"/><Relationship Id="rId49" Type="http://schemas.openxmlformats.org/officeDocument/2006/relationships/chart" Target="charts/chart20.xml"/><Relationship Id="rId48" Type="http://schemas.openxmlformats.org/officeDocument/2006/relationships/chart" Target="charts/chart19.xml"/><Relationship Id="rId47" Type="http://schemas.openxmlformats.org/officeDocument/2006/relationships/chart" Target="charts/chart18.xml"/><Relationship Id="rId46" Type="http://schemas.openxmlformats.org/officeDocument/2006/relationships/chart" Target="charts/chart17.xml"/><Relationship Id="rId45" Type="http://schemas.openxmlformats.org/officeDocument/2006/relationships/chart" Target="charts/chart16.xml"/><Relationship Id="rId44" Type="http://schemas.openxmlformats.org/officeDocument/2006/relationships/chart" Target="charts/chart15.xml"/><Relationship Id="rId43" Type="http://schemas.openxmlformats.org/officeDocument/2006/relationships/chart" Target="charts/chart14.xml"/><Relationship Id="rId42" Type="http://schemas.openxmlformats.org/officeDocument/2006/relationships/chart" Target="charts/chart13.xml"/><Relationship Id="rId41" Type="http://schemas.openxmlformats.org/officeDocument/2006/relationships/chart" Target="charts/chart12.xml"/><Relationship Id="rId40" Type="http://schemas.openxmlformats.org/officeDocument/2006/relationships/chart" Target="charts/chart11.xml"/><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chart" Target="charts/chart10.xml"/><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chart" Target="charts/chart9.xml"/><Relationship Id="rId31" Type="http://schemas.openxmlformats.org/officeDocument/2006/relationships/image" Target="media/image5.png"/><Relationship Id="rId30" Type="http://schemas.openxmlformats.org/officeDocument/2006/relationships/chart" Target="charts/chart8.xml"/><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chart" Target="charts/chart7.xml"/><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image" Target="media/image3.png"/><Relationship Id="rId21" Type="http://schemas.openxmlformats.org/officeDocument/2006/relationships/chart" Target="charts/chart1.xml"/><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1" Type="http://schemas.openxmlformats.org/officeDocument/2006/relationships/fontTable" Target="fontTable.xml"/><Relationship Id="rId100" Type="http://schemas.openxmlformats.org/officeDocument/2006/relationships/customXml" Target="../customXml/item2.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5.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3.xml"/><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4.xml"/><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E:\Barry\&#35885;&#22825;&#25991;&#26723;\&#24402;&#26723;\2020&#24180;\&#28246;&#21335;&#29702;&#24037;&#23398;&#38498;2020\&#22312;&#20570;\&#23398;&#29983;-&#28246;&#21335;&#30465;&#20013;&#24515;&#38382;&#21367;&#20998;&#26512;&#27169;&#26495;-V1.5-&#23439;&#65288;&#28246;&#21335;&#29702;&#24037;&#23398;&#38498;&#65289;.xlsm"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10.xml"/><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6.xml"/><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7.xml"/><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package" Target="../embeddings/Workbook1.xlsx"/></Relationships>
</file>

<file path=word/charts/_rels/chart56.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2.xlsx"/></Relationships>
</file>

<file path=word/charts/_rels/chart59.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9.xml"/><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NULL"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NULL"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E:\Barry\&#35885;&#22825;&#25991;&#26723;\&#24402;&#26723;\2020&#24180;\&#28246;&#21335;&#29702;&#24037;&#23398;&#38498;2020\&#22312;&#20570;\&#23398;&#29983;-&#28246;&#21335;&#30465;&#20013;&#24515;&#38382;&#21367;&#20998;&#26512;&#27169;&#26495;-V1.5-&#23439;&#65288;&#28246;&#21335;&#29702;&#24037;&#23398;&#38498;&#65289;.xlsm"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NULL"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NULL"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NULL"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NULL"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NULL"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8.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'2-图形输出'!$D$4</c:f>
              <c:strCache>
                <c:ptCount val="1"/>
                <c:pt idx="0">
                  <c:v>人数</c:v>
                </c:pt>
              </c:strCache>
            </c:strRef>
          </c:tx>
          <c:spPr>
            <a:solidFill>
              <a:srgbClr val="0D3F67"/>
            </a:solidFill>
            <a:ln>
              <a:noFill/>
            </a:ln>
            <a:effectLst/>
          </c:spPr>
          <c:invertIfNegative val="0"/>
          <c:dLbls>
            <c:delete val="1"/>
          </c:dLbls>
          <c:cat>
            <c:strRef>
              <c:f>('2-图形输出'!$C$6:$C$7,'2-图形输出'!$C$9)</c:f>
              <c:strCache>
                <c:ptCount val="3"/>
                <c:pt idx="0">
                  <c:v>硕士毕业生</c:v>
                </c:pt>
                <c:pt idx="1">
                  <c:v>本科毕业生</c:v>
                </c:pt>
                <c:pt idx="2">
                  <c:v>总体</c:v>
                </c:pt>
              </c:strCache>
            </c:strRef>
          </c:cat>
          <c:val>
            <c:numRef>
              <c:f>('2-图形输出'!$D$6:$D$7,'2-图形输出'!$D$9)</c:f>
              <c:numCache>
                <c:formatCode>General</c:formatCode>
                <c:ptCount val="3"/>
                <c:pt idx="0">
                  <c:v>209</c:v>
                </c:pt>
                <c:pt idx="1">
                  <c:v>4195</c:v>
                </c:pt>
                <c:pt idx="2">
                  <c:v>4404</c:v>
                </c:pt>
              </c:numCache>
            </c:numRef>
          </c:val>
        </c:ser>
        <c:dLbls>
          <c:showLegendKey val="0"/>
          <c:showVal val="0"/>
          <c:showCatName val="0"/>
          <c:showSerName val="0"/>
          <c:showPercent val="0"/>
          <c:showBubbleSize val="0"/>
        </c:dLbls>
        <c:gapWidth val="219"/>
        <c:overlap val="-27"/>
        <c:axId val="396309951"/>
        <c:axId val="377888943"/>
      </c:barChart>
      <c:lineChart>
        <c:grouping val="standard"/>
        <c:varyColors val="0"/>
        <c:ser>
          <c:idx val="1"/>
          <c:order val="1"/>
          <c:tx>
            <c:strRef>
              <c:f>'2-图形输出'!$E$4</c:f>
              <c:strCache>
                <c:ptCount val="1"/>
                <c:pt idx="0">
                  <c:v>比例</c:v>
                </c:pt>
              </c:strCache>
            </c:strRef>
          </c:tx>
          <c:spPr>
            <a:ln w="28575" cap="rnd">
              <a:solidFill>
                <a:schemeClr val="accent3"/>
              </a:solidFill>
              <a:round/>
            </a:ln>
            <a:effectLst/>
          </c:spPr>
          <c:marker>
            <c:symbol val="none"/>
          </c:marker>
          <c:dLbls>
            <c:delete val="1"/>
          </c:dLbls>
          <c:cat>
            <c:strRef>
              <c:f>('2-图形输出'!$C$6:$C$7,'2-图形输出'!$C$9)</c:f>
              <c:strCache>
                <c:ptCount val="3"/>
                <c:pt idx="0">
                  <c:v>硕士毕业生</c:v>
                </c:pt>
                <c:pt idx="1">
                  <c:v>本科毕业生</c:v>
                </c:pt>
                <c:pt idx="2">
                  <c:v>总体</c:v>
                </c:pt>
              </c:strCache>
            </c:strRef>
          </c:cat>
          <c:val>
            <c:numRef>
              <c:f>('2-图形输出'!$E$6:$E$7,'2-图形输出'!$E$9)</c:f>
              <c:numCache>
                <c:formatCode>0.00%</c:formatCode>
                <c:ptCount val="3"/>
                <c:pt idx="0">
                  <c:v>0.0474568574023615</c:v>
                </c:pt>
                <c:pt idx="1">
                  <c:v>0.952543142597639</c:v>
                </c:pt>
                <c:pt idx="2">
                  <c:v>1</c:v>
                </c:pt>
              </c:numCache>
            </c:numRef>
          </c:val>
          <c:smooth val="0"/>
        </c:ser>
        <c:dLbls>
          <c:showLegendKey val="0"/>
          <c:showVal val="0"/>
          <c:showCatName val="0"/>
          <c:showSerName val="0"/>
          <c:showPercent val="0"/>
          <c:showBubbleSize val="0"/>
        </c:dLbls>
        <c:marker val="0"/>
        <c:smooth val="0"/>
        <c:axId val="396311951"/>
        <c:axId val="377889775"/>
      </c:lineChart>
      <c:catAx>
        <c:axId val="39630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888943"/>
        <c:crosses val="autoZero"/>
        <c:auto val="1"/>
        <c:lblAlgn val="ctr"/>
        <c:lblOffset val="100"/>
        <c:noMultiLvlLbl val="0"/>
      </c:catAx>
      <c:valAx>
        <c:axId val="3778889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mn-lt"/>
                <a:ea typeface="+mn-ea"/>
                <a:cs typeface="+mn-cs"/>
              </a:defRPr>
            </a:pPr>
          </a:p>
        </c:txPr>
        <c:crossAx val="396309951"/>
        <c:crosses val="autoZero"/>
        <c:crossBetween val="between"/>
      </c:valAx>
      <c:catAx>
        <c:axId val="396311951"/>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889775"/>
        <c:crosses val="autoZero"/>
        <c:auto val="1"/>
        <c:lblAlgn val="ctr"/>
        <c:lblOffset val="100"/>
        <c:noMultiLvlLbl val="0"/>
      </c:catAx>
      <c:valAx>
        <c:axId val="377889775"/>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mn-lt"/>
                <a:ea typeface="+mn-ea"/>
                <a:cs typeface="+mn-cs"/>
              </a:defRPr>
            </a:pPr>
          </a:p>
        </c:txPr>
        <c:crossAx val="396311951"/>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Sheet2!$E$180</c:f>
              <c:strCache>
                <c:ptCount val="1"/>
                <c:pt idx="0">
                  <c:v>比例</c:v>
                </c:pt>
              </c:strCache>
            </c:strRef>
          </c:tx>
          <c:spPr/>
          <c:explosion val="0"/>
          <c:dPt>
            <c:idx val="0"/>
            <c:bubble3D val="0"/>
            <c:spPr>
              <a:solidFill>
                <a:schemeClr val="accent1"/>
              </a:solidFill>
              <a:ln w="19050">
                <a:solidFill>
                  <a:schemeClr val="lt1"/>
                </a:solidFill>
              </a:ln>
              <a:effectLst/>
            </c:spPr>
          </c:dPt>
          <c:dPt>
            <c:idx val="1"/>
            <c:bubble3D val="0"/>
            <c:spPr>
              <a:solidFill>
                <a:srgbClr val="F2F2F2"/>
              </a:solidFill>
              <a:ln w="19050">
                <a:solidFill>
                  <a:schemeClr val="lt1"/>
                </a:solidFill>
              </a:ln>
              <a:effectLst/>
            </c:spPr>
          </c:dPt>
          <c:dLbls>
            <c:dLbl>
              <c:idx val="0"/>
              <c:layout>
                <c:manualLayout>
                  <c:x val="0.0916666666666667"/>
                  <c:y val="-0.12037037037037"/>
                </c:manualLayout>
              </c:layout>
              <c:tx>
                <c:rich>
                  <a:bodyPr rot="0" spcFirstLastPara="1" vertOverflow="ellipsis" vert="horz" wrap="square" lIns="38100" tIns="19050" rIns="38100" bIns="19050" anchor="ctr" anchorCtr="1"/>
                  <a:lstStyle/>
                  <a:p>
                    <a:fld id="{39ab6419-702d-48eb-8298-74e8497992c5}" type="CELLRANGE">
                      <a:t>[CELLRANGE]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88888888888889"/>
                  <c:y val="0.0694444444444444"/>
                </c:manualLayout>
              </c:layout>
              <c:tx>
                <c:rich>
                  <a:bodyPr rot="0" spcFirstLastPara="1" vertOverflow="ellipsis" vert="horz" wrap="square" lIns="38100" tIns="19050" rIns="38100" bIns="19050" anchor="ctr" anchorCtr="1"/>
                  <a:lstStyle/>
                  <a:p>
                    <a:fld id="{a9dce285-3920-4df3-b54f-0f41833bd502}" type="CELLRANGE">
                      <a:t>[CELLRANGE]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Sheet2!$C$181:$C$182</c:f>
              <c:strCache>
                <c:ptCount val="2"/>
                <c:pt idx="0">
                  <c:v>基层就业</c:v>
                </c:pt>
                <c:pt idx="1">
                  <c:v>非基层就业</c:v>
                </c:pt>
              </c:strCache>
            </c:strRef>
          </c:cat>
          <c:val>
            <c:numRef>
              <c:f>Sheet2!$E$181:$E$182</c:f>
              <c:numCache>
                <c:formatCode>0.00%</c:formatCode>
                <c:ptCount val="2"/>
                <c:pt idx="0">
                  <c:v>0.0933050590730082</c:v>
                </c:pt>
                <c:pt idx="1">
                  <c:v>0.906694940926992</c:v>
                </c:pt>
              </c:numCache>
            </c:numRef>
          </c:val>
          <c:extLst>
            <c:ext xmlns:c15="http://schemas.microsoft.com/office/drawing/2012/chart" uri="{02D57815-91ED-43cb-92C2-25804820EDAC}">
              <c15:datalabelsRange>
                <c15:f>Sheet2!$F$181:$F$182</c15:f>
                <c15:dlblRangeCache>
                  <c:ptCount val="2"/>
                  <c:pt idx="0">
                    <c:v>308人  9.33%</c:v>
                  </c:pt>
                  <c:pt idx="1">
                    <c:v>2993人  90.67%</c:v>
                  </c:pt>
                </c15:dlblRangeCache>
              </c15:datalabelsRange>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3971066116735"/>
          <c:y val="0.0401826484018265"/>
          <c:w val="0.544024965629296"/>
          <c:h val="0.919634703196347"/>
        </c:manualLayout>
      </c:layout>
      <c:barChart>
        <c:barDir val="bar"/>
        <c:grouping val="clustered"/>
        <c:varyColors val="0"/>
        <c:ser>
          <c:idx val="0"/>
          <c:order val="0"/>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fld id="{56c1b652-cadc-4ff4-a56f-0afd8463e0a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ea8c4e94-6db7-4fd2-b418-617fe8e3e1b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6c2ca73e-64ec-49bf-8b06-46721dcab36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546098c4-df96-4993-8e52-1aabaf923be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b885e9ca-98c6-4af1-953b-cdf826fba7b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71afaf2b-b695-4807-8b0f-be27e9f9fae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a32ea8e3-0773-434f-b8b1-55c362bd1d7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edb4f011-fdcd-4faa-8c61-df6b3238866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2bfaf76f-cf1a-4a59-b0ed-e6f3fd759dd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31053f2e-2448-46cc-80ca-d3fc3fd0873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670aa9e3-29eb-4f67-a6f6-47ab847eedf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2d088866-a381-4238-ba1b-b49b614031e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70eb1359-e5a4-4c3a-b9ed-19200a542b4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b86e7528-f881-4dc1-a64a-7ea4c23a218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b08c609a-41b5-49ba-b5e5-816fb6ff129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828acbc8-aef1-4e7a-85cc-6e70b5add3c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fc620219-d2b9-4372-8ad0-ab10cac0ca0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ae53a937-9cbf-4a4b-a82b-7191296133d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a0857d17-0d3a-4429-a849-762ae46ffcd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Sheet1!$F$42:$F$60</c:f>
              <c:strCache>
                <c:ptCount val="19"/>
                <c:pt idx="0">
                  <c:v>教育</c:v>
                </c:pt>
                <c:pt idx="1">
                  <c:v>文化、体育和娱乐业</c:v>
                </c:pt>
                <c:pt idx="2">
                  <c:v>信息传输、软件和信息技术服务业</c:v>
                </c:pt>
                <c:pt idx="3">
                  <c:v>军队</c:v>
                </c:pt>
                <c:pt idx="4">
                  <c:v>制造业</c:v>
                </c:pt>
                <c:pt idx="5">
                  <c:v>居民服务、修理和其他服务业</c:v>
                </c:pt>
                <c:pt idx="6">
                  <c:v>建筑业</c:v>
                </c:pt>
                <c:pt idx="7">
                  <c:v>电力、热力、燃气及水生产和供应业</c:v>
                </c:pt>
                <c:pt idx="8">
                  <c:v>批发和零售业</c:v>
                </c:pt>
                <c:pt idx="9">
                  <c:v>金融业</c:v>
                </c:pt>
                <c:pt idx="10">
                  <c:v>租赁和商务服务业</c:v>
                </c:pt>
                <c:pt idx="11">
                  <c:v>科学研究和技术服务业</c:v>
                </c:pt>
                <c:pt idx="12">
                  <c:v>水利、环境和公共设施管理业</c:v>
                </c:pt>
                <c:pt idx="13">
                  <c:v>住宿和餐饮业</c:v>
                </c:pt>
                <c:pt idx="14">
                  <c:v>卫生和社会工作</c:v>
                </c:pt>
                <c:pt idx="15">
                  <c:v>公共管理、社会保障和社会组织</c:v>
                </c:pt>
                <c:pt idx="16">
                  <c:v>农、林、牧、渔业</c:v>
                </c:pt>
                <c:pt idx="17">
                  <c:v>交通运输、仓储和邮政业</c:v>
                </c:pt>
                <c:pt idx="18">
                  <c:v>采矿业</c:v>
                </c:pt>
              </c:strCache>
            </c:strRef>
          </c:cat>
          <c:val>
            <c:numRef>
              <c:f>Sheet1!$G$42:$G$60</c:f>
              <c:numCache>
                <c:formatCode>0.00%</c:formatCode>
                <c:ptCount val="19"/>
                <c:pt idx="0">
                  <c:v>0.498069498069498</c:v>
                </c:pt>
                <c:pt idx="1">
                  <c:v>0.0888030888030888</c:v>
                </c:pt>
                <c:pt idx="2">
                  <c:v>0.0617760617760618</c:v>
                </c:pt>
                <c:pt idx="3">
                  <c:v>0.0540540540540541</c:v>
                </c:pt>
                <c:pt idx="4">
                  <c:v>0.0501930501930502</c:v>
                </c:pt>
                <c:pt idx="5">
                  <c:v>0.0482625482625483</c:v>
                </c:pt>
                <c:pt idx="6">
                  <c:v>0.0347490347490347</c:v>
                </c:pt>
                <c:pt idx="7">
                  <c:v>0.0308880308880309</c:v>
                </c:pt>
                <c:pt idx="8">
                  <c:v>0.027027027027027</c:v>
                </c:pt>
                <c:pt idx="9">
                  <c:v>0.0193050193050193</c:v>
                </c:pt>
                <c:pt idx="10">
                  <c:v>0.0173745173745174</c:v>
                </c:pt>
                <c:pt idx="11">
                  <c:v>0.0154440154440154</c:v>
                </c:pt>
                <c:pt idx="12">
                  <c:v>0.0115830115830116</c:v>
                </c:pt>
                <c:pt idx="13">
                  <c:v>0.0115830115830116</c:v>
                </c:pt>
                <c:pt idx="14">
                  <c:v>0.0115830115830116</c:v>
                </c:pt>
                <c:pt idx="15">
                  <c:v>0.00772200772200772</c:v>
                </c:pt>
                <c:pt idx="16">
                  <c:v>0.00579150579150579</c:v>
                </c:pt>
                <c:pt idx="17">
                  <c:v>0.00386100386100386</c:v>
                </c:pt>
                <c:pt idx="18">
                  <c:v>0.00193050193050193</c:v>
                </c:pt>
              </c:numCache>
            </c:numRef>
          </c:val>
          <c:extLst>
            <c:ext xmlns:c15="http://schemas.microsoft.com/office/drawing/2012/chart" uri="{02D57815-91ED-43cb-92C2-25804820EDAC}">
              <c15:datalabelsRange>
                <c15:f>Sheet1!$I$42:$I$60</c15:f>
                <c15:dlblRangeCache>
                  <c:ptCount val="19"/>
                  <c:pt idx="0">
                    <c:v>258人  49.81%</c:v>
                  </c:pt>
                  <c:pt idx="1">
                    <c:v>46人  8.88%</c:v>
                  </c:pt>
                  <c:pt idx="2">
                    <c:v>32人  6.18%</c:v>
                  </c:pt>
                  <c:pt idx="3">
                    <c:v>28人  5.41%</c:v>
                  </c:pt>
                  <c:pt idx="4">
                    <c:v>26人  5.02%</c:v>
                  </c:pt>
                  <c:pt idx="5">
                    <c:v>25人  4.83%</c:v>
                  </c:pt>
                  <c:pt idx="6">
                    <c:v>18人  3.47%</c:v>
                  </c:pt>
                  <c:pt idx="7">
                    <c:v>16人  3.09%</c:v>
                  </c:pt>
                  <c:pt idx="8">
                    <c:v>14人  2.70%</c:v>
                  </c:pt>
                  <c:pt idx="9">
                    <c:v>10人  1.93%</c:v>
                  </c:pt>
                  <c:pt idx="10">
                    <c:v>9人  1.74%</c:v>
                  </c:pt>
                  <c:pt idx="11">
                    <c:v>8人  1.54%</c:v>
                  </c:pt>
                  <c:pt idx="12">
                    <c:v>6人  1.16%</c:v>
                  </c:pt>
                  <c:pt idx="13">
                    <c:v>6人  1.16%</c:v>
                  </c:pt>
                  <c:pt idx="14">
                    <c:v>6人  1.16%</c:v>
                  </c:pt>
                  <c:pt idx="15">
                    <c:v>4人  0.77%</c:v>
                  </c:pt>
                  <c:pt idx="16">
                    <c:v>3人  0.58%</c:v>
                  </c:pt>
                  <c:pt idx="17">
                    <c:v>2人  0.39%</c:v>
                  </c:pt>
                  <c:pt idx="18">
                    <c:v>1人  0.19%</c:v>
                  </c:pt>
                </c15:dlblRangeCache>
              </c15:datalabelsRange>
            </c:ext>
          </c:extLst>
        </c:ser>
        <c:dLbls>
          <c:showLegendKey val="0"/>
          <c:showVal val="1"/>
          <c:showCatName val="0"/>
          <c:showSerName val="0"/>
          <c:showPercent val="0"/>
          <c:showBubbleSize val="0"/>
        </c:dLbls>
        <c:gapWidth val="182"/>
        <c:axId val="276765487"/>
        <c:axId val="339331391"/>
      </c:barChart>
      <c:catAx>
        <c:axId val="276765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331391"/>
        <c:crosses val="autoZero"/>
        <c:auto val="1"/>
        <c:lblAlgn val="ctr"/>
        <c:lblOffset val="100"/>
        <c:noMultiLvlLbl val="0"/>
      </c:catAx>
      <c:valAx>
        <c:axId val="339331391"/>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76548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779891374964"/>
          <c:y val="0.0401826484018265"/>
          <c:w val="0.725810867700943"/>
          <c:h val="0.919634703196347"/>
        </c:manualLayout>
      </c:layout>
      <c:barChart>
        <c:barDir val="bar"/>
        <c:grouping val="clustered"/>
        <c:varyColors val="0"/>
        <c:ser>
          <c:idx val="0"/>
          <c:order val="0"/>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fld id="{1ea0be74-2ed6-467d-abe1-f8d63bd654c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a7a9b3f5-1348-442e-819d-1d3f84b1243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562faed-7451-4e3c-9898-5f3e61a8c86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8637894a-324c-4728-b2b8-c0d00f6f868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cf587418-a290-4431-93d9-7aff8a85a15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bfb9bcac-5f24-4716-b951-1aa5a2a9945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b001a5b1-bf45-4468-8c29-6dc5e2c748c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b28c844a-7717-4e68-b438-d0e411c710f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09c081e0-83f4-4d69-92d7-722cc3154d8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123530cb-6033-4601-8d06-44a9d1a7ea8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15adb382-307d-4c66-a2a7-37abf6f4b3a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69ab6ff3-f574-4999-96e4-80694a87789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09e9d127-3477-48ff-96e8-a2f1c2e4a0c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baa62d77-d39b-46e2-b280-e91427e9595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Sheet1!$F$70:$F$83</c:f>
              <c:strCache>
                <c:ptCount val="14"/>
                <c:pt idx="0">
                  <c:v>其他企业</c:v>
                </c:pt>
                <c:pt idx="1">
                  <c:v>其他教学单位</c:v>
                </c:pt>
                <c:pt idx="2">
                  <c:v>三资企业</c:v>
                </c:pt>
                <c:pt idx="3">
                  <c:v>部队</c:v>
                </c:pt>
                <c:pt idx="4">
                  <c:v>国有企业</c:v>
                </c:pt>
                <c:pt idx="5">
                  <c:v>其他事业单位</c:v>
                </c:pt>
                <c:pt idx="6">
                  <c:v>高等学校</c:v>
                </c:pt>
                <c:pt idx="7">
                  <c:v>自主创业</c:v>
                </c:pt>
                <c:pt idx="8">
                  <c:v>自由职业</c:v>
                </c:pt>
                <c:pt idx="9">
                  <c:v>机关</c:v>
                </c:pt>
                <c:pt idx="10">
                  <c:v>医疗卫生单位</c:v>
                </c:pt>
                <c:pt idx="11">
                  <c:v>城镇社区</c:v>
                </c:pt>
                <c:pt idx="12">
                  <c:v>科研设计单位</c:v>
                </c:pt>
                <c:pt idx="13">
                  <c:v>科研助理</c:v>
                </c:pt>
              </c:strCache>
            </c:strRef>
          </c:cat>
          <c:val>
            <c:numRef>
              <c:f>Sheet1!$G$70:$G$83</c:f>
              <c:numCache>
                <c:formatCode>0.00%</c:formatCode>
                <c:ptCount val="14"/>
                <c:pt idx="0">
                  <c:v>0.447876447876448</c:v>
                </c:pt>
                <c:pt idx="1">
                  <c:v>0.252895752895753</c:v>
                </c:pt>
                <c:pt idx="2">
                  <c:v>0.0752895752895753</c:v>
                </c:pt>
                <c:pt idx="3">
                  <c:v>0.0540540540540541</c:v>
                </c:pt>
                <c:pt idx="4">
                  <c:v>0.0521235521235521</c:v>
                </c:pt>
                <c:pt idx="5">
                  <c:v>0.0482625482625483</c:v>
                </c:pt>
                <c:pt idx="6">
                  <c:v>0.027027027027027</c:v>
                </c:pt>
                <c:pt idx="7">
                  <c:v>0.0193050193050193</c:v>
                </c:pt>
                <c:pt idx="8">
                  <c:v>0.00772200772200772</c:v>
                </c:pt>
                <c:pt idx="9">
                  <c:v>0.00772200772200772</c:v>
                </c:pt>
                <c:pt idx="10">
                  <c:v>0.00193050193050193</c:v>
                </c:pt>
                <c:pt idx="11">
                  <c:v>0.00193050193050193</c:v>
                </c:pt>
                <c:pt idx="12">
                  <c:v>0.00193050193050193</c:v>
                </c:pt>
                <c:pt idx="13">
                  <c:v>0.00193050193050193</c:v>
                </c:pt>
              </c:numCache>
            </c:numRef>
          </c:val>
          <c:extLst>
            <c:ext xmlns:c15="http://schemas.microsoft.com/office/drawing/2012/chart" uri="{02D57815-91ED-43cb-92C2-25804820EDAC}">
              <c15:datalabelsRange>
                <c15:f>Sheet1!$I$70:$I$83</c15:f>
                <c15:dlblRangeCache>
                  <c:ptCount val="14"/>
                  <c:pt idx="0">
                    <c:v>232人  44.79%</c:v>
                  </c:pt>
                  <c:pt idx="1">
                    <c:v>131人  25.29%</c:v>
                  </c:pt>
                  <c:pt idx="2">
                    <c:v>39人  7.53%</c:v>
                  </c:pt>
                  <c:pt idx="3">
                    <c:v>28人  5.41%</c:v>
                  </c:pt>
                  <c:pt idx="4">
                    <c:v>27人  5.21%</c:v>
                  </c:pt>
                  <c:pt idx="5">
                    <c:v>25人  4.83%</c:v>
                  </c:pt>
                  <c:pt idx="6">
                    <c:v>14人  2.70%</c:v>
                  </c:pt>
                  <c:pt idx="7">
                    <c:v>10人  1.93%</c:v>
                  </c:pt>
                  <c:pt idx="8">
                    <c:v>4人  0.77%</c:v>
                  </c:pt>
                  <c:pt idx="9">
                    <c:v>4人  0.77%</c:v>
                  </c:pt>
                  <c:pt idx="10">
                    <c:v>1人  0.19%</c:v>
                  </c:pt>
                  <c:pt idx="11">
                    <c:v>1人  0.19%</c:v>
                  </c:pt>
                  <c:pt idx="12">
                    <c:v>1人  0.19%</c:v>
                  </c:pt>
                  <c:pt idx="13">
                    <c:v>1人  0.19%</c:v>
                  </c:pt>
                </c15:dlblRangeCache>
              </c15:datalabelsRange>
            </c:ext>
          </c:extLst>
        </c:ser>
        <c:dLbls>
          <c:showLegendKey val="0"/>
          <c:showVal val="1"/>
          <c:showCatName val="0"/>
          <c:showSerName val="0"/>
          <c:showPercent val="0"/>
          <c:showBubbleSize val="0"/>
        </c:dLbls>
        <c:gapWidth val="182"/>
        <c:axId val="276765487"/>
        <c:axId val="339331391"/>
      </c:barChart>
      <c:catAx>
        <c:axId val="276765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331391"/>
        <c:crosses val="autoZero"/>
        <c:auto val="1"/>
        <c:lblAlgn val="ctr"/>
        <c:lblOffset val="100"/>
        <c:noMultiLvlLbl val="0"/>
      </c:catAx>
      <c:valAx>
        <c:axId val="339331391"/>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76548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3482515838844"/>
          <c:y val="0.429116977745489"/>
        </c:manualLayout>
      </c:layout>
      <c:overlay val="0"/>
      <c:spPr>
        <a:noFill/>
        <a:ln>
          <a:noFill/>
        </a:ln>
        <a:effectLst/>
      </c:spPr>
      <c:tx>
        <c:rich>
          <a:bodyPr/>
          <a:lstStyle/>
          <a:p>
            <a:pPr>
              <a:defRPr/>
            </a:pPr>
          </a:p>
        </c:rich>
      </c:tx>
    </c:title>
    <c:autoTitleDeleted val="0"/>
    <c:plotArea>
      <c:layout>
        <c:manualLayout>
          <c:layoutTarget val="inner"/>
          <c:xMode val="edge"/>
          <c:yMode val="edge"/>
          <c:x val="0.251976623681877"/>
          <c:y val="0.109958867081913"/>
          <c:w val="0.418293998867509"/>
          <c:h val="0.836587997735019"/>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700633553777284"/>
                  <c:y val="-0.11557602111133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5384615384615"/>
                      <c:h val="0.153846153846154"/>
                    </c:manualLayout>
                  </c15:layout>
                </c:ext>
              </c:extLst>
            </c:dLbl>
            <c:dLbl>
              <c:idx val="1"/>
              <c:layout>
                <c:manualLayout>
                  <c:x val="0.100512820512821"/>
                  <c:y val="-0.029529914529914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4465811965812"/>
                  <c:y val="0.057948717948717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12584963514568"/>
                  <c:y val="-0.082692763811579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566766738960887"/>
                  <c:y val="-0.1130871056314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'2图输出'!$F$916:$F$920</c:f>
              <c:strCache>
                <c:ptCount val="5"/>
                <c:pt idx="0">
                  <c:v>非常满意</c:v>
                </c:pt>
                <c:pt idx="1">
                  <c:v>比较满意</c:v>
                </c:pt>
                <c:pt idx="2">
                  <c:v>一般</c:v>
                </c:pt>
                <c:pt idx="3">
                  <c:v>不太满意</c:v>
                </c:pt>
                <c:pt idx="4">
                  <c:v>非常不满意</c:v>
                </c:pt>
              </c:strCache>
            </c:strRef>
          </c:cat>
          <c:val>
            <c:numRef>
              <c:f>'2图输出'!$H$916:$H$920</c:f>
              <c:numCache>
                <c:formatCode>0.00%</c:formatCode>
                <c:ptCount val="5"/>
                <c:pt idx="0">
                  <c:v>0.0419</c:v>
                </c:pt>
                <c:pt idx="1">
                  <c:v>0.2916</c:v>
                </c:pt>
                <c:pt idx="2">
                  <c:v>0.4977</c:v>
                </c:pt>
                <c:pt idx="3">
                  <c:v>0.132</c:v>
                </c:pt>
                <c:pt idx="4">
                  <c:v>0.0368000000000001</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'2图输出'!$E$305:$E$309</c:f>
              <c:strCache>
                <c:ptCount val="5"/>
                <c:pt idx="0">
                  <c:v>3000元及以上</c:v>
                </c:pt>
                <c:pt idx="1">
                  <c:v>3001-4000元</c:v>
                </c:pt>
                <c:pt idx="2">
                  <c:v>4001-5000元</c:v>
                </c:pt>
                <c:pt idx="3">
                  <c:v>5001-7000元</c:v>
                </c:pt>
                <c:pt idx="4">
                  <c:v>7000元以上</c:v>
                </c:pt>
              </c:strCache>
            </c:strRef>
          </c:cat>
          <c:val>
            <c:numRef>
              <c:f>'2图输出'!$H$305:$H$309</c:f>
              <c:numCache>
                <c:formatCode>0.00%</c:formatCode>
                <c:ptCount val="5"/>
                <c:pt idx="0">
                  <c:v>0.146362098138748</c:v>
                </c:pt>
                <c:pt idx="1">
                  <c:v>0.215736040609137</c:v>
                </c:pt>
                <c:pt idx="2">
                  <c:v>0.297800338409475</c:v>
                </c:pt>
                <c:pt idx="3">
                  <c:v>0.27072758037225</c:v>
                </c:pt>
                <c:pt idx="4">
                  <c:v>0.0693739424703892</c:v>
                </c:pt>
              </c:numCache>
            </c:numRef>
          </c:val>
        </c:ser>
        <c:dLbls>
          <c:showLegendKey val="0"/>
          <c:showVal val="0"/>
          <c:showCatName val="0"/>
          <c:showSerName val="0"/>
          <c:showPercent val="0"/>
          <c:showBubbleSize val="0"/>
        </c:dLbls>
        <c:gapWidth val="120"/>
        <c:overlap val="-27"/>
        <c:axId val="1375098288"/>
        <c:axId val="1375104520"/>
      </c:barChart>
      <c:catAx>
        <c:axId val="137509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04520"/>
        <c:crosses val="autoZero"/>
        <c:auto val="1"/>
        <c:lblAlgn val="ctr"/>
        <c:lblOffset val="100"/>
        <c:noMultiLvlLbl val="0"/>
      </c:catAx>
      <c:valAx>
        <c:axId val="1375104520"/>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098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7094017094017"/>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900427350427349"/>
                  <c:y val="-0.15612521367521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00576923076923"/>
                  <c:y val="-0.054273504273504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33760683760683"/>
                  <c:y val="0.10376068376068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97991452991453"/>
                  <c:y val="-0.022350427350427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25"/>
                  <c:y val="-0.13888888888888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'2图输出'!$F$318:$F$322</c:f>
              <c:strCache>
                <c:ptCount val="5"/>
                <c:pt idx="0">
                  <c:v>非常满意</c:v>
                </c:pt>
                <c:pt idx="1">
                  <c:v>比较满意</c:v>
                </c:pt>
                <c:pt idx="2">
                  <c:v>一般</c:v>
                </c:pt>
                <c:pt idx="3">
                  <c:v>不太满意</c:v>
                </c:pt>
                <c:pt idx="4">
                  <c:v>非常不满意</c:v>
                </c:pt>
              </c:strCache>
            </c:strRef>
          </c:cat>
          <c:val>
            <c:numRef>
              <c:f>'2图输出'!$H$318:$H$322</c:f>
              <c:numCache>
                <c:formatCode>0.00%</c:formatCode>
                <c:ptCount val="5"/>
                <c:pt idx="0">
                  <c:v>0.0067</c:v>
                </c:pt>
                <c:pt idx="1">
                  <c:v>0.2037</c:v>
                </c:pt>
                <c:pt idx="2">
                  <c:v>0.5192</c:v>
                </c:pt>
                <c:pt idx="3">
                  <c:v>0.2295</c:v>
                </c:pt>
                <c:pt idx="4">
                  <c:v>0.0408999999999999</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9807692307692"/>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Lbls>
            <c:dLbl>
              <c:idx val="0"/>
              <c:layout>
                <c:manualLayout>
                  <c:x val="0.183729071704598"/>
                  <c:y val="-0.00510654914678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82223100674153"/>
                      <c:h val="0.333999722219255"/>
                    </c:manualLayout>
                  </c15:layout>
                </c:ext>
              </c:extLst>
            </c:dLbl>
            <c:dLbl>
              <c:idx val="1"/>
              <c:layout>
                <c:manualLayout>
                  <c:x val="0.142092094017094"/>
                  <c:y val="0.10871794871794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46313849506939"/>
                  <c:y val="0.020270515710637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85235042735"/>
                      <c:h val="0.208166239316239"/>
                    </c:manualLayout>
                  </c15:layout>
                </c:ext>
              </c:extLst>
            </c:dLbl>
            <c:dLbl>
              <c:idx val="3"/>
              <c:layout>
                <c:manualLayout>
                  <c:x val="-0.118141025641026"/>
                  <c:y val="-0.1559685897435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
                      <c:h val="0.177569626713327"/>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'2图输出'!$E$330:$E$333</c:f>
              <c:strCache>
                <c:ptCount val="4"/>
                <c:pt idx="0">
                  <c:v>除提供四险一金外，还提供其他保障和补贴</c:v>
                </c:pt>
                <c:pt idx="1">
                  <c:v>提供四险一金</c:v>
                </c:pt>
                <c:pt idx="2">
                  <c:v>提供基本保障-四险</c:v>
                </c:pt>
                <c:pt idx="3">
                  <c:v>没有提供任何福利保障</c:v>
                </c:pt>
              </c:strCache>
            </c:strRef>
          </c:cat>
          <c:val>
            <c:numRef>
              <c:f>'2图输出'!$H$330:$H$333</c:f>
              <c:numCache>
                <c:formatCode>0.00%</c:formatCode>
                <c:ptCount val="4"/>
                <c:pt idx="0">
                  <c:v>0.3531</c:v>
                </c:pt>
                <c:pt idx="1">
                  <c:v>0.2796</c:v>
                </c:pt>
                <c:pt idx="2">
                  <c:v>0.2462</c:v>
                </c:pt>
                <c:pt idx="3">
                  <c:v>0.1211</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7094017094017"/>
          <c:y val="0.43598290598290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11431623931624"/>
                  <c:y val="-0.016282051282051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7777777777778"/>
                  <c:y val="0.055555555555555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780982905982907"/>
                  <c:y val="0.10232179487179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00192307692308"/>
                  <c:y val="-0.070242307692307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271367521367522"/>
                  <c:y val="-0.1551709401709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'2图输出'!$F$249:$F$253</c:f>
              <c:strCache>
                <c:ptCount val="5"/>
                <c:pt idx="0">
                  <c:v>非常相关</c:v>
                </c:pt>
                <c:pt idx="1">
                  <c:v>比较相关</c:v>
                </c:pt>
                <c:pt idx="2">
                  <c:v>一般</c:v>
                </c:pt>
                <c:pt idx="3">
                  <c:v>不太相关</c:v>
                </c:pt>
                <c:pt idx="4">
                  <c:v>非常不相关</c:v>
                </c:pt>
              </c:strCache>
            </c:strRef>
          </c:cat>
          <c:val>
            <c:numRef>
              <c:f>'2图输出'!$H$249:$H$253</c:f>
              <c:numCache>
                <c:formatCode>0.00%</c:formatCode>
                <c:ptCount val="5"/>
                <c:pt idx="0">
                  <c:v>0.2162</c:v>
                </c:pt>
                <c:pt idx="1">
                  <c:v>0.3372</c:v>
                </c:pt>
                <c:pt idx="2">
                  <c:v>0.1878</c:v>
                </c:pt>
                <c:pt idx="3">
                  <c:v>0.1603</c:v>
                </c:pt>
                <c:pt idx="4">
                  <c:v>0.0985</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Pt>
            <c:idx val="5"/>
            <c:invertIfNegative val="0"/>
            <c:bubble3D val="0"/>
            <c:spPr>
              <a:solidFill>
                <a:srgbClr val="0D3F67"/>
              </a:solidFill>
              <a:ln>
                <a:noFill/>
              </a:ln>
              <a:effectLst/>
            </c:spPr>
          </c:dPt>
          <c:dLbls>
            <c:delete val="1"/>
          </c:dLbls>
          <c:cat>
            <c:strRef>
              <c:f>'2图输出'!$L$261:$L$266</c:f>
              <c:strCache>
                <c:ptCount val="6"/>
                <c:pt idx="0">
                  <c:v>本专业相关工作与自己的兴趣不符</c:v>
                </c:pt>
                <c:pt idx="1">
                  <c:v>本专业相关的工作就业机会少</c:v>
                </c:pt>
                <c:pt idx="2">
                  <c:v>其他</c:v>
                </c:pt>
                <c:pt idx="3">
                  <c:v>本专业相关的工作收入待遇较低</c:v>
                </c:pt>
                <c:pt idx="4">
                  <c:v>本专业相关的工作环境不好</c:v>
                </c:pt>
                <c:pt idx="5">
                  <c:v>本专业相关工作的要求过高</c:v>
                </c:pt>
              </c:strCache>
            </c:strRef>
          </c:cat>
          <c:val>
            <c:numRef>
              <c:f>'2图输出'!$M$261:$M$266</c:f>
              <c:numCache>
                <c:formatCode>0.00%</c:formatCode>
                <c:ptCount val="6"/>
                <c:pt idx="0">
                  <c:v>0.2897</c:v>
                </c:pt>
                <c:pt idx="1">
                  <c:v>0.2492</c:v>
                </c:pt>
                <c:pt idx="2">
                  <c:v>0.1931</c:v>
                </c:pt>
                <c:pt idx="3">
                  <c:v>0.1059</c:v>
                </c:pt>
                <c:pt idx="4">
                  <c:v>0.0841</c:v>
                </c:pt>
                <c:pt idx="5">
                  <c:v>0.0780000000000001</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d661824d-4c24-4dcc-8add-2d9b906de08c}"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ce59e869-351e-4b03-9d3c-1ec04b15a2b9}"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93c34e1e-d7a4-4df6-92b0-8f883feaad84}"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ce1450cf-3553-4f65-abec-b6e120fcfa2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06a3c2cc-b422-4c86-9107-75260f85436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06277e9c-0e8b-4a21-9767-568f0c0b6d0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'2图输出'!$L$261:$L$266</c:f>
              <c:strCache>
                <c:ptCount val="6"/>
                <c:pt idx="0">
                  <c:v>本专业相关工作与自己的兴趣不符</c:v>
                </c:pt>
                <c:pt idx="1">
                  <c:v>本专业相关的工作就业机会少</c:v>
                </c:pt>
                <c:pt idx="2">
                  <c:v>其他</c:v>
                </c:pt>
                <c:pt idx="3">
                  <c:v>本专业相关的工作收入待遇较低</c:v>
                </c:pt>
                <c:pt idx="4">
                  <c:v>本专业相关的工作环境不好</c:v>
                </c:pt>
                <c:pt idx="5">
                  <c:v>本专业相关工作的要求过高</c:v>
                </c:pt>
              </c:strCache>
            </c:strRef>
          </c:cat>
          <c:val>
            <c:numRef>
              <c:f>'2图输出'!$N$261:$N$266</c:f>
              <c:numCache>
                <c:formatCode>0.00%</c:formatCode>
                <c:ptCount val="6"/>
                <c:pt idx="0">
                  <c:v>0.05794</c:v>
                </c:pt>
                <c:pt idx="1">
                  <c:v>0.09844</c:v>
                </c:pt>
                <c:pt idx="2">
                  <c:v>0.15454</c:v>
                </c:pt>
                <c:pt idx="3">
                  <c:v>0.24174</c:v>
                </c:pt>
                <c:pt idx="4">
                  <c:v>0.26354</c:v>
                </c:pt>
                <c:pt idx="5">
                  <c:v>0.26964</c:v>
                </c:pt>
              </c:numCache>
            </c:numRef>
          </c:val>
          <c:extLst>
            <c:ext xmlns:c15="http://schemas.microsoft.com/office/drawing/2012/chart" uri="{02D57815-91ED-43cb-92C2-25804820EDAC}">
              <c15:datalabelsRange>
                <c15:f>'2图输出'!$M$261:$M$266</c15:f>
                <c15:dlblRangeCache>
                  <c:ptCount val="6"/>
                  <c:pt idx="0">
                    <c:v>28.97%</c:v>
                  </c:pt>
                  <c:pt idx="1">
                    <c:v>24.92%</c:v>
                  </c:pt>
                  <c:pt idx="2">
                    <c:v>19.31%</c:v>
                  </c:pt>
                  <c:pt idx="3">
                    <c:v>10.59%</c:v>
                  </c:pt>
                  <c:pt idx="4">
                    <c:v>8.41%</c:v>
                  </c:pt>
                  <c:pt idx="5">
                    <c:v>7.80%</c:v>
                  </c:pt>
                </c15:dlblRangeCache>
              </c15:datalabelsRange>
            </c:ext>
          </c:extLst>
        </c:ser>
        <c:dLbls>
          <c:showLegendKey val="0"/>
          <c:showVal val="0"/>
          <c:showCatName val="0"/>
          <c:showSerName val="0"/>
          <c:showPercent val="0"/>
          <c:showBubbleSize val="0"/>
        </c:dLbls>
        <c:gapWidth val="150"/>
        <c:overlap val="100"/>
        <c:axId val="1102021536"/>
        <c:axId val="1102022520"/>
      </c:barChart>
      <c:catAx>
        <c:axId val="1102021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02022520"/>
        <c:crosses val="autoZero"/>
        <c:auto val="1"/>
        <c:lblAlgn val="ctr"/>
        <c:lblOffset val="100"/>
        <c:noMultiLvlLbl val="0"/>
      </c:catAx>
      <c:valAx>
        <c:axId val="110202252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02021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4380341880342"/>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499357899122853"/>
                  <c:y val="-0.13888909069541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22435897435897"/>
                  <c:y val="0.019159401709401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95299145299145"/>
                  <c:y val="0.021709401709401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16665990021261"/>
                  <c:y val="-0.091637731172341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654483488071453"/>
                  <c:y val="-0.15445549631940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'2图输出'!$F$281:$F$285</c:f>
              <c:strCache>
                <c:ptCount val="5"/>
                <c:pt idx="0">
                  <c:v>非常匹配</c:v>
                </c:pt>
                <c:pt idx="1">
                  <c:v>比较匹配</c:v>
                </c:pt>
                <c:pt idx="2">
                  <c:v>一般</c:v>
                </c:pt>
                <c:pt idx="3">
                  <c:v>不太匹配</c:v>
                </c:pt>
                <c:pt idx="4">
                  <c:v>非常不匹配</c:v>
                </c:pt>
              </c:strCache>
            </c:strRef>
          </c:cat>
          <c:val>
            <c:numRef>
              <c:f>'2图输出'!$H$281:$H$285</c:f>
              <c:numCache>
                <c:formatCode>0.00%</c:formatCode>
                <c:ptCount val="5"/>
                <c:pt idx="0">
                  <c:v>0.0793</c:v>
                </c:pt>
                <c:pt idx="1">
                  <c:v>0.384</c:v>
                </c:pt>
                <c:pt idx="2">
                  <c:v>0.4098</c:v>
                </c:pt>
                <c:pt idx="3">
                  <c:v>0.1085</c:v>
                </c:pt>
                <c:pt idx="4">
                  <c:v>0.0184</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222598757434"/>
          <c:y val="0.020541060894034"/>
          <c:w val="0.851338582677165"/>
          <c:h val="0.951849529780564"/>
        </c:manualLayout>
      </c:layout>
      <c:barChart>
        <c:barDir val="bar"/>
        <c:grouping val="stacked"/>
        <c:varyColors val="0"/>
        <c:ser>
          <c:idx val="0"/>
          <c:order val="0"/>
          <c:tx>
            <c:strRef>
              <c:f>'2-图形输出'!$I$58</c:f>
              <c:strCache>
                <c:ptCount val="1"/>
                <c:pt idx="0">
                  <c:v>辅助-占比</c:v>
                </c:pt>
              </c:strCache>
            </c:strRef>
          </c:tx>
          <c:spPr>
            <a:solidFill>
              <a:srgbClr val="00468E"/>
            </a:solidFill>
            <a:ln>
              <a:solidFill>
                <a:srgbClr val="0D3F67"/>
              </a:solidFill>
            </a:ln>
            <a:effectLst/>
          </c:spPr>
          <c:invertIfNegative val="0"/>
          <c:dLbls>
            <c:delete val="1"/>
          </c:dLbls>
          <c:cat>
            <c:strRef>
              <c:f>'2-图形输出'!$G$59:$G$89</c:f>
              <c:strCache>
                <c:ptCount val="31"/>
                <c:pt idx="0">
                  <c:v>湖南</c:v>
                </c:pt>
                <c:pt idx="1">
                  <c:v>江西</c:v>
                </c:pt>
                <c:pt idx="2">
                  <c:v>河北</c:v>
                </c:pt>
                <c:pt idx="3">
                  <c:v>江苏</c:v>
                </c:pt>
                <c:pt idx="4">
                  <c:v>上海</c:v>
                </c:pt>
                <c:pt idx="5">
                  <c:v>广东</c:v>
                </c:pt>
                <c:pt idx="6">
                  <c:v>山西</c:v>
                </c:pt>
                <c:pt idx="7">
                  <c:v>山东</c:v>
                </c:pt>
                <c:pt idx="8">
                  <c:v>浙江</c:v>
                </c:pt>
                <c:pt idx="9">
                  <c:v>贵州</c:v>
                </c:pt>
                <c:pt idx="10">
                  <c:v>甘肃</c:v>
                </c:pt>
                <c:pt idx="11">
                  <c:v>福建</c:v>
                </c:pt>
                <c:pt idx="12">
                  <c:v>河南</c:v>
                </c:pt>
                <c:pt idx="13">
                  <c:v>天津</c:v>
                </c:pt>
                <c:pt idx="14">
                  <c:v>安徽</c:v>
                </c:pt>
                <c:pt idx="15">
                  <c:v>陕西</c:v>
                </c:pt>
                <c:pt idx="16">
                  <c:v>湖北</c:v>
                </c:pt>
                <c:pt idx="17">
                  <c:v>广西</c:v>
                </c:pt>
                <c:pt idx="18">
                  <c:v>四川</c:v>
                </c:pt>
                <c:pt idx="19">
                  <c:v>吉林</c:v>
                </c:pt>
                <c:pt idx="20">
                  <c:v>新疆</c:v>
                </c:pt>
                <c:pt idx="21">
                  <c:v>北京</c:v>
                </c:pt>
                <c:pt idx="22">
                  <c:v>辽宁</c:v>
                </c:pt>
                <c:pt idx="23">
                  <c:v>重庆</c:v>
                </c:pt>
                <c:pt idx="24">
                  <c:v>黑龙江</c:v>
                </c:pt>
                <c:pt idx="25">
                  <c:v>内蒙古</c:v>
                </c:pt>
                <c:pt idx="26">
                  <c:v>海南</c:v>
                </c:pt>
                <c:pt idx="27">
                  <c:v>西藏</c:v>
                </c:pt>
                <c:pt idx="28">
                  <c:v>云南</c:v>
                </c:pt>
                <c:pt idx="29">
                  <c:v>青海</c:v>
                </c:pt>
                <c:pt idx="30">
                  <c:v>宁夏</c:v>
                </c:pt>
              </c:strCache>
            </c:strRef>
          </c:cat>
          <c:val>
            <c:numRef>
              <c:f>'2-图形输出'!$I$59:$I$89</c:f>
              <c:numCache>
                <c:formatCode>0.00%</c:formatCode>
                <c:ptCount val="31"/>
                <c:pt idx="0">
                  <c:v>0.660990009082652</c:v>
                </c:pt>
                <c:pt idx="1">
                  <c:v>0.0272479564032698</c:v>
                </c:pt>
                <c:pt idx="2">
                  <c:v>0.0254314259763851</c:v>
                </c:pt>
                <c:pt idx="3">
                  <c:v>0.0245231607629428</c:v>
                </c:pt>
                <c:pt idx="4">
                  <c:v>0.0190735694822888</c:v>
                </c:pt>
                <c:pt idx="5">
                  <c:v>0.0183923705722071</c:v>
                </c:pt>
                <c:pt idx="6">
                  <c:v>0.0183923705722071</c:v>
                </c:pt>
                <c:pt idx="7">
                  <c:v>0.0179382379654859</c:v>
                </c:pt>
                <c:pt idx="8">
                  <c:v>0.0172570390554042</c:v>
                </c:pt>
                <c:pt idx="9">
                  <c:v>0.0170299727520436</c:v>
                </c:pt>
                <c:pt idx="10">
                  <c:v>0.0165758401453224</c:v>
                </c:pt>
                <c:pt idx="11">
                  <c:v>0.0149863760217984</c:v>
                </c:pt>
                <c:pt idx="12">
                  <c:v>0.0104450499545867</c:v>
                </c:pt>
                <c:pt idx="13">
                  <c:v>0.0104450499545867</c:v>
                </c:pt>
                <c:pt idx="14">
                  <c:v>0.0102179836512262</c:v>
                </c:pt>
                <c:pt idx="15">
                  <c:v>0.0102179836512262</c:v>
                </c:pt>
                <c:pt idx="16">
                  <c:v>0.009763851044505</c:v>
                </c:pt>
                <c:pt idx="17">
                  <c:v>0.00953678474114441</c:v>
                </c:pt>
                <c:pt idx="18">
                  <c:v>0.00817438692098093</c:v>
                </c:pt>
                <c:pt idx="19">
                  <c:v>0.00590372388737511</c:v>
                </c:pt>
                <c:pt idx="20">
                  <c:v>0.00590372388737511</c:v>
                </c:pt>
                <c:pt idx="21">
                  <c:v>0.00567665758401453</c:v>
                </c:pt>
                <c:pt idx="22">
                  <c:v>0.00567665758401453</c:v>
                </c:pt>
                <c:pt idx="23">
                  <c:v>0.00567665758401453</c:v>
                </c:pt>
                <c:pt idx="24">
                  <c:v>0.00476839237057221</c:v>
                </c:pt>
                <c:pt idx="25">
                  <c:v>0.00476839237057221</c:v>
                </c:pt>
                <c:pt idx="26">
                  <c:v>0.00454132606721163</c:v>
                </c:pt>
                <c:pt idx="27">
                  <c:v>0.0036330608537693</c:v>
                </c:pt>
                <c:pt idx="28">
                  <c:v>0.00249772933696639</c:v>
                </c:pt>
                <c:pt idx="29">
                  <c:v>0.00227066303360581</c:v>
                </c:pt>
                <c:pt idx="30">
                  <c:v>0.00204359673024523</c:v>
                </c:pt>
              </c:numCache>
            </c:numRef>
          </c:val>
        </c:ser>
        <c:ser>
          <c:idx val="1"/>
          <c:order val="1"/>
          <c:tx>
            <c:strRef>
              <c:f>'2-图形输出'!$J$58</c:f>
              <c:strCache>
                <c:ptCount val="1"/>
                <c:pt idx="0">
                  <c:v>辅助2</c:v>
                </c:pt>
              </c:strCache>
            </c:strRef>
          </c:tx>
          <c:spPr>
            <a:noFill/>
            <a:ln>
              <a:noFill/>
            </a:ln>
            <a:effectLst/>
          </c:spPr>
          <c:invertIfNegative val="0"/>
          <c:dLbls>
            <c:dLbl>
              <c:idx val="0"/>
              <c:layout/>
              <c:tx>
                <c:rich>
                  <a:bodyPr rot="0" spcFirstLastPara="1" vertOverflow="ellipsis" vert="horz" wrap="square" lIns="38100" tIns="19050" rIns="38100" bIns="19050" anchor="ctr" anchorCtr="1"/>
                  <a:lstStyle/>
                  <a:p>
                    <a:fld id="{0398fadb-9ff1-4af4-a016-61f24627141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22da7e04-301f-4482-aa55-00f62d6a6d3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66de510-49fe-48bd-b1fc-e32689b149c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ec9d8693-6960-43e5-b7fb-ec2d8ed733b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682ebd81-8190-42f3-9272-55e72ab75a7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14d29df8-394d-40ca-8384-fa290bca74a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1a94e6d2-628e-42c3-bec3-d326ba52b72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6ffd0ed9-224f-4340-b131-1aee6a39df9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83c89e47-f47c-4f5d-a58b-20f20f03f6d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58888b27-fe7f-4ebb-92e0-245c6b62ecf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102c974c-c899-43bc-8fd2-4a5763db2b9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fa74da09-0634-424c-9e0e-7a3ed14681b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f1cdd217-8968-4026-9ab1-1d23b2bf6b6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594c2bbf-1c9d-4510-bfdf-11562d7ea4e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1cfadb70-d530-4ec2-971b-93b914c7430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14b7d125-10ba-4227-9478-ec5f171ab9b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5e14118c-ba30-4437-bc9b-22ab1558915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7e329ca8-7de6-4595-a6e1-47badcca186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7cbcf88a-30e0-4b4f-9d06-bc3b26583d5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rot="0" spcFirstLastPara="1" vertOverflow="ellipsis" vert="horz" wrap="square" lIns="38100" tIns="19050" rIns="38100" bIns="19050" anchor="ctr" anchorCtr="1"/>
                  <a:lstStyle/>
                  <a:p>
                    <a:fld id="{9577d82c-8204-4f04-a4a0-b1ac85f43a9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rot="0" spcFirstLastPara="1" vertOverflow="ellipsis" vert="horz" wrap="square" lIns="38100" tIns="19050" rIns="38100" bIns="19050" anchor="ctr" anchorCtr="1"/>
                  <a:lstStyle/>
                  <a:p>
                    <a:fld id="{e9e15b2f-6f6c-4840-8cc9-4fc9915bf76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rot="0" spcFirstLastPara="1" vertOverflow="ellipsis" vert="horz" wrap="square" lIns="38100" tIns="19050" rIns="38100" bIns="19050" anchor="ctr" anchorCtr="1"/>
                  <a:lstStyle/>
                  <a:p>
                    <a:fld id="{97c62607-3f9d-4706-b153-9557bb5f674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rot="0" spcFirstLastPara="1" vertOverflow="ellipsis" vert="horz" wrap="square" lIns="38100" tIns="19050" rIns="38100" bIns="19050" anchor="ctr" anchorCtr="1"/>
                  <a:lstStyle/>
                  <a:p>
                    <a:fld id="{8c38e38e-48d2-4df8-98a0-d593a72a6ec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rot="0" spcFirstLastPara="1" vertOverflow="ellipsis" vert="horz" wrap="square" lIns="38100" tIns="19050" rIns="38100" bIns="19050" anchor="ctr" anchorCtr="1"/>
                  <a:lstStyle/>
                  <a:p>
                    <a:fld id="{c4599f68-866b-418f-a8e4-41a4b40a6ed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rot="0" spcFirstLastPara="1" vertOverflow="ellipsis" vert="horz" wrap="square" lIns="38100" tIns="19050" rIns="38100" bIns="19050" anchor="ctr" anchorCtr="1"/>
                  <a:lstStyle/>
                  <a:p>
                    <a:fld id="{f2363362-01d7-4491-94b0-8aaba5e87ac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rot="0" spcFirstLastPara="1" vertOverflow="ellipsis" vert="horz" wrap="square" lIns="38100" tIns="19050" rIns="38100" bIns="19050" anchor="ctr" anchorCtr="1"/>
                  <a:lstStyle/>
                  <a:p>
                    <a:fld id="{5d16348f-6ea4-4af4-b151-4172077f088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rot="0" spcFirstLastPara="1" vertOverflow="ellipsis" vert="horz" wrap="square" lIns="38100" tIns="19050" rIns="38100" bIns="19050" anchor="ctr" anchorCtr="1"/>
                  <a:lstStyle/>
                  <a:p>
                    <a:fld id="{1a6fb014-c092-4e9b-bc94-443beb873fb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rot="0" spcFirstLastPara="1" vertOverflow="ellipsis" vert="horz" wrap="square" lIns="38100" tIns="19050" rIns="38100" bIns="19050" anchor="ctr" anchorCtr="1"/>
                  <a:lstStyle/>
                  <a:p>
                    <a:fld id="{f336d3bf-3235-426c-aff7-03d11f67d49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rot="0" spcFirstLastPara="1" vertOverflow="ellipsis" vert="horz" wrap="square" lIns="38100" tIns="19050" rIns="38100" bIns="19050" anchor="ctr" anchorCtr="1"/>
                  <a:lstStyle/>
                  <a:p>
                    <a:fld id="{399bc133-28a6-4e67-9964-c72b6da7def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rot="0" spcFirstLastPara="1" vertOverflow="ellipsis" vert="horz" wrap="square" lIns="38100" tIns="19050" rIns="38100" bIns="19050" anchor="ctr" anchorCtr="1"/>
                  <a:lstStyle/>
                  <a:p>
                    <a:fld id="{887b62f0-976f-472a-9f47-4e033d89e67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rot="0" spcFirstLastPara="1" vertOverflow="ellipsis" vert="horz" wrap="square" lIns="38100" tIns="19050" rIns="38100" bIns="19050" anchor="ctr" anchorCtr="1"/>
                  <a:lstStyle/>
                  <a:p>
                    <a:fld id="{7de0e589-840d-44b2-bc17-3db9352dd32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'2-图形输出'!$G$59:$G$89</c:f>
              <c:strCache>
                <c:ptCount val="31"/>
                <c:pt idx="0">
                  <c:v>湖南</c:v>
                </c:pt>
                <c:pt idx="1">
                  <c:v>江西</c:v>
                </c:pt>
                <c:pt idx="2">
                  <c:v>河北</c:v>
                </c:pt>
                <c:pt idx="3">
                  <c:v>江苏</c:v>
                </c:pt>
                <c:pt idx="4">
                  <c:v>上海</c:v>
                </c:pt>
                <c:pt idx="5">
                  <c:v>广东</c:v>
                </c:pt>
                <c:pt idx="6">
                  <c:v>山西</c:v>
                </c:pt>
                <c:pt idx="7">
                  <c:v>山东</c:v>
                </c:pt>
                <c:pt idx="8">
                  <c:v>浙江</c:v>
                </c:pt>
                <c:pt idx="9">
                  <c:v>贵州</c:v>
                </c:pt>
                <c:pt idx="10">
                  <c:v>甘肃</c:v>
                </c:pt>
                <c:pt idx="11">
                  <c:v>福建</c:v>
                </c:pt>
                <c:pt idx="12">
                  <c:v>河南</c:v>
                </c:pt>
                <c:pt idx="13">
                  <c:v>天津</c:v>
                </c:pt>
                <c:pt idx="14">
                  <c:v>安徽</c:v>
                </c:pt>
                <c:pt idx="15">
                  <c:v>陕西</c:v>
                </c:pt>
                <c:pt idx="16">
                  <c:v>湖北</c:v>
                </c:pt>
                <c:pt idx="17">
                  <c:v>广西</c:v>
                </c:pt>
                <c:pt idx="18">
                  <c:v>四川</c:v>
                </c:pt>
                <c:pt idx="19">
                  <c:v>吉林</c:v>
                </c:pt>
                <c:pt idx="20">
                  <c:v>新疆</c:v>
                </c:pt>
                <c:pt idx="21">
                  <c:v>北京</c:v>
                </c:pt>
                <c:pt idx="22">
                  <c:v>辽宁</c:v>
                </c:pt>
                <c:pt idx="23">
                  <c:v>重庆</c:v>
                </c:pt>
                <c:pt idx="24">
                  <c:v>黑龙江</c:v>
                </c:pt>
                <c:pt idx="25">
                  <c:v>内蒙古</c:v>
                </c:pt>
                <c:pt idx="26">
                  <c:v>海南</c:v>
                </c:pt>
                <c:pt idx="27">
                  <c:v>西藏</c:v>
                </c:pt>
                <c:pt idx="28">
                  <c:v>云南</c:v>
                </c:pt>
                <c:pt idx="29">
                  <c:v>青海</c:v>
                </c:pt>
                <c:pt idx="30">
                  <c:v>宁夏</c:v>
                </c:pt>
              </c:strCache>
            </c:strRef>
          </c:cat>
          <c:val>
            <c:numRef>
              <c:f>'2-图形输出'!$J$59:$J$89</c:f>
              <c:numCache>
                <c:formatCode>0.00</c:formatCode>
                <c:ptCount val="31"/>
                <c:pt idx="0">
                  <c:v>0.13219800181653</c:v>
                </c:pt>
                <c:pt idx="1">
                  <c:v>0.765940054495913</c:v>
                </c:pt>
                <c:pt idx="2">
                  <c:v>0.767756584922797</c:v>
                </c:pt>
                <c:pt idx="3">
                  <c:v>0.76866485013624</c:v>
                </c:pt>
                <c:pt idx="4">
                  <c:v>0.774114441416894</c:v>
                </c:pt>
                <c:pt idx="5">
                  <c:v>0.774795640326975</c:v>
                </c:pt>
                <c:pt idx="6">
                  <c:v>0.774795640326975</c:v>
                </c:pt>
                <c:pt idx="7">
                  <c:v>0.775249772933697</c:v>
                </c:pt>
                <c:pt idx="8">
                  <c:v>0.775930971843778</c:v>
                </c:pt>
                <c:pt idx="9">
                  <c:v>0.776158038147139</c:v>
                </c:pt>
                <c:pt idx="10">
                  <c:v>0.77661217075386</c:v>
                </c:pt>
                <c:pt idx="11">
                  <c:v>0.778201634877384</c:v>
                </c:pt>
                <c:pt idx="12">
                  <c:v>0.782742960944596</c:v>
                </c:pt>
                <c:pt idx="13">
                  <c:v>0.782742960944596</c:v>
                </c:pt>
                <c:pt idx="14">
                  <c:v>0.782970027247956</c:v>
                </c:pt>
                <c:pt idx="15">
                  <c:v>0.782970027247956</c:v>
                </c:pt>
                <c:pt idx="16">
                  <c:v>0.783424159854678</c:v>
                </c:pt>
                <c:pt idx="17">
                  <c:v>0.783651226158038</c:v>
                </c:pt>
                <c:pt idx="18">
                  <c:v>0.785013623978202</c:v>
                </c:pt>
                <c:pt idx="19">
                  <c:v>0.787284287011807</c:v>
                </c:pt>
                <c:pt idx="20">
                  <c:v>0.787284287011807</c:v>
                </c:pt>
                <c:pt idx="21">
                  <c:v>0.787511353315168</c:v>
                </c:pt>
                <c:pt idx="22">
                  <c:v>0.787511353315168</c:v>
                </c:pt>
                <c:pt idx="23">
                  <c:v>0.787511353315168</c:v>
                </c:pt>
                <c:pt idx="24">
                  <c:v>0.78841961852861</c:v>
                </c:pt>
                <c:pt idx="25">
                  <c:v>0.78841961852861</c:v>
                </c:pt>
                <c:pt idx="26">
                  <c:v>0.788646684831971</c:v>
                </c:pt>
                <c:pt idx="27">
                  <c:v>0.789554950045413</c:v>
                </c:pt>
                <c:pt idx="28">
                  <c:v>0.790690281562216</c:v>
                </c:pt>
                <c:pt idx="29">
                  <c:v>0.790917347865577</c:v>
                </c:pt>
                <c:pt idx="30">
                  <c:v>0.791144414168937</c:v>
                </c:pt>
              </c:numCache>
            </c:numRef>
          </c:val>
          <c:extLst>
            <c:ext xmlns:c15="http://schemas.microsoft.com/office/drawing/2012/chart" uri="{02D57815-91ED-43cb-92C2-25804820EDAC}">
              <c15:datalabelsRange>
                <c15:f>'2-图形输出'!$K$59:$K$92</c15:f>
                <c15:dlblRangeCache>
                  <c:ptCount val="34"/>
                  <c:pt idx="0">
                    <c:v>2911人  66.10%</c:v>
                  </c:pt>
                  <c:pt idx="1">
                    <c:v>120人  2.72%</c:v>
                  </c:pt>
                  <c:pt idx="2">
                    <c:v>112人  2.54%</c:v>
                  </c:pt>
                  <c:pt idx="3">
                    <c:v>108人  2.45%</c:v>
                  </c:pt>
                  <c:pt idx="4">
                    <c:v>84人  1.91%</c:v>
                  </c:pt>
                  <c:pt idx="5">
                    <c:v>81人  1.84%</c:v>
                  </c:pt>
                  <c:pt idx="6">
                    <c:v>81人  1.84%</c:v>
                  </c:pt>
                  <c:pt idx="7">
                    <c:v>79人  1.79%</c:v>
                  </c:pt>
                  <c:pt idx="8">
                    <c:v>76人  1.73%</c:v>
                  </c:pt>
                  <c:pt idx="9">
                    <c:v>75人  1.70%</c:v>
                  </c:pt>
                  <c:pt idx="10">
                    <c:v>73人  1.66%</c:v>
                  </c:pt>
                  <c:pt idx="11">
                    <c:v>66人  1.50%</c:v>
                  </c:pt>
                  <c:pt idx="12">
                    <c:v>46人  1.04%</c:v>
                  </c:pt>
                  <c:pt idx="13">
                    <c:v>46人  1.04%</c:v>
                  </c:pt>
                  <c:pt idx="14">
                    <c:v>45人  1.02%</c:v>
                  </c:pt>
                  <c:pt idx="15">
                    <c:v>45人  1.02%</c:v>
                  </c:pt>
                  <c:pt idx="16">
                    <c:v>43人  0.98%</c:v>
                  </c:pt>
                  <c:pt idx="17">
                    <c:v>42人  0.95%</c:v>
                  </c:pt>
                  <c:pt idx="18">
                    <c:v>36人  0.82%</c:v>
                  </c:pt>
                  <c:pt idx="19">
                    <c:v>26人  0.59%</c:v>
                  </c:pt>
                  <c:pt idx="20">
                    <c:v>26人  0.59%</c:v>
                  </c:pt>
                  <c:pt idx="21">
                    <c:v>25人  0.57%</c:v>
                  </c:pt>
                  <c:pt idx="22">
                    <c:v>25人  0.57%</c:v>
                  </c:pt>
                  <c:pt idx="23">
                    <c:v>25人  0.57%</c:v>
                  </c:pt>
                  <c:pt idx="24">
                    <c:v>21人  0.48%</c:v>
                  </c:pt>
                  <c:pt idx="25">
                    <c:v>21人  0.48%</c:v>
                  </c:pt>
                  <c:pt idx="26">
                    <c:v>20人  0.45%</c:v>
                  </c:pt>
                  <c:pt idx="27">
                    <c:v>16人  0.36%</c:v>
                  </c:pt>
                  <c:pt idx="28">
                    <c:v>11人  0.25%</c:v>
                  </c:pt>
                  <c:pt idx="29">
                    <c:v>10人  0.23%</c:v>
                  </c:pt>
                  <c:pt idx="30">
                    <c:v>9人  0.20%</c:v>
                  </c:pt>
                  <c:pt idx="31">
                    <c:v>0人  0.00%</c:v>
                  </c:pt>
                  <c:pt idx="32">
                    <c:v>0人  0.00%</c:v>
                  </c:pt>
                  <c:pt idx="33">
                    <c:v>0人  0.00%</c:v>
                  </c:pt>
                </c15:dlblRangeCache>
              </c15:datalabelsRange>
            </c:ext>
          </c:extLst>
        </c:ser>
        <c:dLbls>
          <c:showLegendKey val="0"/>
          <c:showVal val="0"/>
          <c:showCatName val="0"/>
          <c:showSerName val="0"/>
          <c:showPercent val="0"/>
          <c:showBubbleSize val="0"/>
        </c:dLbls>
        <c:gapWidth val="150"/>
        <c:overlap val="100"/>
        <c:axId val="1415907880"/>
        <c:axId val="1415901320"/>
      </c:barChart>
      <c:catAx>
        <c:axId val="1415907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5901320"/>
        <c:crosses val="autoZero"/>
        <c:auto val="1"/>
        <c:lblAlgn val="ctr"/>
        <c:lblOffset val="100"/>
        <c:noMultiLvlLbl val="0"/>
      </c:catAx>
      <c:valAx>
        <c:axId val="141590132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5907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6452991452991"/>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750641025641025"/>
                  <c:y val="-0.13441581196581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19229906302418"/>
                  <c:y val="-0.01851857391638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22432931975769"/>
                  <c:y val="0.02410282161134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46388888888889"/>
                  <c:y val="-0.078860256410256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905128205128206"/>
                  <c:y val="-0.15373205128205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'2图输出'!$F$421:$F$425</c:f>
              <c:strCache>
                <c:ptCount val="5"/>
                <c:pt idx="0">
                  <c:v>非常满意</c:v>
                </c:pt>
                <c:pt idx="1">
                  <c:v>比较满意</c:v>
                </c:pt>
                <c:pt idx="2">
                  <c:v>一般</c:v>
                </c:pt>
                <c:pt idx="3">
                  <c:v>不太满意</c:v>
                </c:pt>
                <c:pt idx="4">
                  <c:v>很不满意</c:v>
                </c:pt>
              </c:strCache>
            </c:strRef>
          </c:cat>
          <c:val>
            <c:numRef>
              <c:f>'2图输出'!$H$421:$H$425</c:f>
              <c:numCache>
                <c:formatCode>0.00%</c:formatCode>
                <c:ptCount val="5"/>
                <c:pt idx="0">
                  <c:v>0.0485</c:v>
                </c:pt>
                <c:pt idx="1">
                  <c:v>0.3191</c:v>
                </c:pt>
                <c:pt idx="2">
                  <c:v>0.5138</c:v>
                </c:pt>
                <c:pt idx="3">
                  <c:v>0.0961</c:v>
                </c:pt>
                <c:pt idx="4">
                  <c:v>0.0225</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6017948717949"/>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850747863247863"/>
                  <c:y val="-0.13234145299145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397435897436"/>
                      <c:h val="0.153846153846154"/>
                    </c:manualLayout>
                  </c15:layout>
                </c:ext>
              </c:extLst>
            </c:dLbl>
            <c:dLbl>
              <c:idx val="1"/>
              <c:layout>
                <c:manualLayout>
                  <c:x val="0.104615384615385"/>
                  <c:y val="-0.010375854700854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dLbl>
              <c:idx val="2"/>
              <c:layout>
                <c:manualLayout>
                  <c:x val="-0.0895942307692308"/>
                  <c:y val="0.025222649572649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5384615384615"/>
                      <c:h val="0.153846153846154"/>
                    </c:manualLayout>
                  </c15:layout>
                </c:ext>
              </c:extLst>
            </c:dLbl>
            <c:dLbl>
              <c:idx val="3"/>
              <c:layout>
                <c:manualLayout>
                  <c:x val="-0.0663034188034188"/>
                  <c:y val="-0.12930726495726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dLbl>
              <c:idx val="4"/>
              <c:layout>
                <c:manualLayout>
                  <c:x val="0.00972222222222222"/>
                  <c:y val="-0.14862371794871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8461538461538"/>
                      <c:h val="0.153846153846154"/>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'2图输出'!$F$433:$F$437</c:f>
              <c:strCache>
                <c:ptCount val="5"/>
                <c:pt idx="0">
                  <c:v>非常满意</c:v>
                </c:pt>
                <c:pt idx="1">
                  <c:v>比较满意</c:v>
                </c:pt>
                <c:pt idx="2">
                  <c:v>一般</c:v>
                </c:pt>
                <c:pt idx="3">
                  <c:v>不太满意</c:v>
                </c:pt>
                <c:pt idx="4">
                  <c:v>很不满意</c:v>
                </c:pt>
              </c:strCache>
            </c:strRef>
          </c:cat>
          <c:val>
            <c:numRef>
              <c:f>'2图输出'!$H$433:$H$437</c:f>
              <c:numCache>
                <c:formatCode>0.00%</c:formatCode>
                <c:ptCount val="5"/>
                <c:pt idx="0">
                  <c:v>0.0918</c:v>
                </c:pt>
                <c:pt idx="1">
                  <c:v>0.379</c:v>
                </c:pt>
                <c:pt idx="2">
                  <c:v>0.4332</c:v>
                </c:pt>
                <c:pt idx="3">
                  <c:v>0.0785</c:v>
                </c:pt>
                <c:pt idx="4">
                  <c:v>0.0175</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9807692307692"/>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06452991452991"/>
                  <c:y val="-0.10136752136752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41880341880342"/>
                  <c:y val="0.083176495726495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482905982906"/>
                      <c:h val="0.152888461538462"/>
                    </c:manualLayout>
                  </c15:layout>
                </c:ext>
              </c:extLst>
            </c:dLbl>
            <c:dLbl>
              <c:idx val="2"/>
              <c:layout>
                <c:manualLayout>
                  <c:x val="-0.0854595085470086"/>
                  <c:y val="-0.020114102564102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0839764957265"/>
                      <c:h val="0.163743162393162"/>
                    </c:manualLayout>
                  </c15:layout>
                </c:ext>
              </c:extLst>
            </c:dLbl>
            <c:dLbl>
              <c:idx val="3"/>
              <c:layout>
                <c:manualLayout>
                  <c:x val="-0.0555555555555556"/>
                  <c:y val="-0.13888888888888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339740809196679"/>
                  <c:y val="-0.15401532067650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'2图输出'!$F$348:$F$352</c:f>
              <c:strCache>
                <c:ptCount val="5"/>
                <c:pt idx="0">
                  <c:v>非常稳定</c:v>
                </c:pt>
                <c:pt idx="1">
                  <c:v>比较稳定</c:v>
                </c:pt>
                <c:pt idx="2">
                  <c:v>一般</c:v>
                </c:pt>
                <c:pt idx="3">
                  <c:v>不太稳定</c:v>
                </c:pt>
                <c:pt idx="4">
                  <c:v>很不稳定</c:v>
                </c:pt>
              </c:strCache>
            </c:strRef>
          </c:cat>
          <c:val>
            <c:numRef>
              <c:f>'2图输出'!$H$348:$H$352</c:f>
              <c:numCache>
                <c:formatCode>0.00%</c:formatCode>
                <c:ptCount val="5"/>
                <c:pt idx="0">
                  <c:v>0.1444</c:v>
                </c:pt>
                <c:pt idx="1">
                  <c:v>0.5117</c:v>
                </c:pt>
                <c:pt idx="2">
                  <c:v>0.2738</c:v>
                </c:pt>
                <c:pt idx="3">
                  <c:v>0.0643</c:v>
                </c:pt>
                <c:pt idx="4">
                  <c:v>0.0058</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3145814159594"/>
          <c:y val="0.435549264207143"/>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866160906023111"/>
                  <c:y val="-0.12962969516450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6352813852814"/>
                  <c:y val="0.024968789013732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59632034632035"/>
                      <c:h val="0.190611735330836"/>
                    </c:manualLayout>
                  </c15:layout>
                </c:ext>
              </c:extLst>
            </c:dLbl>
            <c:dLbl>
              <c:idx val="2"/>
              <c:layout>
                <c:manualLayout>
                  <c:x val="-0.113600359614139"/>
                  <c:y val="0.042446941323345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54071863176194"/>
                      <c:h val="0.165642946317104"/>
                    </c:manualLayout>
                  </c15:layout>
                </c:ext>
              </c:extLst>
            </c:dLbl>
            <c:dLbl>
              <c:idx val="3"/>
              <c:layout>
                <c:manualLayout>
                  <c:x val="-0.0862554112554113"/>
                  <c:y val="-0.13425934117785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0555555555555556"/>
                  <c:y val="-0.13888888888888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'2图输出'!$F$409:$F$413</c:f>
              <c:strCache>
                <c:ptCount val="5"/>
                <c:pt idx="0">
                  <c:v>非常满意</c:v>
                </c:pt>
                <c:pt idx="1">
                  <c:v>比较满意</c:v>
                </c:pt>
                <c:pt idx="2">
                  <c:v>一般</c:v>
                </c:pt>
                <c:pt idx="3">
                  <c:v>不太满意</c:v>
                </c:pt>
                <c:pt idx="4">
                  <c:v>很不满意</c:v>
                </c:pt>
              </c:strCache>
            </c:strRef>
          </c:cat>
          <c:val>
            <c:numRef>
              <c:f>'2图输出'!$H$409:$H$413</c:f>
              <c:numCache>
                <c:formatCode>0.00%</c:formatCode>
                <c:ptCount val="5"/>
                <c:pt idx="0">
                  <c:v>0.1077</c:v>
                </c:pt>
                <c:pt idx="1">
                  <c:v>0.4683</c:v>
                </c:pt>
                <c:pt idx="2">
                  <c:v>0.3464</c:v>
                </c:pt>
                <c:pt idx="3">
                  <c:v>0.0668</c:v>
                </c:pt>
                <c:pt idx="4">
                  <c:v>0.0108000000000001</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1666666666667"/>
          <c:y val="0.430555555555556"/>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Pt>
            <c:idx val="5"/>
            <c:bubble3D val="0"/>
            <c:spPr>
              <a:solidFill>
                <a:srgbClr val="E9EBF5"/>
              </a:solidFill>
              <a:ln w="19050">
                <a:solidFill>
                  <a:schemeClr val="lt1"/>
                </a:solidFill>
              </a:ln>
              <a:effectLst/>
            </c:spPr>
          </c:dPt>
          <c:dLbls>
            <c:dLbl>
              <c:idx val="0"/>
              <c:layout>
                <c:manualLayout>
                  <c:x val="0.0797863247863248"/>
                  <c:y val="-0.15676623931623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41666666666667"/>
                  <c:y val="-0.11111111111111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70941239316239"/>
                  <c:y val="-0.019793589743589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2820726495726"/>
                      <c:h val="0.158315811965812"/>
                    </c:manualLayout>
                  </c15:layout>
                </c:ext>
              </c:extLst>
            </c:dLbl>
            <c:dLbl>
              <c:idx val="3"/>
              <c:layout>
                <c:manualLayout>
                  <c:x val="-0.10536334271688"/>
                  <c:y val="-0.0091023299727524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49252235600808"/>
                      <c:h val="0.174598019209607"/>
                    </c:manualLayout>
                  </c15:layout>
                </c:ext>
              </c:extLst>
            </c:dLbl>
            <c:dLbl>
              <c:idx val="4"/>
              <c:layout>
                <c:manualLayout>
                  <c:x val="-0.153888888888889"/>
                  <c:y val="-0.064658119658119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899358974358974"/>
                  <c:y val="-0.1551709401709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'2图输出'!$F$372:$F$377</c:f>
              <c:strCache>
                <c:ptCount val="6"/>
                <c:pt idx="0">
                  <c:v>非常小</c:v>
                </c:pt>
                <c:pt idx="1">
                  <c:v>比较小</c:v>
                </c:pt>
                <c:pt idx="2">
                  <c:v>一般</c:v>
                </c:pt>
                <c:pt idx="3">
                  <c:v>比较大</c:v>
                </c:pt>
                <c:pt idx="4">
                  <c:v>非常大</c:v>
                </c:pt>
                <c:pt idx="5">
                  <c:v>不了解</c:v>
                </c:pt>
              </c:strCache>
            </c:strRef>
          </c:cat>
          <c:val>
            <c:numRef>
              <c:f>'2图输出'!$H$372:$H$377</c:f>
              <c:numCache>
                <c:formatCode>0.00%</c:formatCode>
                <c:ptCount val="6"/>
                <c:pt idx="0">
                  <c:v>0.0142</c:v>
                </c:pt>
                <c:pt idx="1">
                  <c:v>0.0501</c:v>
                </c:pt>
                <c:pt idx="2">
                  <c:v>0.4725</c:v>
                </c:pt>
                <c:pt idx="3">
                  <c:v>0.3756</c:v>
                </c:pt>
                <c:pt idx="4">
                  <c:v>0.0735</c:v>
                </c:pt>
                <c:pt idx="5">
                  <c:v>0.0141</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114630622312"/>
          <c:y val="0.18509658202837"/>
          <c:w val="0.358628715791634"/>
          <c:h val="0.659769382759739"/>
        </c:manualLayout>
      </c:layout>
      <c:doughnutChart>
        <c:varyColors val="1"/>
        <c:ser>
          <c:idx val="1"/>
          <c:order val="1"/>
          <c:tx>
            <c:strRef>
              <c:f>'2图输出'!$N$347</c:f>
              <c:strCache>
                <c:ptCount val="1"/>
                <c:pt idx="0">
                  <c:v>辅助1</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'2图输出'!$N$348:$N$356</c:f>
              <c:numCache>
                <c:formatCode>General</c:formatCode>
                <c:ptCount val="9"/>
                <c:pt idx="0">
                  <c:v>1</c:v>
                </c:pt>
                <c:pt idx="1">
                  <c:v>1</c:v>
                </c:pt>
                <c:pt idx="2">
                  <c:v>1</c:v>
                </c:pt>
                <c:pt idx="3">
                  <c:v>1</c:v>
                </c:pt>
                <c:pt idx="4">
                  <c:v>1</c:v>
                </c:pt>
                <c:pt idx="5">
                  <c:v>1</c:v>
                </c:pt>
                <c:pt idx="6">
                  <c:v>1</c:v>
                </c:pt>
                <c:pt idx="7">
                  <c:v>1</c:v>
                </c:pt>
                <c:pt idx="8">
                  <c:v>1</c:v>
                </c:pt>
              </c:numCache>
            </c:numRef>
          </c:val>
        </c:ser>
        <c:ser>
          <c:idx val="2"/>
          <c:order val="2"/>
          <c:tx>
            <c:strRef>
              <c:f>'2图输出'!$O$347</c:f>
              <c:strCache>
                <c:ptCount val="1"/>
                <c:pt idx="0">
                  <c:v>辅助2</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'2图输出'!$O$348:$O$356</c:f>
              <c:numCache>
                <c:formatCode>General</c:formatCode>
                <c:ptCount val="9"/>
                <c:pt idx="0">
                  <c:v>1</c:v>
                </c:pt>
                <c:pt idx="1">
                  <c:v>1</c:v>
                </c:pt>
                <c:pt idx="2">
                  <c:v>1</c:v>
                </c:pt>
                <c:pt idx="3">
                  <c:v>1</c:v>
                </c:pt>
                <c:pt idx="4">
                  <c:v>1</c:v>
                </c:pt>
                <c:pt idx="5">
                  <c:v>1</c:v>
                </c:pt>
                <c:pt idx="6">
                  <c:v>1</c:v>
                </c:pt>
                <c:pt idx="7">
                  <c:v>1</c:v>
                </c:pt>
                <c:pt idx="8">
                  <c:v>1</c:v>
                </c:pt>
              </c:numCache>
            </c:numRef>
          </c:val>
        </c:ser>
        <c:ser>
          <c:idx val="3"/>
          <c:order val="3"/>
          <c:tx>
            <c:strRef>
              <c:f>'2图输出'!$P$347</c:f>
              <c:strCache>
                <c:ptCount val="1"/>
                <c:pt idx="0">
                  <c:v>辅助3</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'2图输出'!$P$348:$P$356</c:f>
              <c:numCache>
                <c:formatCode>General</c:formatCode>
                <c:ptCount val="9"/>
                <c:pt idx="0">
                  <c:v>1</c:v>
                </c:pt>
                <c:pt idx="1">
                  <c:v>1</c:v>
                </c:pt>
                <c:pt idx="2">
                  <c:v>1</c:v>
                </c:pt>
                <c:pt idx="3">
                  <c:v>1</c:v>
                </c:pt>
                <c:pt idx="4">
                  <c:v>1</c:v>
                </c:pt>
                <c:pt idx="5">
                  <c:v>1</c:v>
                </c:pt>
                <c:pt idx="6">
                  <c:v>1</c:v>
                </c:pt>
                <c:pt idx="7">
                  <c:v>1</c:v>
                </c:pt>
                <c:pt idx="8">
                  <c:v>1</c:v>
                </c:pt>
              </c:numCache>
            </c:numRef>
          </c:val>
        </c:ser>
        <c:ser>
          <c:idx val="4"/>
          <c:order val="4"/>
          <c:tx>
            <c:strRef>
              <c:f>'2图输出'!$Q$347</c:f>
              <c:strCache>
                <c:ptCount val="1"/>
                <c:pt idx="0">
                  <c:v>辅助4</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'2图输出'!$Q$348:$Q$356</c:f>
              <c:numCache>
                <c:formatCode>General</c:formatCode>
                <c:ptCount val="9"/>
                <c:pt idx="0">
                  <c:v>1</c:v>
                </c:pt>
                <c:pt idx="1">
                  <c:v>1</c:v>
                </c:pt>
                <c:pt idx="2">
                  <c:v>1</c:v>
                </c:pt>
                <c:pt idx="3">
                  <c:v>1</c:v>
                </c:pt>
                <c:pt idx="4">
                  <c:v>1</c:v>
                </c:pt>
                <c:pt idx="5">
                  <c:v>1</c:v>
                </c:pt>
                <c:pt idx="6">
                  <c:v>1</c:v>
                </c:pt>
                <c:pt idx="7">
                  <c:v>1</c:v>
                </c:pt>
                <c:pt idx="8">
                  <c:v>1</c:v>
                </c:pt>
              </c:numCache>
            </c:numRef>
          </c:val>
        </c:ser>
        <c:ser>
          <c:idx val="5"/>
          <c:order val="5"/>
          <c:tx>
            <c:strRef>
              <c:f>'2图输出'!$R$347</c:f>
              <c:strCache>
                <c:ptCount val="1"/>
                <c:pt idx="0">
                  <c:v>辅助5</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'2图输出'!$R$348:$R$356</c:f>
              <c:numCache>
                <c:formatCode>General</c:formatCode>
                <c:ptCount val="9"/>
                <c:pt idx="0">
                  <c:v>1</c:v>
                </c:pt>
                <c:pt idx="1">
                  <c:v>1</c:v>
                </c:pt>
                <c:pt idx="2">
                  <c:v>1</c:v>
                </c:pt>
                <c:pt idx="3">
                  <c:v>1</c:v>
                </c:pt>
                <c:pt idx="4">
                  <c:v>1</c:v>
                </c:pt>
                <c:pt idx="5">
                  <c:v>1</c:v>
                </c:pt>
                <c:pt idx="6">
                  <c:v>1</c:v>
                </c:pt>
                <c:pt idx="7">
                  <c:v>1</c:v>
                </c:pt>
                <c:pt idx="8">
                  <c:v>1</c:v>
                </c:pt>
              </c:numCache>
            </c:numRef>
          </c:val>
        </c:ser>
        <c:dLbls>
          <c:showLegendKey val="0"/>
          <c:showVal val="0"/>
          <c:showCatName val="0"/>
          <c:showSerName val="0"/>
          <c:showPercent val="0"/>
          <c:showBubbleSize val="0"/>
          <c:showLeaderLines val="1"/>
        </c:dLbls>
        <c:firstSliceAng val="0"/>
        <c:holeSize val="0"/>
      </c:doughnutChart>
      <c:radarChart>
        <c:radarStyle val="marker"/>
        <c:varyColors val="0"/>
        <c:ser>
          <c:idx val="0"/>
          <c:order val="0"/>
          <c:tx>
            <c:strRef>
              <c:f>'2图输出'!$M$347</c:f>
              <c:strCache>
                <c:ptCount val="1"/>
                <c:pt idx="0">
                  <c:v>数值</c:v>
                </c:pt>
              </c:strCache>
            </c:strRef>
          </c:tx>
          <c:spPr>
            <a:ln w="22225" cap="rnd">
              <a:solidFill>
                <a:srgbClr val="0360A3"/>
              </a:solidFill>
              <a:prstDash val="sysDash"/>
              <a:round/>
            </a:ln>
            <a:effectLst/>
          </c:spPr>
          <c:marker>
            <c:symbol val="circle"/>
            <c:size val="5"/>
            <c:spPr>
              <a:solidFill>
                <a:schemeClr val="accent1"/>
              </a:solidFill>
              <a:ln w="9525">
                <a:noFill/>
              </a:ln>
              <a:effectLst/>
            </c:spPr>
          </c:marker>
          <c:dPt>
            <c:idx val="0"/>
            <c:marker>
              <c:symbol val="circle"/>
              <c:size val="5"/>
              <c:spPr>
                <a:solidFill>
                  <a:schemeClr val="accent1"/>
                </a:solidFill>
                <a:ln w="9525">
                  <a:noFill/>
                </a:ln>
                <a:effectLst/>
              </c:spPr>
            </c:marker>
            <c:bubble3D val="0"/>
          </c:dPt>
          <c:dPt>
            <c:idx val="1"/>
            <c:marker>
              <c:symbol val="circle"/>
              <c:size val="5"/>
              <c:spPr>
                <a:solidFill>
                  <a:schemeClr val="accent1"/>
                </a:solidFill>
                <a:ln w="9525">
                  <a:noFill/>
                </a:ln>
                <a:effectLst/>
              </c:spPr>
            </c:marker>
            <c:bubble3D val="0"/>
          </c:dPt>
          <c:dPt>
            <c:idx val="2"/>
            <c:marker>
              <c:symbol val="circle"/>
              <c:size val="5"/>
              <c:spPr>
                <a:solidFill>
                  <a:schemeClr val="accent1"/>
                </a:solidFill>
                <a:ln w="9525">
                  <a:noFill/>
                </a:ln>
                <a:effectLst/>
              </c:spPr>
            </c:marker>
            <c:bubble3D val="0"/>
          </c:dPt>
          <c:dPt>
            <c:idx val="3"/>
            <c:marker>
              <c:symbol val="circle"/>
              <c:size val="5"/>
              <c:spPr>
                <a:solidFill>
                  <a:schemeClr val="accent1"/>
                </a:solidFill>
                <a:ln w="9525">
                  <a:noFill/>
                </a:ln>
                <a:effectLst/>
              </c:spPr>
            </c:marker>
            <c:bubble3D val="0"/>
          </c:dPt>
          <c:dPt>
            <c:idx val="4"/>
            <c:marker>
              <c:symbol val="circle"/>
              <c:size val="5"/>
              <c:spPr>
                <a:solidFill>
                  <a:schemeClr val="accent1"/>
                </a:solidFill>
                <a:ln w="9525">
                  <a:noFill/>
                </a:ln>
                <a:effectLst/>
              </c:spPr>
            </c:marker>
            <c:bubble3D val="0"/>
          </c:dPt>
          <c:dPt>
            <c:idx val="5"/>
            <c:marker>
              <c:symbol val="circle"/>
              <c:size val="5"/>
              <c:spPr>
                <a:solidFill>
                  <a:schemeClr val="accent1"/>
                </a:solidFill>
                <a:ln w="9525">
                  <a:noFill/>
                </a:ln>
                <a:effectLst/>
              </c:spPr>
            </c:marker>
            <c:bubble3D val="0"/>
          </c:dPt>
          <c:dPt>
            <c:idx val="6"/>
            <c:marker>
              <c:symbol val="circle"/>
              <c:size val="5"/>
              <c:spPr>
                <a:solidFill>
                  <a:schemeClr val="accent1"/>
                </a:solidFill>
                <a:ln w="9525">
                  <a:noFill/>
                </a:ln>
                <a:effectLst/>
              </c:spPr>
            </c:marker>
            <c:bubble3D val="0"/>
          </c:dPt>
          <c:dPt>
            <c:idx val="7"/>
            <c:marker>
              <c:symbol val="circle"/>
              <c:size val="5"/>
              <c:spPr>
                <a:solidFill>
                  <a:schemeClr val="accent1"/>
                </a:solidFill>
                <a:ln w="9525">
                  <a:noFill/>
                </a:ln>
                <a:effectLst/>
              </c:spPr>
            </c:marker>
            <c:bubble3D val="0"/>
          </c:dPt>
          <c:dPt>
            <c:idx val="8"/>
            <c:marker>
              <c:symbol val="circle"/>
              <c:size val="5"/>
              <c:spPr>
                <a:solidFill>
                  <a:schemeClr val="accent1"/>
                </a:solidFill>
                <a:ln w="9525">
                  <a:noFill/>
                </a:ln>
                <a:effectLst/>
              </c:spPr>
            </c:marker>
            <c:bubble3D val="0"/>
          </c:dPt>
          <c:dLbls>
            <c:delete val="1"/>
          </c:dLbls>
          <c:cat>
            <c:strRef>
              <c:f>'2图输出'!$L$348:$L$356</c:f>
              <c:strCache>
                <c:ptCount val="9"/>
                <c:pt idx="0">
                  <c:v>综合满意度94.82%</c:v>
                </c:pt>
                <c:pt idx="1">
                  <c:v>工作稳定性92.99%</c:v>
                </c:pt>
                <c:pt idx="2">
                  <c:v>岗位轻松度53.68%</c:v>
                </c:pt>
                <c:pt idx="3">
                  <c:v>企业知名度94.57%</c:v>
                </c:pt>
                <c:pt idx="4">
                  <c:v>工作自主性92.07%</c:v>
                </c:pt>
                <c:pt idx="5">
                  <c:v>工作环境满意度92.24%</c:v>
                </c:pt>
                <c:pt idx="6">
                  <c:v>晋升空间满意度88.14%</c:v>
                </c:pt>
                <c:pt idx="7">
                  <c:v>培训满意度90.40%</c:v>
                </c:pt>
                <c:pt idx="8">
                  <c:v>企业文化满意度92.90%</c:v>
                </c:pt>
              </c:strCache>
            </c:strRef>
          </c:cat>
          <c:val>
            <c:numRef>
              <c:f>'2图输出'!$M$348:$M$356</c:f>
              <c:numCache>
                <c:formatCode>0.00%</c:formatCode>
                <c:ptCount val="9"/>
                <c:pt idx="0">
                  <c:v>0.9482</c:v>
                </c:pt>
                <c:pt idx="1">
                  <c:v>0.9299</c:v>
                </c:pt>
                <c:pt idx="2">
                  <c:v>0.5368</c:v>
                </c:pt>
                <c:pt idx="3">
                  <c:v>0.945742904841402</c:v>
                </c:pt>
                <c:pt idx="4">
                  <c:v>0.920701168614357</c:v>
                </c:pt>
                <c:pt idx="5">
                  <c:v>0.9224</c:v>
                </c:pt>
                <c:pt idx="6">
                  <c:v>0.8814</c:v>
                </c:pt>
                <c:pt idx="7">
                  <c:v>0.904</c:v>
                </c:pt>
                <c:pt idx="8">
                  <c:v>0.929048414023372</c:v>
                </c:pt>
              </c:numCache>
            </c:numRef>
          </c:val>
        </c:ser>
        <c:dLbls>
          <c:showLegendKey val="0"/>
          <c:showVal val="0"/>
          <c:showCatName val="0"/>
          <c:showSerName val="0"/>
          <c:showPercent val="0"/>
          <c:showBubbleSize val="0"/>
        </c:dLbls>
        <c:axId val="1375106488"/>
        <c:axId val="1375103864"/>
      </c:radarChart>
      <c:catAx>
        <c:axId val="1375106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03864"/>
        <c:crosses val="autoZero"/>
        <c:auto val="1"/>
        <c:lblAlgn val="ctr"/>
        <c:lblOffset val="100"/>
        <c:noMultiLvlLbl val="0"/>
      </c:catAx>
      <c:valAx>
        <c:axId val="13751038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06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'2图输出'!$E$466:$E$469</c:f>
              <c:strCache>
                <c:ptCount val="4"/>
                <c:pt idx="0">
                  <c:v>无</c:v>
                </c:pt>
                <c:pt idx="1">
                  <c:v>1次</c:v>
                </c:pt>
                <c:pt idx="2">
                  <c:v>2次</c:v>
                </c:pt>
                <c:pt idx="3">
                  <c:v>3次及以上</c:v>
                </c:pt>
              </c:strCache>
            </c:strRef>
          </c:cat>
          <c:val>
            <c:numRef>
              <c:f>'2图输出'!$H$466:$H$469</c:f>
              <c:numCache>
                <c:formatCode>0.00%</c:formatCode>
                <c:ptCount val="4"/>
                <c:pt idx="0">
                  <c:v>0.8172</c:v>
                </c:pt>
                <c:pt idx="1">
                  <c:v>0.126</c:v>
                </c:pt>
                <c:pt idx="2">
                  <c:v>0.0401</c:v>
                </c:pt>
                <c:pt idx="3">
                  <c:v>0.0166999999999999</c:v>
                </c:pt>
              </c:numCache>
            </c:numRef>
          </c:val>
        </c:ser>
        <c:dLbls>
          <c:showLegendKey val="0"/>
          <c:showVal val="1"/>
          <c:showCatName val="0"/>
          <c:showSerName val="0"/>
          <c:showPercent val="0"/>
          <c:showBubbleSize val="0"/>
        </c:dLbls>
        <c:gapWidth val="150"/>
        <c:overlap val="-27"/>
        <c:axId val="1588737792"/>
        <c:axId val="1588731888"/>
      </c:barChart>
      <c:catAx>
        <c:axId val="158873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31888"/>
        <c:crosses val="autoZero"/>
        <c:auto val="1"/>
        <c:lblAlgn val="ctr"/>
        <c:lblOffset val="100"/>
        <c:noMultiLvlLbl val="0"/>
      </c:catAx>
      <c:valAx>
        <c:axId val="1588731888"/>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3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Lbls>
            <c:delete val="1"/>
          </c:dLbls>
          <c:cat>
            <c:strRef>
              <c:f>'2图输出'!$L$484:$L$491</c:f>
              <c:strCache>
                <c:ptCount val="8"/>
                <c:pt idx="0">
                  <c:v>发展空间不大</c:v>
                </c:pt>
                <c:pt idx="1">
                  <c:v>薪资福利差</c:v>
                </c:pt>
                <c:pt idx="2">
                  <c:v>其他</c:v>
                </c:pt>
                <c:pt idx="3">
                  <c:v>工作地域问题</c:v>
                </c:pt>
                <c:pt idx="4">
                  <c:v>工作压力大</c:v>
                </c:pt>
                <c:pt idx="5">
                  <c:v>工作环境不好</c:v>
                </c:pt>
                <c:pt idx="6">
                  <c:v>家庭原因</c:v>
                </c:pt>
                <c:pt idx="7">
                  <c:v>人际关系因素</c:v>
                </c:pt>
              </c:strCache>
            </c:strRef>
          </c:cat>
          <c:val>
            <c:numRef>
              <c:f>'2图输出'!$M$484:$M$491</c:f>
              <c:numCache>
                <c:formatCode>0.00%</c:formatCode>
                <c:ptCount val="8"/>
                <c:pt idx="0">
                  <c:v>0.2294</c:v>
                </c:pt>
                <c:pt idx="1">
                  <c:v>0.1948</c:v>
                </c:pt>
                <c:pt idx="2">
                  <c:v>0.1861</c:v>
                </c:pt>
                <c:pt idx="3">
                  <c:v>0.1212</c:v>
                </c:pt>
                <c:pt idx="4">
                  <c:v>0.1126</c:v>
                </c:pt>
                <c:pt idx="5">
                  <c:v>0.1082</c:v>
                </c:pt>
                <c:pt idx="6">
                  <c:v>0.039</c:v>
                </c:pt>
                <c:pt idx="7">
                  <c:v>0.0087</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863c8cc5-8926-4a88-9b5e-d00392a472e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1e662cdb-1648-499c-bddd-e4fc76c0a8c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bdfb2df4-4201-43b5-8204-b3a2f3c8e35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dc134048-80b2-45f2-b39e-809ff3ddd6f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b94883d-c00c-4964-aaa1-4c418491e5d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c4998017-b4fd-4ec9-bdca-98d3e70ce11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140f9b2f-ca1b-48a0-8ade-d7d67140f4a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7751e4b-8a1c-4ac6-a342-dfbb4ad30de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'2图输出'!$L$484:$L$491</c:f>
              <c:strCache>
                <c:ptCount val="8"/>
                <c:pt idx="0">
                  <c:v>发展空间不大</c:v>
                </c:pt>
                <c:pt idx="1">
                  <c:v>薪资福利差</c:v>
                </c:pt>
                <c:pt idx="2">
                  <c:v>其他</c:v>
                </c:pt>
                <c:pt idx="3">
                  <c:v>工作地域问题</c:v>
                </c:pt>
                <c:pt idx="4">
                  <c:v>工作压力大</c:v>
                </c:pt>
                <c:pt idx="5">
                  <c:v>工作环境不好</c:v>
                </c:pt>
                <c:pt idx="6">
                  <c:v>家庭原因</c:v>
                </c:pt>
                <c:pt idx="7">
                  <c:v>人际关系因素</c:v>
                </c:pt>
              </c:strCache>
            </c:strRef>
          </c:cat>
          <c:val>
            <c:numRef>
              <c:f>'2图输出'!$N$484:$N$491</c:f>
              <c:numCache>
                <c:formatCode>0.00%</c:formatCode>
                <c:ptCount val="8"/>
                <c:pt idx="0">
                  <c:v>0.04588</c:v>
                </c:pt>
                <c:pt idx="1">
                  <c:v>0.08048</c:v>
                </c:pt>
                <c:pt idx="2">
                  <c:v>0.08918</c:v>
                </c:pt>
                <c:pt idx="3">
                  <c:v>0.15408</c:v>
                </c:pt>
                <c:pt idx="4">
                  <c:v>0.16268</c:v>
                </c:pt>
                <c:pt idx="5">
                  <c:v>0.16708</c:v>
                </c:pt>
                <c:pt idx="6">
                  <c:v>0.23628</c:v>
                </c:pt>
                <c:pt idx="7">
                  <c:v>0.26658</c:v>
                </c:pt>
              </c:numCache>
            </c:numRef>
          </c:val>
          <c:extLst>
            <c:ext xmlns:c15="http://schemas.microsoft.com/office/drawing/2012/chart" uri="{02D57815-91ED-43cb-92C2-25804820EDAC}">
              <c15:datalabelsRange>
                <c15:f>'2图输出'!$M$484:$M$491</c15:f>
                <c15:dlblRangeCache>
                  <c:ptCount val="8"/>
                  <c:pt idx="0">
                    <c:v>22.94%</c:v>
                  </c:pt>
                  <c:pt idx="1">
                    <c:v>19.48%</c:v>
                  </c:pt>
                  <c:pt idx="2">
                    <c:v>18.61%</c:v>
                  </c:pt>
                  <c:pt idx="3">
                    <c:v>12.12%</c:v>
                  </c:pt>
                  <c:pt idx="4">
                    <c:v>11.26%</c:v>
                  </c:pt>
                  <c:pt idx="5">
                    <c:v>10.82%</c:v>
                  </c:pt>
                  <c:pt idx="6">
                    <c:v>3.90%</c:v>
                  </c:pt>
                  <c:pt idx="7">
                    <c:v>0.87%</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388480934265"/>
          <c:y val="0.0462087796681369"/>
          <c:w val="0.53706326523547"/>
          <c:h val="0.907582440663726"/>
        </c:manualLayout>
      </c:layout>
      <c:barChart>
        <c:barDir val="bar"/>
        <c:grouping val="stacked"/>
        <c:varyColors val="0"/>
        <c:ser>
          <c:idx val="0"/>
          <c:order val="0"/>
          <c:spPr>
            <a:solidFill>
              <a:srgbClr val="0D3F67"/>
            </a:solidFill>
            <a:ln>
              <a:noFill/>
            </a:ln>
            <a:effectLst/>
          </c:spPr>
          <c:invertIfNegative val="0"/>
          <c:dLbls>
            <c:delete val="1"/>
          </c:dLbls>
          <c:cat>
            <c:strRef>
              <c:f>透视!$C$3:$C$8</c:f>
              <c:strCache>
                <c:ptCount val="6"/>
                <c:pt idx="0">
                  <c:v>学校各类现场招聘（专场招聘会、双选会、老师推荐等）</c:v>
                </c:pt>
                <c:pt idx="1">
                  <c:v>社会招聘网站、直接企业官网求职</c:v>
                </c:pt>
                <c:pt idx="2">
                  <c:v>学校各类线上招聘（就业网、微信公众号、转发的其他线上招聘信息等）</c:v>
                </c:pt>
                <c:pt idx="3">
                  <c:v>亲友直接介绍和推荐</c:v>
                </c:pt>
                <c:pt idx="4">
                  <c:v>其他方式</c:v>
                </c:pt>
                <c:pt idx="5">
                  <c:v>参加各类社会公考</c:v>
                </c:pt>
              </c:strCache>
            </c:strRef>
          </c:cat>
          <c:val>
            <c:numRef>
              <c:f>透视!$D$3:$D$8</c:f>
              <c:numCache>
                <c:formatCode>0.00%</c:formatCode>
                <c:ptCount val="6"/>
                <c:pt idx="0">
                  <c:v>0.3954</c:v>
                </c:pt>
                <c:pt idx="1">
                  <c:v>0.2236</c:v>
                </c:pt>
                <c:pt idx="2">
                  <c:v>0.1418</c:v>
                </c:pt>
                <c:pt idx="3">
                  <c:v>0.1218</c:v>
                </c:pt>
                <c:pt idx="4">
                  <c:v>0.0799</c:v>
                </c:pt>
                <c:pt idx="5">
                  <c:v>0.0375</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20ea2296-eb17-4fb1-96c9-740f17a2b1c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c5ebc95d-4dcd-4b7b-a52f-003fca576e5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96ede4d6-0b59-4a5e-b01a-daad8c8ca2d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33cb84a-f5d6-4ee9-8631-c9e162217cc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7fadda08-184d-49e4-817f-c6564847f1c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1ccb4986-5afe-42c2-99c4-c4d2c533d18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透视!$C$3:$C$8</c:f>
              <c:strCache>
                <c:ptCount val="6"/>
                <c:pt idx="0">
                  <c:v>学校各类现场招聘（专场招聘会、双选会、老师推荐等）</c:v>
                </c:pt>
                <c:pt idx="1">
                  <c:v>社会招聘网站、直接企业官网求职</c:v>
                </c:pt>
                <c:pt idx="2">
                  <c:v>学校各类线上招聘（就业网、微信公众号、转发的其他线上招聘信息等）</c:v>
                </c:pt>
                <c:pt idx="3">
                  <c:v>亲友直接介绍和推荐</c:v>
                </c:pt>
                <c:pt idx="4">
                  <c:v>其他方式</c:v>
                </c:pt>
                <c:pt idx="5">
                  <c:v>参加各类社会公考</c:v>
                </c:pt>
              </c:strCache>
            </c:strRef>
          </c:cat>
          <c:val>
            <c:numRef>
              <c:f>透视!$E$3:$E$8</c:f>
              <c:numCache>
                <c:formatCode>0.00%</c:formatCode>
                <c:ptCount val="6"/>
                <c:pt idx="0">
                  <c:v>0.090942</c:v>
                </c:pt>
                <c:pt idx="1">
                  <c:v>0.262742</c:v>
                </c:pt>
                <c:pt idx="2">
                  <c:v>0.344542</c:v>
                </c:pt>
                <c:pt idx="3">
                  <c:v>0.364542</c:v>
                </c:pt>
                <c:pt idx="4">
                  <c:v>0.406442</c:v>
                </c:pt>
                <c:pt idx="5">
                  <c:v>0.448842</c:v>
                </c:pt>
              </c:numCache>
            </c:numRef>
          </c:val>
          <c:extLst>
            <c:ext xmlns:c15="http://schemas.microsoft.com/office/drawing/2012/chart" uri="{02D57815-91ED-43cb-92C2-25804820EDAC}">
              <c15:datalabelsRange>
                <c15:f>透视!$D$3:$D$8</c15:f>
                <c15:dlblRangeCache>
                  <c:ptCount val="6"/>
                  <c:pt idx="0">
                    <c:v>39.54%</c:v>
                  </c:pt>
                  <c:pt idx="1">
                    <c:v>22.36%</c:v>
                  </c:pt>
                  <c:pt idx="2">
                    <c:v>14.18%</c:v>
                  </c:pt>
                  <c:pt idx="3">
                    <c:v>12.18%</c:v>
                  </c:pt>
                  <c:pt idx="4">
                    <c:v>7.99%</c:v>
                  </c:pt>
                  <c:pt idx="5">
                    <c:v>3.75%</c:v>
                  </c:pt>
                </c15:dlblRangeCache>
              </c15:datalabelsRange>
            </c:ext>
          </c:extLst>
        </c:ser>
        <c:dLbls>
          <c:showLegendKey val="0"/>
          <c:showVal val="0"/>
          <c:showCatName val="0"/>
          <c:showSerName val="0"/>
          <c:showPercent val="0"/>
          <c:showBubbleSize val="0"/>
        </c:dLbls>
        <c:gapWidth val="150"/>
        <c:overlap val="100"/>
        <c:axId val="1328021856"/>
        <c:axId val="1328022184"/>
      </c:barChart>
      <c:catAx>
        <c:axId val="132802185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022184"/>
        <c:crosses val="autoZero"/>
        <c:auto val="1"/>
        <c:lblAlgn val="ctr"/>
        <c:lblOffset val="100"/>
        <c:noMultiLvlLbl val="0"/>
      </c:catAx>
      <c:valAx>
        <c:axId val="1328022184"/>
        <c:scaling>
          <c:orientation val="minMax"/>
          <c:max val="0.5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021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197353914002"/>
          <c:y val="0.00677048070412999"/>
          <c:w val="0.9393605292172"/>
          <c:h val="0.867670688083421"/>
        </c:manualLayout>
      </c:layout>
      <c:barChart>
        <c:barDir val="col"/>
        <c:grouping val="clustered"/>
        <c:varyColors val="0"/>
        <c:ser>
          <c:idx val="0"/>
          <c:order val="0"/>
          <c:spPr>
            <a:solidFill>
              <a:srgbClr val="0D3F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'2图输出'!$E$125:$E$128</c:f>
              <c:strCache>
                <c:ptCount val="4"/>
                <c:pt idx="0">
                  <c:v>1个月以内</c:v>
                </c:pt>
                <c:pt idx="1">
                  <c:v>1-3个月</c:v>
                </c:pt>
                <c:pt idx="2">
                  <c:v>4-6个月</c:v>
                </c:pt>
                <c:pt idx="3">
                  <c:v>半年以上</c:v>
                </c:pt>
              </c:strCache>
            </c:strRef>
          </c:cat>
          <c:val>
            <c:numRef>
              <c:f>'2图输出'!$I$125:$I$128</c:f>
              <c:numCache>
                <c:formatCode>0.00%</c:formatCode>
                <c:ptCount val="4"/>
                <c:pt idx="0">
                  <c:v>0.4521</c:v>
                </c:pt>
                <c:pt idx="1">
                  <c:v>0.3855</c:v>
                </c:pt>
                <c:pt idx="2">
                  <c:v>0.1166</c:v>
                </c:pt>
                <c:pt idx="3">
                  <c:v>0.0458</c:v>
                </c:pt>
              </c:numCache>
            </c:numRef>
          </c:val>
        </c:ser>
        <c:dLbls>
          <c:showLegendKey val="0"/>
          <c:showVal val="1"/>
          <c:showCatName val="0"/>
          <c:showSerName val="0"/>
          <c:showPercent val="0"/>
          <c:showBubbleSize val="0"/>
        </c:dLbls>
        <c:gapWidth val="150"/>
        <c:overlap val="-27"/>
        <c:axId val="558864000"/>
        <c:axId val="558858096"/>
      </c:barChart>
      <c:catAx>
        <c:axId val="5588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858096"/>
        <c:crosses val="autoZero"/>
        <c:auto val="1"/>
        <c:lblAlgn val="ctr"/>
        <c:lblOffset val="100"/>
        <c:noMultiLvlLbl val="0"/>
      </c:catAx>
      <c:valAx>
        <c:axId val="558858096"/>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864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Sheet2!$D$18</c:f>
              <c:strCache>
                <c:ptCount val="1"/>
                <c:pt idx="0">
                  <c:v>就业人数</c:v>
                </c:pt>
              </c:strCache>
            </c:strRef>
          </c:tx>
          <c:spPr>
            <a:solidFill>
              <a:schemeClr val="accent1"/>
            </a:solidFill>
            <a:ln>
              <a:noFill/>
            </a:ln>
            <a:effectLst/>
          </c:spPr>
          <c:invertIfNegative val="0"/>
          <c:dLbls>
            <c:delete val="1"/>
          </c:dLbls>
          <c:cat>
            <c:strRef>
              <c:f>Sheet2!$C$19:$C$21</c:f>
              <c:strCache>
                <c:ptCount val="3"/>
                <c:pt idx="0">
                  <c:v>本科毕业生</c:v>
                </c:pt>
                <c:pt idx="1">
                  <c:v>硕士研究生</c:v>
                </c:pt>
                <c:pt idx="2">
                  <c:v>总体</c:v>
                </c:pt>
              </c:strCache>
            </c:strRef>
          </c:cat>
          <c:val>
            <c:numRef>
              <c:f>Sheet2!$D$19:$D$21</c:f>
              <c:numCache>
                <c:formatCode>General</c:formatCode>
                <c:ptCount val="3"/>
                <c:pt idx="0">
                  <c:v>3666</c:v>
                </c:pt>
                <c:pt idx="1">
                  <c:v>197</c:v>
                </c:pt>
                <c:pt idx="2">
                  <c:v>3863</c:v>
                </c:pt>
              </c:numCache>
            </c:numRef>
          </c:val>
        </c:ser>
        <c:dLbls>
          <c:showLegendKey val="0"/>
          <c:showVal val="0"/>
          <c:showCatName val="0"/>
          <c:showSerName val="0"/>
          <c:showPercent val="0"/>
          <c:showBubbleSize val="0"/>
        </c:dLbls>
        <c:gapWidth val="219"/>
        <c:overlap val="-27"/>
        <c:axId val="2119652047"/>
        <c:axId val="468693775"/>
      </c:barChart>
      <c:lineChart>
        <c:grouping val="standard"/>
        <c:varyColors val="0"/>
        <c:ser>
          <c:idx val="1"/>
          <c:order val="1"/>
          <c:tx>
            <c:strRef>
              <c:f>Sheet2!$E$18</c:f>
              <c:strCache>
                <c:ptCount val="1"/>
                <c:pt idx="0">
                  <c:v>就业率</c:v>
                </c:pt>
              </c:strCache>
            </c:strRef>
          </c:tx>
          <c:spPr>
            <a:ln w="28575" cap="rnd">
              <a:solidFill>
                <a:schemeClr val="accent3"/>
              </a:solidFill>
              <a:round/>
            </a:ln>
            <a:effectLst/>
          </c:spPr>
          <c:marker>
            <c:symbol val="none"/>
          </c:marker>
          <c:dLbls>
            <c:delete val="1"/>
          </c:dLbls>
          <c:cat>
            <c:strRef>
              <c:f>Sheet2!$C$19:$C$21</c:f>
              <c:strCache>
                <c:ptCount val="3"/>
                <c:pt idx="0">
                  <c:v>本科毕业生</c:v>
                </c:pt>
                <c:pt idx="1">
                  <c:v>硕士研究生</c:v>
                </c:pt>
                <c:pt idx="2">
                  <c:v>总体</c:v>
                </c:pt>
              </c:strCache>
            </c:strRef>
          </c:cat>
          <c:val>
            <c:numRef>
              <c:f>Sheet2!$E$19:$E$21</c:f>
              <c:numCache>
                <c:formatCode>0.00%</c:formatCode>
                <c:ptCount val="3"/>
                <c:pt idx="0">
                  <c:v>0.873897497020262</c:v>
                </c:pt>
                <c:pt idx="1">
                  <c:v>0.942583732057416</c:v>
                </c:pt>
                <c:pt idx="2">
                  <c:v>0.877157129881926</c:v>
                </c:pt>
              </c:numCache>
            </c:numRef>
          </c:val>
          <c:smooth val="0"/>
        </c:ser>
        <c:dLbls>
          <c:showLegendKey val="0"/>
          <c:showVal val="0"/>
          <c:showCatName val="0"/>
          <c:showSerName val="0"/>
          <c:showPercent val="0"/>
          <c:showBubbleSize val="0"/>
        </c:dLbls>
        <c:marker val="0"/>
        <c:smooth val="0"/>
        <c:axId val="2119648847"/>
        <c:axId val="468678799"/>
      </c:lineChart>
      <c:catAx>
        <c:axId val="211965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93775"/>
        <c:crosses val="autoZero"/>
        <c:auto val="1"/>
        <c:lblAlgn val="ctr"/>
        <c:lblOffset val="100"/>
        <c:noMultiLvlLbl val="0"/>
      </c:catAx>
      <c:valAx>
        <c:axId val="4686937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52047"/>
        <c:crosses val="autoZero"/>
        <c:crossBetween val="between"/>
      </c:valAx>
      <c:catAx>
        <c:axId val="211964884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78799"/>
        <c:crosses val="autoZero"/>
        <c:auto val="1"/>
        <c:lblAlgn val="ctr"/>
        <c:lblOffset val="100"/>
        <c:noMultiLvlLbl val="0"/>
      </c:catAx>
      <c:valAx>
        <c:axId val="46867879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48847"/>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Pt>
            <c:idx val="5"/>
            <c:invertIfNegative val="0"/>
            <c:bubble3D val="0"/>
            <c:spPr>
              <a:solidFill>
                <a:srgbClr val="0D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'2图输出'!$F$149:$F$154</c:f>
              <c:strCache>
                <c:ptCount val="6"/>
                <c:pt idx="0">
                  <c:v>200元以下</c:v>
                </c:pt>
                <c:pt idx="1">
                  <c:v>201-500元</c:v>
                </c:pt>
                <c:pt idx="2">
                  <c:v>501-1200元</c:v>
                </c:pt>
                <c:pt idx="3">
                  <c:v>1201-1600元</c:v>
                </c:pt>
                <c:pt idx="4">
                  <c:v>1601-2000元</c:v>
                </c:pt>
                <c:pt idx="5">
                  <c:v>2000元以上</c:v>
                </c:pt>
              </c:strCache>
            </c:strRef>
          </c:cat>
          <c:val>
            <c:numRef>
              <c:f>'2图输出'!$H$149:$H$154</c:f>
              <c:numCache>
                <c:formatCode>0.00%</c:formatCode>
                <c:ptCount val="6"/>
                <c:pt idx="0">
                  <c:v>0.315307820299501</c:v>
                </c:pt>
                <c:pt idx="1">
                  <c:v>0.162229617304493</c:v>
                </c:pt>
                <c:pt idx="2">
                  <c:v>0.193011647254576</c:v>
                </c:pt>
                <c:pt idx="3">
                  <c:v>0.0856905158069883</c:v>
                </c:pt>
                <c:pt idx="4">
                  <c:v>0.0465890183028286</c:v>
                </c:pt>
                <c:pt idx="5">
                  <c:v>0.197171381031614</c:v>
                </c:pt>
              </c:numCache>
            </c:numRef>
          </c:val>
        </c:ser>
        <c:dLbls>
          <c:showLegendKey val="0"/>
          <c:showVal val="0"/>
          <c:showCatName val="0"/>
          <c:showSerName val="0"/>
          <c:showPercent val="0"/>
          <c:showBubbleSize val="0"/>
        </c:dLbls>
        <c:gapWidth val="219"/>
        <c:overlap val="-27"/>
        <c:axId val="1328209632"/>
        <c:axId val="1328216192"/>
      </c:barChart>
      <c:catAx>
        <c:axId val="13282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216192"/>
        <c:crosses val="autoZero"/>
        <c:auto val="1"/>
        <c:lblAlgn val="ctr"/>
        <c:lblOffset val="100"/>
        <c:noMultiLvlLbl val="0"/>
      </c:catAx>
      <c:valAx>
        <c:axId val="1328216192"/>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20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9726854887753"/>
          <c:y val="0.0554435483870968"/>
          <c:w val="0.933027314511225"/>
          <c:h val="0.944556451612903"/>
        </c:manualLayout>
      </c:layout>
      <c:barChart>
        <c:barDir val="bar"/>
        <c:grouping val="stack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Pt>
            <c:idx val="5"/>
            <c:invertIfNegative val="0"/>
            <c:bubble3D val="0"/>
            <c:spPr>
              <a:solidFill>
                <a:srgbClr val="0D3F67"/>
              </a:solidFill>
              <a:ln>
                <a:noFill/>
              </a:ln>
              <a:effectLst/>
            </c:spPr>
          </c:dPt>
          <c:dLbls>
            <c:delete val="1"/>
          </c:dLbls>
          <c:cat>
            <c:strRef>
              <c:f>'2图输出'!$L$768:$L$773</c:f>
              <c:strCache>
                <c:ptCount val="6"/>
                <c:pt idx="0">
                  <c:v>事业单位</c:v>
                </c:pt>
                <c:pt idx="1">
                  <c:v>国有企业</c:v>
                </c:pt>
                <c:pt idx="2">
                  <c:v>党政机关</c:v>
                </c:pt>
                <c:pt idx="3">
                  <c:v>民营企业   </c:v>
                </c:pt>
                <c:pt idx="4">
                  <c:v>三资企业</c:v>
                </c:pt>
                <c:pt idx="5">
                  <c:v>其它</c:v>
                </c:pt>
              </c:strCache>
            </c:strRef>
          </c:cat>
          <c:val>
            <c:numRef>
              <c:f>'2图输出'!$M$768:$M$773</c:f>
              <c:numCache>
                <c:formatCode>0.00%</c:formatCode>
                <c:ptCount val="6"/>
                <c:pt idx="0">
                  <c:v>0.4455</c:v>
                </c:pt>
                <c:pt idx="1">
                  <c:v>0.2182</c:v>
                </c:pt>
                <c:pt idx="2">
                  <c:v>0.1576</c:v>
                </c:pt>
                <c:pt idx="3">
                  <c:v>0.1091</c:v>
                </c:pt>
                <c:pt idx="4">
                  <c:v>0.0364</c:v>
                </c:pt>
                <c:pt idx="5">
                  <c:v>0.0332</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a5841f3d-24df-4b8f-b8ce-fbd13dbe121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b84843b9-6404-4420-9be7-151fe8c5157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7fdea2e8-b982-4d24-b21f-942cd835eca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329a061d-9fa9-4da6-9bdb-7d7e6ab75d2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020ef94b-18f9-45c6-8e77-446abd4463c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eb4abce7-e9e1-4e24-9ea1-68b012f6ae3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'2图输出'!$L$768:$L$773</c:f>
              <c:strCache>
                <c:ptCount val="6"/>
                <c:pt idx="0">
                  <c:v>事业单位</c:v>
                </c:pt>
                <c:pt idx="1">
                  <c:v>国有企业</c:v>
                </c:pt>
                <c:pt idx="2">
                  <c:v>党政机关</c:v>
                </c:pt>
                <c:pt idx="3">
                  <c:v>民营企业   </c:v>
                </c:pt>
                <c:pt idx="4">
                  <c:v>三资企业</c:v>
                </c:pt>
                <c:pt idx="5">
                  <c:v>其它</c:v>
                </c:pt>
              </c:strCache>
            </c:strRef>
          </c:cat>
          <c:val>
            <c:numRef>
              <c:f>'2图输出'!$N$768:$N$773</c:f>
              <c:numCache>
                <c:formatCode>0.00%</c:formatCode>
                <c:ptCount val="6"/>
                <c:pt idx="0">
                  <c:v>0.0891</c:v>
                </c:pt>
                <c:pt idx="1">
                  <c:v>0.3164</c:v>
                </c:pt>
                <c:pt idx="2">
                  <c:v>0.377</c:v>
                </c:pt>
                <c:pt idx="3">
                  <c:v>0.4255</c:v>
                </c:pt>
                <c:pt idx="4">
                  <c:v>0.4982</c:v>
                </c:pt>
                <c:pt idx="5">
                  <c:v>0.5014</c:v>
                </c:pt>
              </c:numCache>
            </c:numRef>
          </c:val>
          <c:extLst>
            <c:ext xmlns:c15="http://schemas.microsoft.com/office/drawing/2012/chart" uri="{02D57815-91ED-43cb-92C2-25804820EDAC}">
              <c15:datalabelsRange>
                <c15:f>'2图输出'!$M$768:$M$773</c15:f>
                <c15:dlblRangeCache>
                  <c:ptCount val="6"/>
                  <c:pt idx="0">
                    <c:v>44.55%</c:v>
                  </c:pt>
                  <c:pt idx="1">
                    <c:v>21.82%</c:v>
                  </c:pt>
                  <c:pt idx="2">
                    <c:v>15.76%</c:v>
                  </c:pt>
                  <c:pt idx="3">
                    <c:v>10.91%</c:v>
                  </c:pt>
                  <c:pt idx="4">
                    <c:v>3.64%</c:v>
                  </c:pt>
                  <c:pt idx="5">
                    <c:v>3.32%</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max val="0.5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'2图输出'!$Y$820:$Y$827</c:f>
              <c:strCache>
                <c:ptCount val="8"/>
                <c:pt idx="0">
                  <c:v>在准备公务员、事业单位、中小学教师等招考</c:v>
                </c:pt>
                <c:pt idx="1">
                  <c:v>正在择业，暂时没拿到offer</c:v>
                </c:pt>
                <c:pt idx="2">
                  <c:v>正在择业，拿到过offer不过拒绝了</c:v>
                </c:pt>
                <c:pt idx="3">
                  <c:v>在等待单位签约</c:v>
                </c:pt>
                <c:pt idx="4">
                  <c:v>在准备升学考试</c:v>
                </c:pt>
                <c:pt idx="5">
                  <c:v>正在择业，拿到offer正考虑中</c:v>
                </c:pt>
                <c:pt idx="6">
                  <c:v>暂时不考虑就业</c:v>
                </c:pt>
                <c:pt idx="7">
                  <c:v>准备创业</c:v>
                </c:pt>
              </c:strCache>
            </c:strRef>
          </c:cat>
          <c:val>
            <c:numRef>
              <c:f>'2图输出'!$Z$820:$Z$827</c:f>
              <c:numCache>
                <c:formatCode>0.00%</c:formatCode>
                <c:ptCount val="8"/>
                <c:pt idx="0">
                  <c:v>0.439393939393939</c:v>
                </c:pt>
                <c:pt idx="1">
                  <c:v>0.312121212121212</c:v>
                </c:pt>
                <c:pt idx="2">
                  <c:v>0.0636363636363636</c:v>
                </c:pt>
                <c:pt idx="3">
                  <c:v>0.0575757575757576</c:v>
                </c:pt>
                <c:pt idx="4">
                  <c:v>0.0484848484848485</c:v>
                </c:pt>
                <c:pt idx="5">
                  <c:v>0.0454545454545455</c:v>
                </c:pt>
                <c:pt idx="6">
                  <c:v>0.0303030303030303</c:v>
                </c:pt>
                <c:pt idx="7">
                  <c:v>0.00303030303030303</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9ced2a56-5cc6-4ace-b162-ecd476422d3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60f85a86-698d-4153-9bc6-b964d9bea84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acdc605d-5c03-4d0c-809f-4a8fa6de176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062a9e8-2945-4142-b6f8-f094c9817f5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e427850b-ac81-4281-a4b4-140beb20f45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11be40b5-dd24-4873-ae23-db7fb0fd0d3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bf18f5d1-020b-45fd-b329-15b2e6c1cd1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b841df9a-f5c0-4d2c-874f-45e213cf4f3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'2图输出'!$Y$820:$Y$827</c:f>
              <c:strCache>
                <c:ptCount val="8"/>
                <c:pt idx="0">
                  <c:v>在准备公务员、事业单位、中小学教师等招考</c:v>
                </c:pt>
                <c:pt idx="1">
                  <c:v>正在择业，暂时没拿到offer</c:v>
                </c:pt>
                <c:pt idx="2">
                  <c:v>正在择业，拿到过offer不过拒绝了</c:v>
                </c:pt>
                <c:pt idx="3">
                  <c:v>在等待单位签约</c:v>
                </c:pt>
                <c:pt idx="4">
                  <c:v>在准备升学考试</c:v>
                </c:pt>
                <c:pt idx="5">
                  <c:v>正在择业，拿到offer正考虑中</c:v>
                </c:pt>
                <c:pt idx="6">
                  <c:v>暂时不考虑就业</c:v>
                </c:pt>
                <c:pt idx="7">
                  <c:v>准备创业</c:v>
                </c:pt>
              </c:strCache>
            </c:strRef>
          </c:cat>
          <c:val>
            <c:numRef>
              <c:f>'2图输出'!$AA$820:$AA$827</c:f>
              <c:numCache>
                <c:formatCode>0.00%</c:formatCode>
                <c:ptCount val="8"/>
                <c:pt idx="0">
                  <c:v>0.0878787878787878</c:v>
                </c:pt>
                <c:pt idx="1">
                  <c:v>0.215151515151515</c:v>
                </c:pt>
                <c:pt idx="2">
                  <c:v>0.463636363636364</c:v>
                </c:pt>
                <c:pt idx="3">
                  <c:v>0.46969696969697</c:v>
                </c:pt>
                <c:pt idx="4">
                  <c:v>0.478787878787879</c:v>
                </c:pt>
                <c:pt idx="5">
                  <c:v>0.481818181818182</c:v>
                </c:pt>
                <c:pt idx="6">
                  <c:v>0.496969696969697</c:v>
                </c:pt>
                <c:pt idx="7">
                  <c:v>0.524242424242424</c:v>
                </c:pt>
              </c:numCache>
            </c:numRef>
          </c:val>
          <c:extLst>
            <c:ext xmlns:c15="http://schemas.microsoft.com/office/drawing/2012/chart" uri="{02D57815-91ED-43cb-92C2-25804820EDAC}">
              <c15:datalabelsRange>
                <c15:f>'2图输出'!$Z$820:$Z$827</c15:f>
                <c15:dlblRangeCache>
                  <c:ptCount val="8"/>
                  <c:pt idx="0">
                    <c:v>43.94%</c:v>
                  </c:pt>
                  <c:pt idx="1">
                    <c:v>31.21%</c:v>
                  </c:pt>
                  <c:pt idx="2">
                    <c:v>6.36%</c:v>
                  </c:pt>
                  <c:pt idx="3">
                    <c:v>5.76%</c:v>
                  </c:pt>
                  <c:pt idx="4">
                    <c:v>4.85%</c:v>
                  </c:pt>
                  <c:pt idx="5">
                    <c:v>4.55%</c:v>
                  </c:pt>
                  <c:pt idx="6">
                    <c:v>3.03%</c:v>
                  </c:pt>
                  <c:pt idx="7">
                    <c:v>0.30%</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'2图输出'!$L$725:$L$730</c:f>
              <c:strCache>
                <c:ptCount val="6"/>
                <c:pt idx="0">
                  <c:v>省会城市</c:v>
                </c:pt>
                <c:pt idx="1">
                  <c:v>回生源地就业</c:v>
                </c:pt>
                <c:pt idx="2">
                  <c:v>地级城市</c:v>
                </c:pt>
                <c:pt idx="3">
                  <c:v>直辖市</c:v>
                </c:pt>
                <c:pt idx="4">
                  <c:v>县级城市</c:v>
                </c:pt>
                <c:pt idx="5">
                  <c:v>其他</c:v>
                </c:pt>
              </c:strCache>
            </c:strRef>
          </c:cat>
          <c:val>
            <c:numRef>
              <c:f>'2图输出'!$M$725:$M$730</c:f>
              <c:numCache>
                <c:formatCode>0.00%</c:formatCode>
                <c:ptCount val="6"/>
                <c:pt idx="0">
                  <c:v>0.4041</c:v>
                </c:pt>
                <c:pt idx="1">
                  <c:v>0.2462</c:v>
                </c:pt>
                <c:pt idx="2">
                  <c:v>0.1598</c:v>
                </c:pt>
                <c:pt idx="3">
                  <c:v>0.0996</c:v>
                </c:pt>
                <c:pt idx="4">
                  <c:v>0.0545</c:v>
                </c:pt>
                <c:pt idx="5">
                  <c:v>0.0358000000000001</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b00f171c-3a88-419a-9b45-577792a7237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4d1b4a8f-dec0-40d6-986d-2bd28faee5c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bcce8f60-8ce9-42f7-a9b8-d0cbab01d12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ab827999-8002-48c5-af9a-da9d1bf6b38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e59b58ce-2a6d-4e92-b1e9-1532e53eff2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a39b6f71-cf27-4be9-9ae5-98ab0afa6a1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'2图输出'!$L$725:$L$730</c:f>
              <c:strCache>
                <c:ptCount val="6"/>
                <c:pt idx="0">
                  <c:v>省会城市</c:v>
                </c:pt>
                <c:pt idx="1">
                  <c:v>回生源地就业</c:v>
                </c:pt>
                <c:pt idx="2">
                  <c:v>地级城市</c:v>
                </c:pt>
                <c:pt idx="3">
                  <c:v>直辖市</c:v>
                </c:pt>
                <c:pt idx="4">
                  <c:v>县级城市</c:v>
                </c:pt>
                <c:pt idx="5">
                  <c:v>其他</c:v>
                </c:pt>
              </c:strCache>
            </c:strRef>
          </c:cat>
          <c:val>
            <c:numRef>
              <c:f>'2图输出'!$N$725:$N$730</c:f>
              <c:numCache>
                <c:formatCode>0.00%</c:formatCode>
                <c:ptCount val="6"/>
                <c:pt idx="0">
                  <c:v>0.08082</c:v>
                </c:pt>
                <c:pt idx="1">
                  <c:v>0.23872</c:v>
                </c:pt>
                <c:pt idx="2">
                  <c:v>0.32512</c:v>
                </c:pt>
                <c:pt idx="3">
                  <c:v>0.38532</c:v>
                </c:pt>
                <c:pt idx="4">
                  <c:v>0.43042</c:v>
                </c:pt>
                <c:pt idx="5">
                  <c:v>0.44912</c:v>
                </c:pt>
              </c:numCache>
            </c:numRef>
          </c:val>
          <c:extLst>
            <c:ext xmlns:c15="http://schemas.microsoft.com/office/drawing/2012/chart" uri="{02D57815-91ED-43cb-92C2-25804820EDAC}">
              <c15:datalabelsRange>
                <c15:f>'2图输出'!$M$725:$M$730</c15:f>
                <c15:dlblRangeCache>
                  <c:ptCount val="6"/>
                  <c:pt idx="0">
                    <c:v>40.41%</c:v>
                  </c:pt>
                  <c:pt idx="1">
                    <c:v>24.62%</c:v>
                  </c:pt>
                  <c:pt idx="2">
                    <c:v>15.98%</c:v>
                  </c:pt>
                  <c:pt idx="3">
                    <c:v>9.96%</c:v>
                  </c:pt>
                  <c:pt idx="4">
                    <c:v>5.45%</c:v>
                  </c:pt>
                  <c:pt idx="5">
                    <c:v>3.58%</c:v>
                  </c:pt>
                </c15:dlblRangeCache>
              </c15:datalabelsRange>
            </c:ext>
          </c:extLst>
        </c:ser>
        <c:dLbls>
          <c:showLegendKey val="0"/>
          <c:showVal val="1"/>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max val="0.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Lbls>
            <c:delete val="1"/>
          </c:dLbls>
          <c:cat>
            <c:strRef>
              <c:f>'2图输出'!$L$899:$L$904</c:f>
              <c:strCache>
                <c:ptCount val="6"/>
                <c:pt idx="0">
                  <c:v>增加职位信息</c:v>
                </c:pt>
                <c:pt idx="1">
                  <c:v>求职补贴</c:v>
                </c:pt>
                <c:pt idx="2">
                  <c:v>求职技巧培训</c:v>
                </c:pt>
                <c:pt idx="3">
                  <c:v>政策帮扶</c:v>
                </c:pt>
                <c:pt idx="4">
                  <c:v>其他</c:v>
                </c:pt>
                <c:pt idx="5">
                  <c:v>求职心理辅导</c:v>
                </c:pt>
              </c:strCache>
            </c:strRef>
          </c:cat>
          <c:val>
            <c:numRef>
              <c:f>'2图输出'!$M$899:$M$904</c:f>
              <c:numCache>
                <c:formatCode>0.00%</c:formatCode>
                <c:ptCount val="6"/>
                <c:pt idx="0">
                  <c:v>0.5545</c:v>
                </c:pt>
                <c:pt idx="1">
                  <c:v>0.4333</c:v>
                </c:pt>
                <c:pt idx="2">
                  <c:v>0.4091</c:v>
                </c:pt>
                <c:pt idx="3">
                  <c:v>0.403</c:v>
                </c:pt>
                <c:pt idx="4">
                  <c:v>0.1242</c:v>
                </c:pt>
                <c:pt idx="5">
                  <c:v>0.1182</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0b267742-5db7-4f8f-ba2f-adcb14b82dd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010b234-a48b-43fd-8f4d-4449211407e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482fd1ad-cc66-44f9-8702-91cba29a08a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35d2ec28-460d-4f63-8fe2-b4c45b4f169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738a555f-4842-4228-a1e7-36517a0fed8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effd71e5-f79d-4e06-be02-167817866b4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'2图输出'!$L$899:$L$904</c:f>
              <c:strCache>
                <c:ptCount val="6"/>
                <c:pt idx="0">
                  <c:v>增加职位信息</c:v>
                </c:pt>
                <c:pt idx="1">
                  <c:v>求职补贴</c:v>
                </c:pt>
                <c:pt idx="2">
                  <c:v>求职技巧培训</c:v>
                </c:pt>
                <c:pt idx="3">
                  <c:v>政策帮扶</c:v>
                </c:pt>
                <c:pt idx="4">
                  <c:v>其他</c:v>
                </c:pt>
                <c:pt idx="5">
                  <c:v>求职心理辅导</c:v>
                </c:pt>
              </c:strCache>
            </c:strRef>
          </c:cat>
          <c:val>
            <c:numRef>
              <c:f>'2图输出'!$N$899:$N$904</c:f>
              <c:numCache>
                <c:formatCode>0.00%</c:formatCode>
                <c:ptCount val="6"/>
                <c:pt idx="0">
                  <c:v>0.1109</c:v>
                </c:pt>
                <c:pt idx="1">
                  <c:v>0.2321</c:v>
                </c:pt>
                <c:pt idx="2">
                  <c:v>0.2563</c:v>
                </c:pt>
                <c:pt idx="3">
                  <c:v>0.2624</c:v>
                </c:pt>
                <c:pt idx="4">
                  <c:v>0.5412</c:v>
                </c:pt>
                <c:pt idx="5">
                  <c:v>0.5472</c:v>
                </c:pt>
              </c:numCache>
            </c:numRef>
          </c:val>
          <c:extLst>
            <c:ext xmlns:c15="http://schemas.microsoft.com/office/drawing/2012/chart" uri="{02D57815-91ED-43cb-92C2-25804820EDAC}">
              <c15:datalabelsRange>
                <c15:f>'2图输出'!$M$899:$M$904</c15:f>
                <c15:dlblRangeCache>
                  <c:ptCount val="6"/>
                  <c:pt idx="0">
                    <c:v>55.45%</c:v>
                  </c:pt>
                  <c:pt idx="1">
                    <c:v>43.33%</c:v>
                  </c:pt>
                  <c:pt idx="2">
                    <c:v>40.91%</c:v>
                  </c:pt>
                  <c:pt idx="3">
                    <c:v>40.30%</c:v>
                  </c:pt>
                  <c:pt idx="4">
                    <c:v>12.42%</c:v>
                  </c:pt>
                  <c:pt idx="5">
                    <c:v>11.82%</c:v>
                  </c:pt>
                </c15:dlblRangeCache>
              </c15:datalabelsRange>
            </c:ext>
          </c:extLst>
        </c:ser>
        <c:dLbls>
          <c:showLegendKey val="0"/>
          <c:showVal val="0"/>
          <c:showCatName val="0"/>
          <c:showSerName val="0"/>
          <c:showPercent val="0"/>
          <c:showBubbleSize val="0"/>
        </c:dLbls>
        <c:gapWidth val="150"/>
        <c:overlap val="100"/>
        <c:axId val="1328197168"/>
        <c:axId val="1328197496"/>
      </c:barChart>
      <c:catAx>
        <c:axId val="132819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197496"/>
        <c:crosses val="autoZero"/>
        <c:auto val="1"/>
        <c:lblAlgn val="ctr"/>
        <c:lblOffset val="100"/>
        <c:noMultiLvlLbl val="0"/>
      </c:catAx>
      <c:valAx>
        <c:axId val="132819749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8197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0D3F67"/>
              </a:solidFill>
              <a:ln>
                <a:noFill/>
              </a:ln>
              <a:effectLst/>
            </c:spPr>
          </c:dPt>
          <c:dPt>
            <c:idx val="2"/>
            <c:invertIfNegative val="0"/>
            <c:bubble3D val="0"/>
            <c:spPr>
              <a:solidFill>
                <a:srgbClr val="0D3F67"/>
              </a:solidFill>
              <a:ln>
                <a:noFill/>
              </a:ln>
              <a:effectLst/>
            </c:spPr>
          </c:dPt>
          <c:dPt>
            <c:idx val="3"/>
            <c:invertIfNegative val="0"/>
            <c:bubble3D val="0"/>
            <c:spPr>
              <a:solidFill>
                <a:srgbClr val="0D3F67"/>
              </a:solidFill>
              <a:ln>
                <a:noFill/>
              </a:ln>
              <a:effectLst/>
            </c:spPr>
          </c:dPt>
          <c:dPt>
            <c:idx val="4"/>
            <c:invertIfNegative val="0"/>
            <c:bubble3D val="0"/>
            <c:spPr>
              <a:solidFill>
                <a:srgbClr val="0D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'2图输出'!$F$834:$F$838</c:f>
              <c:strCache>
                <c:ptCount val="5"/>
                <c:pt idx="0">
                  <c:v>0家</c:v>
                </c:pt>
                <c:pt idx="1">
                  <c:v>1-3家</c:v>
                </c:pt>
                <c:pt idx="2">
                  <c:v>4-6家</c:v>
                </c:pt>
                <c:pt idx="3">
                  <c:v>7-9家</c:v>
                </c:pt>
                <c:pt idx="4">
                  <c:v>10家及以上</c:v>
                </c:pt>
              </c:strCache>
            </c:strRef>
          </c:cat>
          <c:val>
            <c:numRef>
              <c:f>'2图输出'!$H$834:$H$838</c:f>
              <c:numCache>
                <c:formatCode>0.00%</c:formatCode>
                <c:ptCount val="5"/>
                <c:pt idx="0">
                  <c:v>0.211480362537764</c:v>
                </c:pt>
                <c:pt idx="1">
                  <c:v>0.465256797583082</c:v>
                </c:pt>
                <c:pt idx="2">
                  <c:v>0.205438066465257</c:v>
                </c:pt>
                <c:pt idx="3">
                  <c:v>0.0634441087613293</c:v>
                </c:pt>
                <c:pt idx="4">
                  <c:v>0.054380664652568</c:v>
                </c:pt>
              </c:numCache>
            </c:numRef>
          </c:val>
        </c:ser>
        <c:dLbls>
          <c:showLegendKey val="0"/>
          <c:showVal val="0"/>
          <c:showCatName val="0"/>
          <c:showSerName val="0"/>
          <c:showPercent val="0"/>
          <c:showBubbleSize val="0"/>
        </c:dLbls>
        <c:gapWidth val="219"/>
        <c:overlap val="-27"/>
        <c:axId val="1588715816"/>
        <c:axId val="1588710240"/>
      </c:barChart>
      <c:catAx>
        <c:axId val="158871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10240"/>
        <c:crosses val="autoZero"/>
        <c:auto val="1"/>
        <c:lblAlgn val="ctr"/>
        <c:lblOffset val="100"/>
        <c:noMultiLvlLbl val="0"/>
      </c:catAx>
      <c:valAx>
        <c:axId val="1588710240"/>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8715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'2图输出'!$E$865:$E$869</c:f>
              <c:strCache>
                <c:ptCount val="5"/>
                <c:pt idx="0">
                  <c:v>3000元以下</c:v>
                </c:pt>
                <c:pt idx="1">
                  <c:v>3001-4000元</c:v>
                </c:pt>
                <c:pt idx="2">
                  <c:v>4001-5000元</c:v>
                </c:pt>
                <c:pt idx="3">
                  <c:v>5001-7000元</c:v>
                </c:pt>
                <c:pt idx="4">
                  <c:v>7000元以上</c:v>
                </c:pt>
              </c:strCache>
            </c:strRef>
          </c:cat>
          <c:val>
            <c:numRef>
              <c:f>'2图输出'!$H$865:$H$869</c:f>
              <c:numCache>
                <c:formatCode>0.00%</c:formatCode>
                <c:ptCount val="5"/>
                <c:pt idx="0">
                  <c:v>0.1246</c:v>
                </c:pt>
                <c:pt idx="1">
                  <c:v>0.386</c:v>
                </c:pt>
                <c:pt idx="2">
                  <c:v>0.307</c:v>
                </c:pt>
                <c:pt idx="3">
                  <c:v>0.1489</c:v>
                </c:pt>
                <c:pt idx="4">
                  <c:v>0.0334999999999999</c:v>
                </c:pt>
              </c:numCache>
            </c:numRef>
          </c:val>
        </c:ser>
        <c:dLbls>
          <c:showLegendKey val="0"/>
          <c:showVal val="1"/>
          <c:showCatName val="0"/>
          <c:showSerName val="0"/>
          <c:showPercent val="0"/>
          <c:showBubbleSize val="0"/>
        </c:dLbls>
        <c:gapWidth val="219"/>
        <c:overlap val="-27"/>
        <c:axId val="733988064"/>
        <c:axId val="733989048"/>
      </c:barChart>
      <c:catAx>
        <c:axId val="7339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989048"/>
        <c:crosses val="autoZero"/>
        <c:auto val="1"/>
        <c:lblAlgn val="ctr"/>
        <c:lblOffset val="100"/>
        <c:noMultiLvlLbl val="0"/>
      </c:catAx>
      <c:valAx>
        <c:axId val="733989048"/>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988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Pt>
            <c:idx val="8"/>
            <c:invertIfNegative val="0"/>
            <c:bubble3D val="0"/>
            <c:spPr>
              <a:solidFill>
                <a:srgbClr val="113F67"/>
              </a:solidFill>
              <a:ln>
                <a:noFill/>
              </a:ln>
              <a:effectLst/>
            </c:spPr>
          </c:dPt>
          <c:dPt>
            <c:idx val="9"/>
            <c:invertIfNegative val="0"/>
            <c:bubble3D val="0"/>
            <c:spPr>
              <a:solidFill>
                <a:srgbClr val="113F67"/>
              </a:solidFill>
              <a:ln>
                <a:noFill/>
              </a:ln>
              <a:effectLst/>
            </c:spPr>
          </c:dPt>
          <c:dPt>
            <c:idx val="10"/>
            <c:invertIfNegative val="0"/>
            <c:bubble3D val="0"/>
            <c:spPr>
              <a:solidFill>
                <a:srgbClr val="113F67"/>
              </a:solidFill>
              <a:ln>
                <a:noFill/>
              </a:ln>
              <a:effectLst/>
            </c:spPr>
          </c:dPt>
          <c:dLbls>
            <c:delete val="1"/>
          </c:dLbls>
          <c:cat>
            <c:strRef>
              <c:f>'2图输出'!$L$799:$L$809</c:f>
              <c:strCache>
                <c:ptCount val="11"/>
                <c:pt idx="0">
                  <c:v>薪酬水平</c:v>
                </c:pt>
                <c:pt idx="1">
                  <c:v>工作稳定度</c:v>
                </c:pt>
                <c:pt idx="2">
                  <c:v>发展空间</c:v>
                </c:pt>
                <c:pt idx="3">
                  <c:v>社会保障</c:v>
                </c:pt>
                <c:pt idx="4">
                  <c:v>就业地理位置</c:v>
                </c:pt>
                <c:pt idx="5">
                  <c:v>工作环境</c:v>
                </c:pt>
                <c:pt idx="6">
                  <c:v>单位培训</c:v>
                </c:pt>
                <c:pt idx="7">
                  <c:v>单位的社会声望</c:v>
                </c:pt>
                <c:pt idx="8">
                  <c:v>父母期望</c:v>
                </c:pt>
                <c:pt idx="9">
                  <c:v>其他</c:v>
                </c:pt>
                <c:pt idx="10">
                  <c:v>人际关系</c:v>
                </c:pt>
              </c:strCache>
            </c:strRef>
          </c:cat>
          <c:val>
            <c:numRef>
              <c:f>'2图输出'!$M$799:$M$809</c:f>
              <c:numCache>
                <c:formatCode>0.00%</c:formatCode>
                <c:ptCount val="11"/>
                <c:pt idx="0">
                  <c:v>0.551515151515152</c:v>
                </c:pt>
                <c:pt idx="1">
                  <c:v>0.372727272727273</c:v>
                </c:pt>
                <c:pt idx="2">
                  <c:v>0.309090909090909</c:v>
                </c:pt>
                <c:pt idx="3">
                  <c:v>0.306060606060606</c:v>
                </c:pt>
                <c:pt idx="4">
                  <c:v>0.178787878787879</c:v>
                </c:pt>
                <c:pt idx="5">
                  <c:v>0.151515151515152</c:v>
                </c:pt>
                <c:pt idx="6">
                  <c:v>0.0363636363636364</c:v>
                </c:pt>
                <c:pt idx="7">
                  <c:v>0.0212121212121212</c:v>
                </c:pt>
                <c:pt idx="8">
                  <c:v>0.0212121212121212</c:v>
                </c:pt>
                <c:pt idx="9">
                  <c:v>0.00606060606060606</c:v>
                </c:pt>
                <c:pt idx="10">
                  <c:v>0.00303030303030303</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224ca449-f504-4643-8040-f6698c1372f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a288fb1-8596-4aa7-8507-af37674a714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8e5d2dc6-58ba-451a-a6b6-7f95d440df7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b926003b-4a6b-4ee9-932f-3aa9bafcaa1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a45871c-1829-4dad-9048-8e7eb7818c8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1673ba75-d4bd-472a-b7d1-e65e3424de0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cb0820b2-c2cb-47a3-aab0-69b1ec3ac11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e444d4ac-b4ca-43cd-86c6-5f88643a508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4eefee50-dc60-4be3-9f87-c25046f3fcf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5c5800a7-3546-4897-afc5-a5cffdb6562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294a395b-1e42-406e-b61d-4bd889036c9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'2图输出'!$L$799:$L$809</c:f>
              <c:strCache>
                <c:ptCount val="11"/>
                <c:pt idx="0">
                  <c:v>薪酬水平</c:v>
                </c:pt>
                <c:pt idx="1">
                  <c:v>工作稳定度</c:v>
                </c:pt>
                <c:pt idx="2">
                  <c:v>发展空间</c:v>
                </c:pt>
                <c:pt idx="3">
                  <c:v>社会保障</c:v>
                </c:pt>
                <c:pt idx="4">
                  <c:v>就业地理位置</c:v>
                </c:pt>
                <c:pt idx="5">
                  <c:v>工作环境</c:v>
                </c:pt>
                <c:pt idx="6">
                  <c:v>单位培训</c:v>
                </c:pt>
                <c:pt idx="7">
                  <c:v>单位的社会声望</c:v>
                </c:pt>
                <c:pt idx="8">
                  <c:v>父母期望</c:v>
                </c:pt>
                <c:pt idx="9">
                  <c:v>其他</c:v>
                </c:pt>
                <c:pt idx="10">
                  <c:v>人际关系</c:v>
                </c:pt>
              </c:strCache>
            </c:strRef>
          </c:cat>
          <c:val>
            <c:numRef>
              <c:f>'2图输出'!$N$799:$N$809</c:f>
              <c:numCache>
                <c:formatCode>0.00%</c:formatCode>
                <c:ptCount val="11"/>
                <c:pt idx="0">
                  <c:v>0.11030303030303</c:v>
                </c:pt>
                <c:pt idx="1">
                  <c:v>0.289090909090909</c:v>
                </c:pt>
                <c:pt idx="2">
                  <c:v>0.352727272727273</c:v>
                </c:pt>
                <c:pt idx="3">
                  <c:v>0.355757575757576</c:v>
                </c:pt>
                <c:pt idx="4">
                  <c:v>0.483030303030303</c:v>
                </c:pt>
                <c:pt idx="5">
                  <c:v>0.51030303030303</c:v>
                </c:pt>
                <c:pt idx="6">
                  <c:v>0.625454545454545</c:v>
                </c:pt>
                <c:pt idx="7">
                  <c:v>0.640606060606061</c:v>
                </c:pt>
                <c:pt idx="8">
                  <c:v>0.640606060606061</c:v>
                </c:pt>
                <c:pt idx="9">
                  <c:v>0.655757575757576</c:v>
                </c:pt>
                <c:pt idx="10">
                  <c:v>0.658787878787879</c:v>
                </c:pt>
              </c:numCache>
            </c:numRef>
          </c:val>
          <c:extLst>
            <c:ext xmlns:c15="http://schemas.microsoft.com/office/drawing/2012/chart" uri="{02D57815-91ED-43cb-92C2-25804820EDAC}">
              <c15:datalabelsRange>
                <c15:f>'2图输出'!$M$799:$M$809</c15:f>
                <c15:dlblRangeCache>
                  <c:ptCount val="11"/>
                  <c:pt idx="0">
                    <c:v>55.15%</c:v>
                  </c:pt>
                  <c:pt idx="1">
                    <c:v>37.27%</c:v>
                  </c:pt>
                  <c:pt idx="2">
                    <c:v>30.91%</c:v>
                  </c:pt>
                  <c:pt idx="3">
                    <c:v>30.61%</c:v>
                  </c:pt>
                  <c:pt idx="4">
                    <c:v>17.88%</c:v>
                  </c:pt>
                  <c:pt idx="5">
                    <c:v>15.15%</c:v>
                  </c:pt>
                  <c:pt idx="6">
                    <c:v>3.64%</c:v>
                  </c:pt>
                  <c:pt idx="7">
                    <c:v>2.12%</c:v>
                  </c:pt>
                  <c:pt idx="8">
                    <c:v>2.12%</c:v>
                  </c:pt>
                  <c:pt idx="9">
                    <c:v>0.61%</c:v>
                  </c:pt>
                  <c:pt idx="10">
                    <c:v>0.30%</c:v>
                  </c:pt>
                </c15:dlblRangeCache>
              </c15:datalabelsRange>
            </c:ext>
          </c:extLst>
        </c:ser>
        <c:dLbls>
          <c:showLegendKey val="0"/>
          <c:showVal val="0"/>
          <c:showCatName val="0"/>
          <c:showSerName val="0"/>
          <c:showPercent val="0"/>
          <c:showBubbleSize val="0"/>
        </c:dLbls>
        <c:gapWidth val="150"/>
        <c:overlap val="100"/>
        <c:axId val="1375112064"/>
        <c:axId val="1375113704"/>
      </c:barChart>
      <c:catAx>
        <c:axId val="137511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3704"/>
        <c:crosses val="autoZero"/>
        <c:auto val="1"/>
        <c:lblAlgn val="ctr"/>
        <c:lblOffset val="100"/>
        <c:noMultiLvlLbl val="0"/>
      </c:catAx>
      <c:valAx>
        <c:axId val="137511370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511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Pt>
            <c:idx val="8"/>
            <c:invertIfNegative val="0"/>
            <c:bubble3D val="0"/>
            <c:spPr>
              <a:solidFill>
                <a:srgbClr val="113F67"/>
              </a:solidFill>
              <a:ln>
                <a:noFill/>
              </a:ln>
              <a:effectLst/>
            </c:spPr>
          </c:dPt>
          <c:dLbls>
            <c:delete val="1"/>
          </c:dLbls>
          <c:cat>
            <c:strRef>
              <c:f>'2图输出'!$L$847:$L$855</c:f>
              <c:strCache>
                <c:ptCount val="9"/>
                <c:pt idx="0">
                  <c:v>适合自己专业和学历的岗位不多</c:v>
                </c:pt>
                <c:pt idx="1">
                  <c:v>缺乏实践经验</c:v>
                </c:pt>
                <c:pt idx="2">
                  <c:v>用人单位待遇和条件不符合预期</c:v>
                </c:pt>
                <c:pt idx="3">
                  <c:v>就业能力不足</c:v>
                </c:pt>
                <c:pt idx="4">
                  <c:v>获取招聘信息的渠道太少</c:v>
                </c:pt>
                <c:pt idx="5">
                  <c:v>社会关系缺乏</c:v>
                </c:pt>
                <c:pt idx="6">
                  <c:v>其它</c:v>
                </c:pt>
                <c:pt idx="7">
                  <c:v>存在就业歧视</c:v>
                </c:pt>
                <c:pt idx="8">
                  <c:v>与父母意愿相悖</c:v>
                </c:pt>
              </c:strCache>
            </c:strRef>
          </c:cat>
          <c:val>
            <c:numRef>
              <c:f>'2图输出'!$M$847:$M$855</c:f>
              <c:numCache>
                <c:formatCode>0.00%</c:formatCode>
                <c:ptCount val="9"/>
                <c:pt idx="0">
                  <c:v>0.478927203065134</c:v>
                </c:pt>
                <c:pt idx="1">
                  <c:v>0.455938697318008</c:v>
                </c:pt>
                <c:pt idx="2">
                  <c:v>0.337164750957854</c:v>
                </c:pt>
                <c:pt idx="3">
                  <c:v>0.164750957854406</c:v>
                </c:pt>
                <c:pt idx="4">
                  <c:v>0.149425287356322</c:v>
                </c:pt>
                <c:pt idx="5">
                  <c:v>0.0651340996168582</c:v>
                </c:pt>
                <c:pt idx="6">
                  <c:v>0.0651340996168582</c:v>
                </c:pt>
                <c:pt idx="7">
                  <c:v>0.0574712643678161</c:v>
                </c:pt>
                <c:pt idx="8">
                  <c:v>0.0459770114942529</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e1728524-449e-48d6-b397-ca697b20260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4dc1a5ef-e422-4c37-a4db-f06d5f82761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ba127f4c-a3d1-4000-b4ac-b3905a6e31d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bac074c9-4fd0-4610-8811-573926c70e5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6733ea1d-542c-4295-b965-2e2f2274d18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bcfed375-0c06-4dbc-b0af-8cda21a1020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3a7db309-1d82-4feb-b012-4800452f612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dc86746e-1980-487c-804d-df2645f15cb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eb1ec0c8-ee42-4efc-baf9-a34ae88857c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'2图输出'!$L$847:$L$855</c:f>
              <c:strCache>
                <c:ptCount val="9"/>
                <c:pt idx="0">
                  <c:v>适合自己专业和学历的岗位不多</c:v>
                </c:pt>
                <c:pt idx="1">
                  <c:v>缺乏实践经验</c:v>
                </c:pt>
                <c:pt idx="2">
                  <c:v>用人单位待遇和条件不符合预期</c:v>
                </c:pt>
                <c:pt idx="3">
                  <c:v>就业能力不足</c:v>
                </c:pt>
                <c:pt idx="4">
                  <c:v>获取招聘信息的渠道太少</c:v>
                </c:pt>
                <c:pt idx="5">
                  <c:v>社会关系缺乏</c:v>
                </c:pt>
                <c:pt idx="6">
                  <c:v>其它</c:v>
                </c:pt>
                <c:pt idx="7">
                  <c:v>存在就业歧视</c:v>
                </c:pt>
                <c:pt idx="8">
                  <c:v>与父母意愿相悖</c:v>
                </c:pt>
              </c:strCache>
            </c:strRef>
          </c:cat>
          <c:val>
            <c:numRef>
              <c:f>'2图输出'!$N$847:$N$855</c:f>
              <c:numCache>
                <c:formatCode>0.00%</c:formatCode>
                <c:ptCount val="9"/>
                <c:pt idx="0">
                  <c:v>0.0957854406130268</c:v>
                </c:pt>
                <c:pt idx="1">
                  <c:v>0.118773946360153</c:v>
                </c:pt>
                <c:pt idx="2">
                  <c:v>0.237547892720306</c:v>
                </c:pt>
                <c:pt idx="3">
                  <c:v>0.409961685823755</c:v>
                </c:pt>
                <c:pt idx="4">
                  <c:v>0.425287356321839</c:v>
                </c:pt>
                <c:pt idx="5">
                  <c:v>0.509578544061303</c:v>
                </c:pt>
                <c:pt idx="6">
                  <c:v>0.509578544061303</c:v>
                </c:pt>
                <c:pt idx="7">
                  <c:v>0.517241379310345</c:v>
                </c:pt>
                <c:pt idx="8">
                  <c:v>0.528735632183908</c:v>
                </c:pt>
              </c:numCache>
            </c:numRef>
          </c:val>
          <c:extLst>
            <c:ext xmlns:c15="http://schemas.microsoft.com/office/drawing/2012/chart" uri="{02D57815-91ED-43cb-92C2-25804820EDAC}">
              <c15:datalabelsRange>
                <c15:f>'2图输出'!$M$847:$M$855</c15:f>
                <c15:dlblRangeCache>
                  <c:ptCount val="9"/>
                  <c:pt idx="0">
                    <c:v>47.89%</c:v>
                  </c:pt>
                  <c:pt idx="1">
                    <c:v>45.59%</c:v>
                  </c:pt>
                  <c:pt idx="2">
                    <c:v>33.72%</c:v>
                  </c:pt>
                  <c:pt idx="3">
                    <c:v>16.48%</c:v>
                  </c:pt>
                  <c:pt idx="4">
                    <c:v>14.94%</c:v>
                  </c:pt>
                  <c:pt idx="5">
                    <c:v>6.51%</c:v>
                  </c:pt>
                  <c:pt idx="6">
                    <c:v>6.51%</c:v>
                  </c:pt>
                  <c:pt idx="7">
                    <c:v>5.75%</c:v>
                  </c:pt>
                  <c:pt idx="8">
                    <c:v>4.60%</c:v>
                  </c:pt>
                </c15:dlblRangeCache>
              </c15:datalabelsRange>
            </c:ext>
          </c:extLst>
        </c:ser>
        <c:dLbls>
          <c:showLegendKey val="0"/>
          <c:showVal val="0"/>
          <c:showCatName val="0"/>
          <c:showSerName val="0"/>
          <c:showPercent val="0"/>
          <c:showBubbleSize val="0"/>
        </c:dLbls>
        <c:gapWidth val="150"/>
        <c:overlap val="100"/>
        <c:axId val="1325857216"/>
        <c:axId val="1325797848"/>
      </c:barChart>
      <c:catAx>
        <c:axId val="1325857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5797848"/>
        <c:crosses val="autoZero"/>
        <c:auto val="1"/>
        <c:lblAlgn val="ctr"/>
        <c:lblOffset val="100"/>
        <c:noMultiLvlLbl val="0"/>
      </c:catAx>
      <c:valAx>
        <c:axId val="1325797848"/>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5857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5363412002265"/>
          <c:y val="0.416666844731247"/>
        </c:manualLayout>
      </c:layout>
      <c:overlay val="0"/>
      <c:spPr>
        <a:noFill/>
        <a:ln>
          <a:noFill/>
        </a:ln>
        <a:effectLst/>
      </c:spPr>
      <c:tx>
        <c:rich>
          <a:bodyPr/>
          <a:lstStyle/>
          <a:p>
            <a:pPr>
              <a:defRPr/>
            </a:pPr>
          </a:p>
        </c:rich>
      </c:tx>
    </c:title>
    <c:autoTitleDeleted val="0"/>
    <c:plotArea>
      <c:layout>
        <c:manualLayout>
          <c:layoutTarget val="inner"/>
          <c:xMode val="edge"/>
          <c:yMode val="edge"/>
          <c:x val="0.299903105861767"/>
          <c:y val="0.148402960046661"/>
          <c:w val="0.425194006999125"/>
          <c:h val="0.708656678331875"/>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08547008547008"/>
                  <c:y val="-0.03799145299145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529172320217096"/>
                  <c:y val="0.1395814057842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9252556117053"/>
                      <c:h val="0.156469193046934"/>
                    </c:manualLayout>
                  </c15:layout>
                </c:ext>
              </c:extLst>
            </c:dLbl>
            <c:dLbl>
              <c:idx val="2"/>
              <c:layout>
                <c:manualLayout>
                  <c:x val="-0.0990491452991453"/>
                  <c:y val="-0.0624145299145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7542735042735"/>
                      <c:h val="0.158315811965812"/>
                    </c:manualLayout>
                  </c15:layout>
                </c:ext>
              </c:extLst>
            </c:dLbl>
            <c:dLbl>
              <c:idx val="3"/>
              <c:layout>
                <c:manualLayout>
                  <c:x val="-0.0339742945971646"/>
                  <c:y val="-0.14235750381948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830128205128205"/>
                  <c:y val="-0.14591153846153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输出!$DM$5:$DM$9</c:f>
              <c:numCache>
                <c:formatCode>0.00%</c:formatCode>
                <c:ptCount val="5"/>
                <c:pt idx="0">
                  <c:v>0.2552</c:v>
                </c:pt>
                <c:pt idx="1">
                  <c:v>0.436</c:v>
                </c:pt>
                <c:pt idx="2">
                  <c:v>0.2732</c:v>
                </c:pt>
                <c:pt idx="3">
                  <c:v>0.0265</c:v>
                </c:pt>
                <c:pt idx="4">
                  <c:v>0.00910000000000002</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Sheet2!$D$54</c:f>
              <c:strCache>
                <c:ptCount val="1"/>
                <c:pt idx="0">
                  <c:v>就业人数</c:v>
                </c:pt>
              </c:strCache>
            </c:strRef>
          </c:tx>
          <c:spPr>
            <a:solidFill>
              <a:schemeClr val="accent1"/>
            </a:solidFill>
            <a:ln>
              <a:noFill/>
            </a:ln>
            <a:effectLst/>
          </c:spPr>
          <c:invertIfNegative val="0"/>
          <c:dLbls>
            <c:delete val="1"/>
          </c:dLbls>
          <c:cat>
            <c:strRef>
              <c:f>Sheet2!$C$55:$C$57</c:f>
              <c:strCache>
                <c:ptCount val="3"/>
                <c:pt idx="0">
                  <c:v>男性毕业生</c:v>
                </c:pt>
                <c:pt idx="1">
                  <c:v>女性毕业生</c:v>
                </c:pt>
                <c:pt idx="2">
                  <c:v>总体</c:v>
                </c:pt>
              </c:strCache>
            </c:strRef>
          </c:cat>
          <c:val>
            <c:numRef>
              <c:f>Sheet2!$D$55:$D$57</c:f>
              <c:numCache>
                <c:formatCode>General</c:formatCode>
                <c:ptCount val="3"/>
                <c:pt idx="0">
                  <c:v>1771</c:v>
                </c:pt>
                <c:pt idx="1">
                  <c:v>2092</c:v>
                </c:pt>
                <c:pt idx="2">
                  <c:v>3863</c:v>
                </c:pt>
              </c:numCache>
            </c:numRef>
          </c:val>
        </c:ser>
        <c:dLbls>
          <c:showLegendKey val="0"/>
          <c:showVal val="0"/>
          <c:showCatName val="0"/>
          <c:showSerName val="0"/>
          <c:showPercent val="0"/>
          <c:showBubbleSize val="0"/>
        </c:dLbls>
        <c:gapWidth val="219"/>
        <c:overlap val="-27"/>
        <c:axId val="2119652047"/>
        <c:axId val="468693775"/>
      </c:barChart>
      <c:lineChart>
        <c:grouping val="standard"/>
        <c:varyColors val="0"/>
        <c:ser>
          <c:idx val="1"/>
          <c:order val="1"/>
          <c:tx>
            <c:strRef>
              <c:f>Sheet2!$E$54</c:f>
              <c:strCache>
                <c:ptCount val="1"/>
                <c:pt idx="0">
                  <c:v>就业率</c:v>
                </c:pt>
              </c:strCache>
            </c:strRef>
          </c:tx>
          <c:spPr>
            <a:ln w="28575" cap="rnd">
              <a:solidFill>
                <a:schemeClr val="accent3"/>
              </a:solidFill>
              <a:round/>
            </a:ln>
            <a:effectLst/>
          </c:spPr>
          <c:marker>
            <c:symbol val="none"/>
          </c:marker>
          <c:dLbls>
            <c:delete val="1"/>
          </c:dLbls>
          <c:cat>
            <c:strRef>
              <c:f>Sheet2!$C$55:$C$57</c:f>
              <c:strCache>
                <c:ptCount val="3"/>
                <c:pt idx="0">
                  <c:v>男性毕业生</c:v>
                </c:pt>
                <c:pt idx="1">
                  <c:v>女性毕业生</c:v>
                </c:pt>
                <c:pt idx="2">
                  <c:v>总体</c:v>
                </c:pt>
              </c:strCache>
            </c:strRef>
          </c:cat>
          <c:val>
            <c:numRef>
              <c:f>Sheet2!$E$55:$E$57</c:f>
              <c:numCache>
                <c:formatCode>0.00%</c:formatCode>
                <c:ptCount val="3"/>
                <c:pt idx="0">
                  <c:v>0.889056224899598</c:v>
                </c:pt>
                <c:pt idx="1">
                  <c:v>0.867330016583748</c:v>
                </c:pt>
                <c:pt idx="2">
                  <c:v>0.877157129881926</c:v>
                </c:pt>
              </c:numCache>
            </c:numRef>
          </c:val>
          <c:smooth val="0"/>
        </c:ser>
        <c:dLbls>
          <c:showLegendKey val="0"/>
          <c:showVal val="0"/>
          <c:showCatName val="0"/>
          <c:showSerName val="0"/>
          <c:showPercent val="0"/>
          <c:showBubbleSize val="0"/>
        </c:dLbls>
        <c:marker val="0"/>
        <c:smooth val="0"/>
        <c:axId val="2119648847"/>
        <c:axId val="468678799"/>
      </c:lineChart>
      <c:catAx>
        <c:axId val="211965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93775"/>
        <c:crosses val="autoZero"/>
        <c:auto val="1"/>
        <c:lblAlgn val="ctr"/>
        <c:lblOffset val="100"/>
        <c:noMultiLvlLbl val="0"/>
      </c:catAx>
      <c:valAx>
        <c:axId val="4686937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52047"/>
        <c:crosses val="autoZero"/>
        <c:crossBetween val="between"/>
      </c:valAx>
      <c:catAx>
        <c:axId val="211964884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78799"/>
        <c:crosses val="autoZero"/>
        <c:auto val="1"/>
        <c:lblAlgn val="ctr"/>
        <c:lblOffset val="100"/>
        <c:noMultiLvlLbl val="0"/>
      </c:catAx>
      <c:valAx>
        <c:axId val="46867879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9648847"/>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7222333248953"/>
          <c:y val="0.398295490161097"/>
        </c:manualLayout>
      </c:layout>
      <c:overlay val="0"/>
      <c:spPr>
        <a:noFill/>
        <a:ln>
          <a:noFill/>
        </a:ln>
        <a:effectLst/>
      </c:spPr>
      <c:tx>
        <c:rich>
          <a:bodyPr/>
          <a:lstStyle/>
          <a:p>
            <a:pPr>
              <a:defRPr/>
            </a:pPr>
          </a:p>
        </c:rich>
      </c:tx>
    </c:title>
    <c:autoTitleDeleted val="0"/>
    <c:plotArea>
      <c:layout>
        <c:manualLayout>
          <c:layoutTarget val="inner"/>
          <c:xMode val="edge"/>
          <c:yMode val="edge"/>
          <c:x val="0.333744132237277"/>
          <c:y val="0.111660583149703"/>
          <c:w val="0.351730462626182"/>
          <c:h val="0.763769883939033"/>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01762411991581"/>
                  <c:y val="-0.040705135738629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7544097693351"/>
                      <c:h val="0.16483039348711"/>
                    </c:manualLayout>
                  </c15:layout>
                </c:ext>
              </c:extLst>
            </c:dLbl>
            <c:dLbl>
              <c:idx val="1"/>
              <c:layout>
                <c:manualLayout>
                  <c:x val="0.128713289011462"/>
                  <c:y val="0.12378695314647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84700960603275"/>
                  <c:y val="-0.027716728305471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42805107282382"/>
                      <c:h val="0.225050987479024"/>
                    </c:manualLayout>
                  </c15:layout>
                </c:ext>
              </c:extLst>
            </c:dLbl>
            <c:dLbl>
              <c:idx val="3"/>
              <c:layout>
                <c:manualLayout>
                  <c:x val="-0.0882205079694987"/>
                  <c:y val="-0.10855581968359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00139005466956"/>
                  <c:y val="-0.10452623305736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输出!$GL$5:$GL$9</c:f>
              <c:strCache>
                <c:ptCount val="5"/>
                <c:pt idx="0">
                  <c:v>非常愿意</c:v>
                </c:pt>
                <c:pt idx="1">
                  <c:v>比较愿意</c:v>
                </c:pt>
                <c:pt idx="2">
                  <c:v>一般</c:v>
                </c:pt>
                <c:pt idx="3">
                  <c:v>不太愿意</c:v>
                </c:pt>
                <c:pt idx="4">
                  <c:v>不愿意</c:v>
                </c:pt>
              </c:strCache>
            </c:strRef>
          </c:cat>
          <c:val>
            <c:numRef>
              <c:f>输出!$GO$5:$GO$9</c:f>
              <c:numCache>
                <c:formatCode>0.00%</c:formatCode>
                <c:ptCount val="5"/>
                <c:pt idx="0">
                  <c:v>0.3342</c:v>
                </c:pt>
                <c:pt idx="1">
                  <c:v>0.3981</c:v>
                </c:pt>
                <c:pt idx="2">
                  <c:v>0.228</c:v>
                </c:pt>
                <c:pt idx="3">
                  <c:v>0.0258</c:v>
                </c:pt>
                <c:pt idx="4">
                  <c:v>0.0138999999999999</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4983707090888"/>
          <c:y val="0.410221904080172"/>
        </c:manualLayout>
      </c:layout>
      <c:overlay val="0"/>
      <c:spPr>
        <a:noFill/>
        <a:ln>
          <a:noFill/>
        </a:ln>
        <a:effectLst/>
      </c:spPr>
      <c:tx>
        <c:rich>
          <a:bodyPr/>
          <a:lstStyle/>
          <a:p>
            <a:pPr>
              <a:defRPr/>
            </a:pPr>
          </a:p>
        </c:rich>
      </c:tx>
    </c:title>
    <c:autoTitleDeleted val="0"/>
    <c:plotArea>
      <c:layout>
        <c:manualLayout>
          <c:layoutTarget val="inner"/>
          <c:xMode val="edge"/>
          <c:yMode val="edge"/>
          <c:x val="0.184529914529915"/>
          <c:y val="0.173675213675214"/>
          <c:w val="0.647222222222222"/>
          <c:h val="0.64722222222222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4608141025641"/>
                  <c:y val="-0.064336111111111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0839743589744"/>
                      <c:h val="0.182905128205128"/>
                    </c:manualLayout>
                  </c15:layout>
                </c:ext>
              </c:extLst>
            </c:dLbl>
            <c:dLbl>
              <c:idx val="1"/>
              <c:layout>
                <c:manualLayout>
                  <c:x val="-0.0460380986976357"/>
                  <c:y val="0.16577591640936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58205128205128"/>
                      <c:h val="0.175602136752137"/>
                    </c:manualLayout>
                  </c15:layout>
                </c:ext>
              </c:extLst>
            </c:dLbl>
            <c:dLbl>
              <c:idx val="2"/>
              <c:layout>
                <c:manualLayout>
                  <c:x val="-0.131436965811966"/>
                  <c:y val="-0.11057927350427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51282051282"/>
                      <c:h val="0.208166239316239"/>
                    </c:manualLayout>
                  </c15:layout>
                </c:ext>
              </c:extLst>
            </c:dLbl>
            <c:dLbl>
              <c:idx val="3"/>
              <c:layout>
                <c:manualLayout>
                  <c:x val="-0.0187660256410257"/>
                  <c:y val="-0.148216666666667"/>
                </c:manualLayout>
              </c:layout>
              <c:tx>
                <c:rich>
                  <a:bodyPr rot="0" spcFirstLastPara="1" vertOverflow="ellipsis" vert="horz" wrap="square" lIns="38100" tIns="19050" rIns="38100" bIns="19050" anchor="ctr" anchorCtr="1"/>
                  <a:lstStyle/>
                  <a:p>
                    <a:fld id="{fe09d153-cbc5-4ee8-841c-f8a1f00ae8a0}" type="CATEGORYNAME">
                      <a:t>[CATEGORY NAME]</a:t>
                    </a:fld>
                    <a:r>
                      <a:t>
</a:t>
                    </a:r>
                    <a:fld id="{c8749821-29dd-47d4-87f4-582f2d67a35c}" type="VALUE">
                      <a:t>[VALUE]</a:t>
                    </a:fld>
                    <a:endParaRPr lang="zh-CN" altLang="en-US" b="0" i="0" u="none" strike="noStrike" baseline="0">
                      <a:latin typeface="Times New Roman" panose="02020603050405020304" charset="0"/>
                      <a:ea typeface="Times New Roman" panose="02020603050405020304" charset="0"/>
                      <a:cs typeface="+mn-ea"/>
                    </a:endParaRPr>
                  </a:p>
                  <a:p>
                    <a:fld id="{4bd0d218-be6d-4f26-aab2-87d8be979cc5}" type="CATEGORYNAME">
                      <a:t>[CATEGORY NAME]</a:t>
                    </a:fld>
                    <a:r>
                      <a:t>
</a:t>
                    </a:r>
                    <a:fld id="{5204ebd8-c694-4a2e-af9c-ac968e3b7103}" type="VALUE">
                      <a:t>[VALUE]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33376068376068"/>
                      <c:h val="0.208166239316239"/>
                    </c:manualLayout>
                  </c15:layout>
                </c:ext>
              </c:extLst>
            </c:dLbl>
            <c:dLbl>
              <c:idx val="4"/>
              <c:layout>
                <c:manualLayout>
                  <c:x val="0.272978205128205"/>
                  <c:y val="-0.14309743589743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输出!$DU$5:$DU$9</c:f>
              <c:numCache>
                <c:formatCode>0.00%</c:formatCode>
                <c:ptCount val="5"/>
                <c:pt idx="0">
                  <c:v>0.333</c:v>
                </c:pt>
                <c:pt idx="1">
                  <c:v>0.4481</c:v>
                </c:pt>
                <c:pt idx="2">
                  <c:v>0.1927</c:v>
                </c:pt>
                <c:pt idx="3">
                  <c:v>0.0199</c:v>
                </c:pt>
                <c:pt idx="4">
                  <c:v>0.00630000000000003</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2D618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Lbls>
            <c:delete val="1"/>
          </c:dLbls>
          <c:cat>
            <c:strRef>
              <c:f>输出!$FO$23:$FO$29</c:f>
              <c:strCache>
                <c:ptCount val="7"/>
                <c:pt idx="0">
                  <c:v>实践教学</c:v>
                </c:pt>
                <c:pt idx="1">
                  <c:v>专业课内容及安排</c:v>
                </c:pt>
                <c:pt idx="2">
                  <c:v>教学方法和手段</c:v>
                </c:pt>
                <c:pt idx="3">
                  <c:v>考核方法与教学评价</c:v>
                </c:pt>
                <c:pt idx="4">
                  <c:v>公共课内容及安排</c:v>
                </c:pt>
                <c:pt idx="5">
                  <c:v>师资授课水平</c:v>
                </c:pt>
                <c:pt idx="6">
                  <c:v>其他</c:v>
                </c:pt>
              </c:strCache>
            </c:strRef>
          </c:cat>
          <c:val>
            <c:numRef>
              <c:f>输出!$FQ$23:$FQ$29</c:f>
              <c:numCache>
                <c:formatCode>0.00%</c:formatCode>
                <c:ptCount val="7"/>
                <c:pt idx="0">
                  <c:v>0.660579776306779</c:v>
                </c:pt>
                <c:pt idx="1">
                  <c:v>0.591645742981055</c:v>
                </c:pt>
                <c:pt idx="2">
                  <c:v>0.587765350376626</c:v>
                </c:pt>
                <c:pt idx="3">
                  <c:v>0.391006619493266</c:v>
                </c:pt>
                <c:pt idx="4">
                  <c:v>0.339191965304725</c:v>
                </c:pt>
                <c:pt idx="5">
                  <c:v>0.286236019173705</c:v>
                </c:pt>
                <c:pt idx="6">
                  <c:v>0.143574526363844</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404af029-1121-4363-bcf1-c09b61eeda8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020ca4da-9523-479e-8f9a-cb28c7583dc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0c8e78cd-4442-4fc1-b49d-e01f274c508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c14bae21-f68f-4011-99b3-eef5ad9d7c2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9a0531ce-d105-4dee-aa14-6e9e7b4f80c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c0ec0eff-9b2f-43a3-8195-dd25d9677ae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9784c2ba-1049-4377-bf02-c45b0583bdb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输出!$FO$23:$FO$29</c:f>
              <c:strCache>
                <c:ptCount val="7"/>
                <c:pt idx="0">
                  <c:v>实践教学</c:v>
                </c:pt>
                <c:pt idx="1">
                  <c:v>专业课内容及安排</c:v>
                </c:pt>
                <c:pt idx="2">
                  <c:v>教学方法和手段</c:v>
                </c:pt>
                <c:pt idx="3">
                  <c:v>考核方法与教学评价</c:v>
                </c:pt>
                <c:pt idx="4">
                  <c:v>公共课内容及安排</c:v>
                </c:pt>
                <c:pt idx="5">
                  <c:v>师资授课水平</c:v>
                </c:pt>
                <c:pt idx="6">
                  <c:v>其他</c:v>
                </c:pt>
              </c:strCache>
            </c:strRef>
          </c:cat>
          <c:val>
            <c:numRef>
              <c:f>输出!$FR$23:$FR$29</c:f>
              <c:numCache>
                <c:formatCode>0.00_);[Red]\(0.00\)</c:formatCode>
                <c:ptCount val="7"/>
                <c:pt idx="0">
                  <c:v>0.132115955261356</c:v>
                </c:pt>
                <c:pt idx="1">
                  <c:v>0.20104998858708</c:v>
                </c:pt>
                <c:pt idx="2">
                  <c:v>0.204930381191509</c:v>
                </c:pt>
                <c:pt idx="3">
                  <c:v>0.401689112074869</c:v>
                </c:pt>
                <c:pt idx="4">
                  <c:v>0.45350376626341</c:v>
                </c:pt>
                <c:pt idx="5">
                  <c:v>0.50645971239443</c:v>
                </c:pt>
                <c:pt idx="6">
                  <c:v>0.649121205204291</c:v>
                </c:pt>
              </c:numCache>
            </c:numRef>
          </c:val>
          <c:extLst>
            <c:ext xmlns:c15="http://schemas.microsoft.com/office/drawing/2012/chart" uri="{02D57815-91ED-43cb-92C2-25804820EDAC}">
              <c15:datalabelsRange>
                <c15:f>输出!$FQ$23:$FQ$29</c15:f>
                <c15:dlblRangeCache>
                  <c:ptCount val="7"/>
                  <c:pt idx="0">
                    <c:v>66.06%</c:v>
                  </c:pt>
                  <c:pt idx="1">
                    <c:v>59.16%</c:v>
                  </c:pt>
                  <c:pt idx="2">
                    <c:v>58.78%</c:v>
                  </c:pt>
                  <c:pt idx="3">
                    <c:v>39.10%</c:v>
                  </c:pt>
                  <c:pt idx="4">
                    <c:v>33.92%</c:v>
                  </c:pt>
                  <c:pt idx="5">
                    <c:v>28.62%</c:v>
                  </c:pt>
                  <c:pt idx="6">
                    <c:v>14.36%</c:v>
                  </c:pt>
                </c15:dlblRangeCache>
              </c15:datalabelsRange>
            </c:ext>
          </c:extLst>
        </c:ser>
        <c:dLbls>
          <c:showLegendKey val="0"/>
          <c:showVal val="0"/>
          <c:showCatName val="0"/>
          <c:showSerName val="0"/>
          <c:showPercent val="0"/>
          <c:showBubbleSize val="0"/>
        </c:dLbls>
        <c:gapWidth val="150"/>
        <c:overlap val="100"/>
        <c:axId val="1735997264"/>
        <c:axId val="1735997592"/>
      </c:barChart>
      <c:catAx>
        <c:axId val="173599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592"/>
        <c:crosses val="autoZero"/>
        <c:auto val="1"/>
        <c:lblAlgn val="ctr"/>
        <c:lblOffset val="100"/>
        <c:noMultiLvlLbl val="0"/>
      </c:catAx>
      <c:valAx>
        <c:axId val="173599759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2948717948718"/>
          <c:y val="0.378675213675214"/>
        </c:manualLayout>
      </c:layout>
      <c:overlay val="0"/>
      <c:spPr>
        <a:noFill/>
        <a:ln>
          <a:noFill/>
        </a:ln>
        <a:effectLst/>
      </c:spPr>
      <c:tx>
        <c:rich>
          <a:bodyPr/>
          <a:lstStyle/>
          <a:p>
            <a:pPr>
              <a:defRPr/>
            </a:pPr>
          </a:p>
        </c:rich>
      </c:tx>
    </c:title>
    <c:autoTitleDeleted val="0"/>
    <c:plotArea>
      <c:layout>
        <c:manualLayout>
          <c:layoutTarget val="inner"/>
          <c:xMode val="edge"/>
          <c:yMode val="edge"/>
          <c:x val="0.175073931623932"/>
          <c:y val="0.134866239316239"/>
          <c:w val="0.669361965811966"/>
          <c:h val="0.669361965811966"/>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5230811965812"/>
                  <c:y val="-0.0651279914529914"/>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4230769230769"/>
                      <c:h val="0.153892735042735"/>
                    </c:manualLayout>
                  </c15:layout>
                </c:ext>
              </c:extLst>
            </c:dLbl>
            <c:dLbl>
              <c:idx val="1"/>
              <c:layout>
                <c:manualLayout>
                  <c:x val="0.0271367521367521"/>
                  <c:y val="0.15467970085470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98504273504273"/>
                      <c:h val="0.181029487179487"/>
                    </c:manualLayout>
                  </c15:layout>
                </c:ext>
              </c:extLst>
            </c:dLbl>
            <c:dLbl>
              <c:idx val="2"/>
              <c:layout>
                <c:manualLayout>
                  <c:x val="-0.164307691541413"/>
                  <c:y val="0.0029422582986474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05941027173584"/>
                      <c:h val="0.169627678990457"/>
                    </c:manualLayout>
                  </c15:layout>
                </c:ext>
              </c:extLst>
            </c:dLbl>
            <c:dLbl>
              <c:idx val="3"/>
              <c:layout>
                <c:manualLayout>
                  <c:x val="-0.184529914529915"/>
                  <c:y val="-0.13025619658119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5508547008547"/>
                      <c:h val="0.153892735042735"/>
                    </c:manualLayout>
                  </c15:layout>
                </c:ext>
              </c:extLst>
            </c:dLbl>
            <c:dLbl>
              <c:idx val="4"/>
              <c:layout>
                <c:manualLayout>
                  <c:x val="0.233376068376068"/>
                  <c:y val="-0.11397435897435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输出!$EC$5:$EC$9</c:f>
              <c:numCache>
                <c:formatCode>0.00%</c:formatCode>
                <c:ptCount val="5"/>
                <c:pt idx="0">
                  <c:v>0.2903</c:v>
                </c:pt>
                <c:pt idx="1">
                  <c:v>0.4058</c:v>
                </c:pt>
                <c:pt idx="2">
                  <c:v>0.2472</c:v>
                </c:pt>
                <c:pt idx="3">
                  <c:v>0.0393</c:v>
                </c:pt>
                <c:pt idx="4">
                  <c:v>0.0174</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2D618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delete val="1"/>
          </c:dLbls>
          <c:cat>
            <c:strRef>
              <c:f>输出!$FW$23:$FW$27</c:f>
              <c:strCache>
                <c:ptCount val="5"/>
                <c:pt idx="0">
                  <c:v>课程的实践性教学
（课程作业、实验）</c:v>
                </c:pt>
                <c:pt idx="1">
                  <c:v>专业实习、见习</c:v>
                </c:pt>
                <c:pt idx="2">
                  <c:v>课程设计</c:v>
                </c:pt>
                <c:pt idx="3">
                  <c:v>毕业论文、毕业设计</c:v>
                </c:pt>
                <c:pt idx="4">
                  <c:v>其他</c:v>
                </c:pt>
              </c:strCache>
            </c:strRef>
          </c:cat>
          <c:val>
            <c:numRef>
              <c:f>输出!$FY$23:$FY$27</c:f>
              <c:numCache>
                <c:formatCode>0.00%</c:formatCode>
                <c:ptCount val="5"/>
                <c:pt idx="0">
                  <c:v>0.427756220041086</c:v>
                </c:pt>
                <c:pt idx="1">
                  <c:v>0.225519287833828</c:v>
                </c:pt>
                <c:pt idx="2">
                  <c:v>0.141520200867382</c:v>
                </c:pt>
                <c:pt idx="3">
                  <c:v>0.113216160693905</c:v>
                </c:pt>
                <c:pt idx="4">
                  <c:v>0.0919881305637982</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b894554b-61f9-4341-b6d4-fa693681b98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5def0dd0-eed9-49a2-b9e1-570cbce0f95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76583d22-1b9f-4984-93ba-5136cc3f366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d512528-2902-487b-8aae-0461f0c24dd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e263533e-9f77-433c-b66e-0621c2a2fb8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输出!$FW$23:$FW$27</c:f>
              <c:strCache>
                <c:ptCount val="5"/>
                <c:pt idx="0">
                  <c:v>课程的实践性教学
（课程作业、实验）</c:v>
                </c:pt>
                <c:pt idx="1">
                  <c:v>专业实习、见习</c:v>
                </c:pt>
                <c:pt idx="2">
                  <c:v>课程设计</c:v>
                </c:pt>
                <c:pt idx="3">
                  <c:v>毕业论文、毕业设计</c:v>
                </c:pt>
                <c:pt idx="4">
                  <c:v>其他</c:v>
                </c:pt>
              </c:strCache>
            </c:strRef>
          </c:cat>
          <c:val>
            <c:numRef>
              <c:f>输出!$FZ$23:$FZ$27</c:f>
              <c:numCache>
                <c:formatCode>0.00_);[Red]\(0.00\)</c:formatCode>
                <c:ptCount val="5"/>
                <c:pt idx="0">
                  <c:v>0.0855512440082172</c:v>
                </c:pt>
                <c:pt idx="1">
                  <c:v>0.287788176215476</c:v>
                </c:pt>
                <c:pt idx="2">
                  <c:v>0.371787263181922</c:v>
                </c:pt>
                <c:pt idx="3">
                  <c:v>0.400091303355398</c:v>
                </c:pt>
                <c:pt idx="4">
                  <c:v>0.421319333485505</c:v>
                </c:pt>
              </c:numCache>
            </c:numRef>
          </c:val>
          <c:extLst>
            <c:ext xmlns:c15="http://schemas.microsoft.com/office/drawing/2012/chart" uri="{02D57815-91ED-43cb-92C2-25804820EDAC}">
              <c15:datalabelsRange>
                <c15:f>输出!$FY$23:$FY$27</c15:f>
                <c15:dlblRangeCache>
                  <c:ptCount val="5"/>
                  <c:pt idx="0">
                    <c:v>42.78%</c:v>
                  </c:pt>
                  <c:pt idx="1">
                    <c:v>22.55%</c:v>
                  </c:pt>
                  <c:pt idx="2">
                    <c:v>14.15%</c:v>
                  </c:pt>
                  <c:pt idx="3">
                    <c:v>11.32%</c:v>
                  </c:pt>
                  <c:pt idx="4">
                    <c:v>9.20%</c:v>
                  </c:pt>
                </c15:dlblRangeCache>
              </c15:datalabelsRange>
            </c:ext>
          </c:extLst>
        </c:ser>
        <c:dLbls>
          <c:showLegendKey val="0"/>
          <c:showVal val="0"/>
          <c:showCatName val="0"/>
          <c:showSerName val="0"/>
          <c:showPercent val="0"/>
          <c:showBubbleSize val="0"/>
        </c:dLbls>
        <c:gapWidth val="150"/>
        <c:overlap val="100"/>
        <c:axId val="1735997264"/>
        <c:axId val="1735997592"/>
      </c:barChart>
      <c:catAx>
        <c:axId val="173599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592"/>
        <c:crosses val="autoZero"/>
        <c:auto val="1"/>
        <c:lblAlgn val="ctr"/>
        <c:lblOffset val="100"/>
        <c:noMultiLvlLbl val="0"/>
      </c:catAx>
      <c:valAx>
        <c:axId val="173599759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376068376068"/>
          <c:y val="0.400384615384615"/>
        </c:manualLayout>
      </c:layout>
      <c:overlay val="0"/>
      <c:spPr>
        <a:noFill/>
        <a:ln>
          <a:noFill/>
        </a:ln>
        <a:effectLst/>
      </c:spPr>
      <c:tx>
        <c:rich>
          <a:bodyPr/>
          <a:lstStyle/>
          <a:p>
            <a:pPr>
              <a:defRPr/>
            </a:pPr>
          </a:p>
        </c:rich>
      </c:tx>
    </c:title>
    <c:autoTitleDeleted val="0"/>
    <c:plotArea>
      <c:layout>
        <c:manualLayout>
          <c:layoutTarget val="inner"/>
          <c:xMode val="edge"/>
          <c:yMode val="edge"/>
          <c:x val="0.175073931623932"/>
          <c:y val="0.154711111111111"/>
          <c:w val="0.663934615384615"/>
          <c:h val="0.663934615384615"/>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165534188034188"/>
                  <c:y val="-0.067842094017094"/>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27948717948718"/>
                      <c:h val="0.202738888888889"/>
                    </c:manualLayout>
                  </c15:layout>
                </c:ext>
              </c:extLst>
            </c:dLbl>
            <c:dLbl>
              <c:idx val="1"/>
              <c:layout>
                <c:manualLayout>
                  <c:x val="-0.00271367521367521"/>
                  <c:y val="0.15467948717948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03931623931624"/>
                      <c:h val="0.181029487179487"/>
                    </c:manualLayout>
                  </c15:layout>
                </c:ext>
              </c:extLst>
            </c:dLbl>
            <c:dLbl>
              <c:idx val="2"/>
              <c:layout>
                <c:manualLayout>
                  <c:x val="-0.14653831771707"/>
                  <c:y val="-0.065128046239810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1499909187064"/>
                  <c:y val="-0.130257374544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98504471201615"/>
                      <c:h val="0.186457120268379"/>
                    </c:manualLayout>
                  </c15:layout>
                </c:ext>
              </c:extLst>
            </c:dLbl>
            <c:dLbl>
              <c:idx val="4"/>
              <c:layout>
                <c:manualLayout>
                  <c:x val="0.147948717948718"/>
                  <c:y val="-0.14591153846153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输出!$EJ$5:$EJ$9</c:f>
              <c:numCache>
                <c:formatCode>0.00%</c:formatCode>
                <c:ptCount val="5"/>
                <c:pt idx="0">
                  <c:v>0.2865</c:v>
                </c:pt>
                <c:pt idx="1">
                  <c:v>0.4163</c:v>
                </c:pt>
                <c:pt idx="2">
                  <c:v>0.2438</c:v>
                </c:pt>
                <c:pt idx="3">
                  <c:v>0.0409</c:v>
                </c:pt>
                <c:pt idx="4">
                  <c:v>0.0125</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113F6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Lbls>
            <c:delete val="1"/>
          </c:dLbls>
          <c:cat>
            <c:strRef>
              <c:f>输出!$FG$23:$FG$31</c:f>
              <c:strCache>
                <c:ptCount val="9"/>
                <c:pt idx="0">
                  <c:v>本专业课程的实用性</c:v>
                </c:pt>
                <c:pt idx="1">
                  <c:v>专业课开设的先后顺序</c:v>
                </c:pt>
                <c:pt idx="2">
                  <c:v>实践课程安排次数</c:v>
                </c:pt>
                <c:pt idx="3">
                  <c:v>各学期开设课程门数</c:v>
                </c:pt>
                <c:pt idx="4">
                  <c:v>课程内容更新</c:v>
                </c:pt>
                <c:pt idx="5">
                  <c:v>选修/必修的比重</c:v>
                </c:pt>
                <c:pt idx="6">
                  <c:v>每周上课时间安排</c:v>
                </c:pt>
                <c:pt idx="7">
                  <c:v>公共课程时间安排</c:v>
                </c:pt>
                <c:pt idx="8">
                  <c:v>其他</c:v>
                </c:pt>
              </c:strCache>
            </c:strRef>
          </c:cat>
          <c:val>
            <c:numRef>
              <c:f>输出!$FI$23:$FI$31</c:f>
              <c:numCache>
                <c:formatCode>0.00%</c:formatCode>
                <c:ptCount val="9"/>
                <c:pt idx="0">
                  <c:v>0.70052499429354</c:v>
                </c:pt>
                <c:pt idx="1">
                  <c:v>0.473179639351746</c:v>
                </c:pt>
                <c:pt idx="2">
                  <c:v>0.453321159552614</c:v>
                </c:pt>
                <c:pt idx="3">
                  <c:v>0.340789774024195</c:v>
                </c:pt>
                <c:pt idx="4">
                  <c:v>0.307235790915316</c:v>
                </c:pt>
                <c:pt idx="5">
                  <c:v>0.246062542798448</c:v>
                </c:pt>
                <c:pt idx="6">
                  <c:v>0.213649851632047</c:v>
                </c:pt>
                <c:pt idx="7">
                  <c:v>0.163661264551472</c:v>
                </c:pt>
                <c:pt idx="8">
                  <c:v>0.101574982880621</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8db049bc-427f-40d1-a0cd-1d696972aef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8ee401ca-0545-4f25-811a-c58fd10c31b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7db61601-4bbf-4158-9528-80d516da476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7994d55-c411-4062-bdce-8d0a6404963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4cce1a8c-48b0-4d97-baae-02146289082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2631dc9d-2f9f-44f4-aa17-98741360f73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5820df88-99da-4512-825c-0d100ba120b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5156b68c-4436-4e3a-b914-c59265eab55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379e47f8-d2aa-4c8c-bac9-021174109b8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输出!$FG$23:$FG$31</c:f>
              <c:strCache>
                <c:ptCount val="9"/>
                <c:pt idx="0">
                  <c:v>本专业课程的实用性</c:v>
                </c:pt>
                <c:pt idx="1">
                  <c:v>专业课开设的先后顺序</c:v>
                </c:pt>
                <c:pt idx="2">
                  <c:v>实践课程安排次数</c:v>
                </c:pt>
                <c:pt idx="3">
                  <c:v>各学期开设课程门数</c:v>
                </c:pt>
                <c:pt idx="4">
                  <c:v>课程内容更新</c:v>
                </c:pt>
                <c:pt idx="5">
                  <c:v>选修/必修的比重</c:v>
                </c:pt>
                <c:pt idx="6">
                  <c:v>每周上课时间安排</c:v>
                </c:pt>
                <c:pt idx="7">
                  <c:v>公共课程时间安排</c:v>
                </c:pt>
                <c:pt idx="8">
                  <c:v>其他</c:v>
                </c:pt>
              </c:strCache>
            </c:strRef>
          </c:cat>
          <c:val>
            <c:numRef>
              <c:f>输出!$FJ$23:$FJ$31</c:f>
              <c:numCache>
                <c:formatCode>0.00_);[Red]\(0.00\)</c:formatCode>
                <c:ptCount val="9"/>
                <c:pt idx="0">
                  <c:v>0.140104998858708</c:v>
                </c:pt>
                <c:pt idx="1">
                  <c:v>0.367450353800502</c:v>
                </c:pt>
                <c:pt idx="2">
                  <c:v>0.387308833599635</c:v>
                </c:pt>
                <c:pt idx="3">
                  <c:v>0.499840219128053</c:v>
                </c:pt>
                <c:pt idx="4">
                  <c:v>0.533394202236932</c:v>
                </c:pt>
                <c:pt idx="5">
                  <c:v>0.594567450353801</c:v>
                </c:pt>
                <c:pt idx="6">
                  <c:v>0.626980141520201</c:v>
                </c:pt>
                <c:pt idx="7">
                  <c:v>0.676968728600776</c:v>
                </c:pt>
                <c:pt idx="8">
                  <c:v>0.739055010271628</c:v>
                </c:pt>
              </c:numCache>
            </c:numRef>
          </c:val>
          <c:extLst>
            <c:ext xmlns:c15="http://schemas.microsoft.com/office/drawing/2012/chart" uri="{02D57815-91ED-43cb-92C2-25804820EDAC}">
              <c15:datalabelsRange>
                <c15:f>输出!$FI$23:$FI$31</c15:f>
                <c15:dlblRangeCache>
                  <c:ptCount val="9"/>
                  <c:pt idx="0">
                    <c:v>70.05%</c:v>
                  </c:pt>
                  <c:pt idx="1">
                    <c:v>47.32%</c:v>
                  </c:pt>
                  <c:pt idx="2">
                    <c:v>45.33%</c:v>
                  </c:pt>
                  <c:pt idx="3">
                    <c:v>34.08%</c:v>
                  </c:pt>
                  <c:pt idx="4">
                    <c:v>30.72%</c:v>
                  </c:pt>
                  <c:pt idx="5">
                    <c:v>24.61%</c:v>
                  </c:pt>
                  <c:pt idx="6">
                    <c:v>21.36%</c:v>
                  </c:pt>
                  <c:pt idx="7">
                    <c:v>16.37%</c:v>
                  </c:pt>
                  <c:pt idx="8">
                    <c:v>10.16%</c:v>
                  </c:pt>
                </c15:dlblRangeCache>
              </c15:datalabelsRange>
            </c:ext>
          </c:extLst>
        </c:ser>
        <c:dLbls>
          <c:showLegendKey val="0"/>
          <c:showVal val="0"/>
          <c:showCatName val="0"/>
          <c:showSerName val="0"/>
          <c:showPercent val="0"/>
          <c:showBubbleSize val="0"/>
        </c:dLbls>
        <c:gapWidth val="150"/>
        <c:overlap val="100"/>
        <c:axId val="1735997264"/>
        <c:axId val="1735997592"/>
      </c:barChart>
      <c:catAx>
        <c:axId val="173599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592"/>
        <c:crosses val="autoZero"/>
        <c:auto val="1"/>
        <c:lblAlgn val="ctr"/>
        <c:lblOffset val="100"/>
        <c:noMultiLvlLbl val="0"/>
      </c:catAx>
      <c:valAx>
        <c:axId val="173599759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5997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5363412002265"/>
          <c:y val="0.416666844731247"/>
        </c:manualLayout>
      </c:layout>
      <c:overlay val="0"/>
      <c:spPr>
        <a:noFill/>
        <a:ln>
          <a:noFill/>
        </a:ln>
        <a:effectLst/>
      </c:spPr>
      <c:tx>
        <c:rich>
          <a:bodyPr/>
          <a:lstStyle/>
          <a:p>
            <a:pPr>
              <a:defRPr/>
            </a:pPr>
          </a:p>
        </c:rich>
      </c:tx>
    </c:title>
    <c:autoTitleDeleted val="0"/>
    <c:plotArea>
      <c:layout>
        <c:manualLayout>
          <c:layoutTarget val="inner"/>
          <c:xMode val="edge"/>
          <c:yMode val="edge"/>
          <c:x val="0.299903105861767"/>
          <c:y val="0.148402960046661"/>
          <c:w val="0.425194006999125"/>
          <c:h val="0.708656678331875"/>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976923076923077"/>
                  <c:y val="-0.048846153846153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
                  <c:y val="0.14111111111111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49785788309704"/>
                  <c:y val="-0.013568521031207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2442440624366"/>
                      <c:h val="0.153975576662144"/>
                    </c:manualLayout>
                  </c15:layout>
                </c:ext>
              </c:extLst>
            </c:dLbl>
            <c:dLbl>
              <c:idx val="3"/>
              <c:layout>
                <c:manualLayout>
                  <c:x val="-0.0542732294148442"/>
                  <c:y val="-0.14111090930458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678421778010448"/>
                  <c:y val="-0.14508872958044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输出!$DK$5:$DK$9</c:f>
              <c:strCache>
                <c:ptCount val="5"/>
                <c:pt idx="0">
                  <c:v>非常满意</c:v>
                </c:pt>
                <c:pt idx="1">
                  <c:v>比较满意</c:v>
                </c:pt>
                <c:pt idx="2">
                  <c:v>一般</c:v>
                </c:pt>
                <c:pt idx="3">
                  <c:v>不太满意</c:v>
                </c:pt>
                <c:pt idx="4">
                  <c:v>不满意</c:v>
                </c:pt>
              </c:strCache>
            </c:strRef>
          </c:cat>
          <c:val>
            <c:numRef>
              <c:f>输出!$ES$5:$ES$9</c:f>
              <c:numCache>
                <c:formatCode>0.00%</c:formatCode>
                <c:ptCount val="5"/>
                <c:pt idx="0">
                  <c:v>0.2899</c:v>
                </c:pt>
                <c:pt idx="1">
                  <c:v>0.4163</c:v>
                </c:pt>
                <c:pt idx="2">
                  <c:v>0.2543</c:v>
                </c:pt>
                <c:pt idx="3">
                  <c:v>0.0313</c:v>
                </c:pt>
                <c:pt idx="4">
                  <c:v>0.00819999999999992</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85268025581"/>
          <c:y val="0.140601898636978"/>
          <c:w val="0.36202877722394"/>
          <c:h val="0.72405755444788"/>
        </c:manualLayout>
      </c:layout>
      <c:doughnutChart>
        <c:varyColors val="1"/>
        <c:ser>
          <c:idx val="1"/>
          <c:order val="1"/>
          <c:tx>
            <c:strRef>
              <c:f>输出!$FA$47</c:f>
              <c:strCache>
                <c:ptCount val="1"/>
                <c:pt idx="0">
                  <c:v>辅助1</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输出!$FA$48:$FA$55</c:f>
              <c:numCache>
                <c:formatCode>General</c:formatCode>
                <c:ptCount val="8"/>
                <c:pt idx="0">
                  <c:v>1</c:v>
                </c:pt>
                <c:pt idx="1">
                  <c:v>1</c:v>
                </c:pt>
                <c:pt idx="2">
                  <c:v>1</c:v>
                </c:pt>
                <c:pt idx="3">
                  <c:v>1</c:v>
                </c:pt>
                <c:pt idx="4">
                  <c:v>1</c:v>
                </c:pt>
                <c:pt idx="5">
                  <c:v>1</c:v>
                </c:pt>
                <c:pt idx="6">
                  <c:v>1</c:v>
                </c:pt>
                <c:pt idx="7">
                  <c:v>1</c:v>
                </c:pt>
              </c:numCache>
            </c:numRef>
          </c:val>
        </c:ser>
        <c:ser>
          <c:idx val="2"/>
          <c:order val="2"/>
          <c:tx>
            <c:strRef>
              <c:f>输出!$FB$47</c:f>
              <c:strCache>
                <c:ptCount val="1"/>
                <c:pt idx="0">
                  <c:v>辅助2</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输出!$FB$48:$FB$55</c:f>
              <c:numCache>
                <c:formatCode>General</c:formatCode>
                <c:ptCount val="8"/>
                <c:pt idx="0">
                  <c:v>2</c:v>
                </c:pt>
                <c:pt idx="1">
                  <c:v>2</c:v>
                </c:pt>
                <c:pt idx="2">
                  <c:v>2</c:v>
                </c:pt>
                <c:pt idx="3">
                  <c:v>2</c:v>
                </c:pt>
                <c:pt idx="4">
                  <c:v>2</c:v>
                </c:pt>
                <c:pt idx="5">
                  <c:v>2</c:v>
                </c:pt>
                <c:pt idx="6">
                  <c:v>2</c:v>
                </c:pt>
                <c:pt idx="7">
                  <c:v>2</c:v>
                </c:pt>
              </c:numCache>
            </c:numRef>
          </c:val>
        </c:ser>
        <c:ser>
          <c:idx val="3"/>
          <c:order val="3"/>
          <c:tx>
            <c:strRef>
              <c:f>输出!$FC$47</c:f>
              <c:strCache>
                <c:ptCount val="1"/>
                <c:pt idx="0">
                  <c:v>辅助3</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输出!$FC$48:$FC$55</c:f>
              <c:numCache>
                <c:formatCode>General</c:formatCode>
                <c:ptCount val="8"/>
                <c:pt idx="0">
                  <c:v>3</c:v>
                </c:pt>
                <c:pt idx="1">
                  <c:v>3</c:v>
                </c:pt>
                <c:pt idx="2">
                  <c:v>3</c:v>
                </c:pt>
                <c:pt idx="3">
                  <c:v>3</c:v>
                </c:pt>
                <c:pt idx="4">
                  <c:v>3</c:v>
                </c:pt>
                <c:pt idx="5">
                  <c:v>3</c:v>
                </c:pt>
                <c:pt idx="6">
                  <c:v>3</c:v>
                </c:pt>
                <c:pt idx="7">
                  <c:v>3</c:v>
                </c:pt>
              </c:numCache>
            </c:numRef>
          </c:val>
        </c:ser>
        <c:ser>
          <c:idx val="4"/>
          <c:order val="4"/>
          <c:tx>
            <c:strRef>
              <c:f>输出!$FD$47</c:f>
              <c:strCache>
                <c:ptCount val="1"/>
                <c:pt idx="0">
                  <c:v>辅助4</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输出!$FD$48:$FD$55</c:f>
              <c:numCache>
                <c:formatCode>General</c:formatCode>
                <c:ptCount val="8"/>
                <c:pt idx="0">
                  <c:v>4</c:v>
                </c:pt>
                <c:pt idx="1">
                  <c:v>4</c:v>
                </c:pt>
                <c:pt idx="2">
                  <c:v>4</c:v>
                </c:pt>
                <c:pt idx="3">
                  <c:v>4</c:v>
                </c:pt>
                <c:pt idx="4">
                  <c:v>4</c:v>
                </c:pt>
                <c:pt idx="5">
                  <c:v>4</c:v>
                </c:pt>
                <c:pt idx="6">
                  <c:v>4</c:v>
                </c:pt>
                <c:pt idx="7">
                  <c:v>4</c:v>
                </c:pt>
              </c:numCache>
            </c:numRef>
          </c:val>
        </c:ser>
        <c:ser>
          <c:idx val="5"/>
          <c:order val="5"/>
          <c:tx>
            <c:strRef>
              <c:f>输出!$FE$47</c:f>
              <c:strCache>
                <c:ptCount val="1"/>
                <c:pt idx="0">
                  <c:v>辅助5</c:v>
                </c:pt>
              </c:strCache>
            </c:strRef>
          </c:tx>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输出!$FE$48:$FE$55</c:f>
              <c:numCache>
                <c:formatCode>General</c:formatCode>
                <c:ptCount val="8"/>
                <c:pt idx="0">
                  <c:v>5</c:v>
                </c:pt>
                <c:pt idx="1">
                  <c:v>5</c:v>
                </c:pt>
                <c:pt idx="2">
                  <c:v>5</c:v>
                </c:pt>
                <c:pt idx="3">
                  <c:v>5</c:v>
                </c:pt>
                <c:pt idx="4">
                  <c:v>5</c:v>
                </c:pt>
                <c:pt idx="5">
                  <c:v>5</c:v>
                </c:pt>
                <c:pt idx="6">
                  <c:v>5</c:v>
                </c:pt>
                <c:pt idx="7">
                  <c:v>5</c:v>
                </c:pt>
              </c:numCache>
            </c:numRef>
          </c:val>
        </c:ser>
        <c:dLbls>
          <c:showLegendKey val="0"/>
          <c:showVal val="0"/>
          <c:showCatName val="0"/>
          <c:showSerName val="0"/>
          <c:showPercent val="0"/>
          <c:showBubbleSize val="0"/>
          <c:showLeaderLines val="1"/>
        </c:dLbls>
        <c:firstSliceAng val="0"/>
        <c:holeSize val="0"/>
      </c:doughnutChart>
      <c:radarChart>
        <c:radarStyle val="marker"/>
        <c:varyColors val="0"/>
        <c:ser>
          <c:idx val="0"/>
          <c:order val="0"/>
          <c:tx>
            <c:strRef>
              <c:f>输出!$EZ$47</c:f>
              <c:strCache>
                <c:ptCount val="1"/>
                <c:pt idx="0">
                  <c:v>评分</c:v>
                </c:pt>
              </c:strCache>
            </c:strRef>
          </c:tx>
          <c:spPr>
            <a:ln w="22225" cap="rnd">
              <a:solidFill>
                <a:srgbClr val="113F67"/>
              </a:solidFill>
              <a:prstDash val="sysDash"/>
              <a:round/>
            </a:ln>
            <a:effectLst/>
          </c:spPr>
          <c:marker>
            <c:symbol val="diamond"/>
            <c:size val="6"/>
            <c:spPr>
              <a:solidFill>
                <a:srgbClr val="113F67"/>
              </a:solidFill>
              <a:ln w="9525">
                <a:noFill/>
              </a:ln>
              <a:effectLst/>
            </c:spPr>
          </c:marker>
          <c:dPt>
            <c:idx val="0"/>
            <c:marker>
              <c:symbol val="diamond"/>
              <c:size val="6"/>
              <c:spPr>
                <a:solidFill>
                  <a:srgbClr val="113F67"/>
                </a:solidFill>
                <a:ln w="9525">
                  <a:noFill/>
                </a:ln>
                <a:effectLst/>
              </c:spPr>
            </c:marker>
            <c:bubble3D val="0"/>
          </c:dPt>
          <c:dPt>
            <c:idx val="1"/>
            <c:marker>
              <c:symbol val="diamond"/>
              <c:size val="6"/>
              <c:spPr>
                <a:solidFill>
                  <a:srgbClr val="113F67"/>
                </a:solidFill>
                <a:ln w="9525">
                  <a:noFill/>
                </a:ln>
                <a:effectLst/>
              </c:spPr>
            </c:marker>
            <c:bubble3D val="0"/>
          </c:dPt>
          <c:dPt>
            <c:idx val="2"/>
            <c:marker>
              <c:symbol val="diamond"/>
              <c:size val="6"/>
              <c:spPr>
                <a:solidFill>
                  <a:srgbClr val="113F67"/>
                </a:solidFill>
                <a:ln w="9525">
                  <a:noFill/>
                </a:ln>
                <a:effectLst/>
              </c:spPr>
            </c:marker>
            <c:bubble3D val="0"/>
          </c:dPt>
          <c:dPt>
            <c:idx val="3"/>
            <c:marker>
              <c:symbol val="diamond"/>
              <c:size val="6"/>
              <c:spPr>
                <a:solidFill>
                  <a:srgbClr val="113F67"/>
                </a:solidFill>
                <a:ln w="9525">
                  <a:noFill/>
                </a:ln>
                <a:effectLst/>
              </c:spPr>
            </c:marker>
            <c:bubble3D val="0"/>
          </c:dPt>
          <c:dPt>
            <c:idx val="4"/>
            <c:marker>
              <c:symbol val="diamond"/>
              <c:size val="6"/>
              <c:spPr>
                <a:solidFill>
                  <a:srgbClr val="113F67"/>
                </a:solidFill>
                <a:ln w="9525">
                  <a:noFill/>
                </a:ln>
                <a:effectLst/>
              </c:spPr>
            </c:marker>
            <c:bubble3D val="0"/>
          </c:dPt>
          <c:dPt>
            <c:idx val="5"/>
            <c:marker>
              <c:symbol val="diamond"/>
              <c:size val="6"/>
              <c:spPr>
                <a:solidFill>
                  <a:srgbClr val="113F67"/>
                </a:solidFill>
                <a:ln w="9525">
                  <a:noFill/>
                </a:ln>
                <a:effectLst/>
              </c:spPr>
            </c:marker>
            <c:bubble3D val="0"/>
          </c:dPt>
          <c:dPt>
            <c:idx val="6"/>
            <c:marker>
              <c:symbol val="diamond"/>
              <c:size val="6"/>
              <c:spPr>
                <a:solidFill>
                  <a:srgbClr val="113F67"/>
                </a:solidFill>
                <a:ln w="9525">
                  <a:noFill/>
                </a:ln>
                <a:effectLst/>
              </c:spPr>
            </c:marker>
            <c:bubble3D val="0"/>
          </c:dPt>
          <c:dPt>
            <c:idx val="7"/>
            <c:marker>
              <c:symbol val="diamond"/>
              <c:size val="6"/>
              <c:spPr>
                <a:solidFill>
                  <a:srgbClr val="113F67"/>
                </a:solidFill>
                <a:ln w="9525">
                  <a:noFill/>
                </a:ln>
                <a:effectLst/>
              </c:spPr>
            </c:marker>
            <c:bubble3D val="0"/>
          </c:dPt>
          <c:dLbls>
            <c:delete val="1"/>
          </c:dLbls>
          <c:cat>
            <c:strRef>
              <c:f>输出!$EY$48:$EY$55</c:f>
              <c:strCache>
                <c:ptCount val="8"/>
                <c:pt idx="0">
                  <c:v>就业/创业指导课
3.97分</c:v>
                </c:pt>
                <c:pt idx="1">
                  <c:v>就业政策宣传与讲解
3.90分</c:v>
                </c:pt>
                <c:pt idx="2">
                  <c:v>创业咨询与实践指导
4.12分</c:v>
                </c:pt>
                <c:pt idx="3">
                  <c:v>就业信息提供与发布
4.19分</c:v>
                </c:pt>
                <c:pt idx="4">
                  <c:v>职业咨询/辅导
4.04分</c:v>
                </c:pt>
                <c:pt idx="5">
                  <c:v>就业手续办理
3.98分</c:v>
                </c:pt>
                <c:pt idx="6">
                  <c:v>校园招聘活动
4.04分</c:v>
                </c:pt>
                <c:pt idx="7">
                  <c:v>就业困难群体帮扶
4.00分</c:v>
                </c:pt>
              </c:strCache>
            </c:strRef>
          </c:cat>
          <c:val>
            <c:numRef>
              <c:f>输出!$EZ$48:$EZ$55</c:f>
              <c:numCache>
                <c:formatCode>0.00</c:formatCode>
                <c:ptCount val="8"/>
                <c:pt idx="0">
                  <c:v>3.97</c:v>
                </c:pt>
                <c:pt idx="1">
                  <c:v>3.9</c:v>
                </c:pt>
                <c:pt idx="2">
                  <c:v>4.12</c:v>
                </c:pt>
                <c:pt idx="3">
                  <c:v>4.19</c:v>
                </c:pt>
                <c:pt idx="4">
                  <c:v>4.04</c:v>
                </c:pt>
                <c:pt idx="5">
                  <c:v>3.98</c:v>
                </c:pt>
                <c:pt idx="6">
                  <c:v>4.04</c:v>
                </c:pt>
                <c:pt idx="7">
                  <c:v>4</c:v>
                </c:pt>
              </c:numCache>
            </c:numRef>
          </c:val>
        </c:ser>
        <c:dLbls>
          <c:showLegendKey val="0"/>
          <c:showVal val="0"/>
          <c:showCatName val="0"/>
          <c:showSerName val="0"/>
          <c:showPercent val="0"/>
          <c:showBubbleSize val="0"/>
        </c:dLbls>
        <c:axId val="1736004480"/>
        <c:axId val="1736003824"/>
      </c:radarChart>
      <c:catAx>
        <c:axId val="1736004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6003824"/>
        <c:crosses val="autoZero"/>
        <c:auto val="1"/>
        <c:lblAlgn val="ctr"/>
        <c:lblOffset val="100"/>
        <c:noMultiLvlLbl val="0"/>
      </c:catAx>
      <c:valAx>
        <c:axId val="1736003824"/>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6004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3F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单位就业!$B$81:$B$86</c:f>
              <c:strCache>
                <c:ptCount val="6"/>
                <c:pt idx="0">
                  <c:v>50人以下</c:v>
                </c:pt>
                <c:pt idx="1">
                  <c:v>50-150人</c:v>
                </c:pt>
                <c:pt idx="2">
                  <c:v>151-500人</c:v>
                </c:pt>
                <c:pt idx="3">
                  <c:v>501-1000人</c:v>
                </c:pt>
                <c:pt idx="4">
                  <c:v>1001-10000人</c:v>
                </c:pt>
                <c:pt idx="5">
                  <c:v>10000人以上</c:v>
                </c:pt>
              </c:strCache>
            </c:strRef>
          </c:cat>
          <c:val>
            <c:numRef>
              <c:f>单位就业!$D$81:$D$86</c:f>
              <c:numCache>
                <c:formatCode>0.00%</c:formatCode>
                <c:ptCount val="6"/>
                <c:pt idx="0">
                  <c:v>0.1523</c:v>
                </c:pt>
                <c:pt idx="1">
                  <c:v>0.2263</c:v>
                </c:pt>
                <c:pt idx="2">
                  <c:v>0.2181</c:v>
                </c:pt>
                <c:pt idx="3">
                  <c:v>0.1235</c:v>
                </c:pt>
                <c:pt idx="4">
                  <c:v>0.1893</c:v>
                </c:pt>
                <c:pt idx="5">
                  <c:v>0.0905</c:v>
                </c:pt>
              </c:numCache>
            </c:numRef>
          </c:val>
        </c:ser>
        <c:dLbls>
          <c:showLegendKey val="0"/>
          <c:showVal val="1"/>
          <c:showCatName val="0"/>
          <c:showSerName val="0"/>
          <c:showPercent val="0"/>
          <c:showBubbleSize val="0"/>
        </c:dLbls>
        <c:gapWidth val="219"/>
        <c:overlap val="-27"/>
        <c:axId val="696572472"/>
        <c:axId val="696570176"/>
      </c:barChart>
      <c:catAx>
        <c:axId val="69657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570176"/>
        <c:crosses val="autoZero"/>
        <c:auto val="1"/>
        <c:lblAlgn val="ctr"/>
        <c:lblOffset val="100"/>
        <c:noMultiLvlLbl val="0"/>
      </c:catAx>
      <c:valAx>
        <c:axId val="696570176"/>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572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'2-图形输出'!$H$206</c:f>
              <c:strCache>
                <c:ptCount val="1"/>
                <c:pt idx="0">
                  <c:v>辅助-占比</c:v>
                </c:pt>
              </c:strCache>
            </c:strRef>
          </c:tx>
          <c:spPr>
            <a:solidFill>
              <a:srgbClr val="0D3F67"/>
            </a:solidFill>
            <a:ln>
              <a:noFill/>
            </a:ln>
            <a:effectLst/>
          </c:spPr>
          <c:invertIfNegative val="0"/>
          <c:dLbls>
            <c:delete val="1"/>
          </c:dLbls>
          <c:cat>
            <c:strRef>
              <c:f>'2-图形输出'!$F$207:$F$220</c:f>
              <c:strCache>
                <c:ptCount val="14"/>
                <c:pt idx="0">
                  <c:v>其他企业</c:v>
                </c:pt>
                <c:pt idx="1">
                  <c:v>其他教学单位</c:v>
                </c:pt>
                <c:pt idx="2">
                  <c:v>三资企业</c:v>
                </c:pt>
                <c:pt idx="3">
                  <c:v>国有企业</c:v>
                </c:pt>
                <c:pt idx="4">
                  <c:v>其他事业单位</c:v>
                </c:pt>
                <c:pt idx="5">
                  <c:v>其他</c:v>
                </c:pt>
                <c:pt idx="6">
                  <c:v>部队</c:v>
                </c:pt>
                <c:pt idx="7">
                  <c:v>机关</c:v>
                </c:pt>
                <c:pt idx="8">
                  <c:v>高等学校</c:v>
                </c:pt>
                <c:pt idx="9">
                  <c:v>医疗卫生单位</c:v>
                </c:pt>
                <c:pt idx="10">
                  <c:v>国家基层项目</c:v>
                </c:pt>
                <c:pt idx="11">
                  <c:v>科研设计单位</c:v>
                </c:pt>
                <c:pt idx="12">
                  <c:v>城镇社区</c:v>
                </c:pt>
                <c:pt idx="13">
                  <c:v>科研助理</c:v>
                </c:pt>
              </c:strCache>
            </c:strRef>
          </c:cat>
          <c:val>
            <c:numRef>
              <c:f>'2-图形输出'!$H$207:$H$220</c:f>
              <c:numCache>
                <c:formatCode>0%</c:formatCode>
                <c:ptCount val="14"/>
                <c:pt idx="0">
                  <c:v>0.56467737049379</c:v>
                </c:pt>
                <c:pt idx="1">
                  <c:v>0.129657679491063</c:v>
                </c:pt>
                <c:pt idx="2">
                  <c:v>0.112390184792487</c:v>
                </c:pt>
                <c:pt idx="3">
                  <c:v>0.099363829142684</c:v>
                </c:pt>
                <c:pt idx="4">
                  <c:v>0.0421084519842472</c:v>
                </c:pt>
                <c:pt idx="5">
                  <c:v>0.0142381096637383</c:v>
                </c:pt>
                <c:pt idx="6">
                  <c:v>0.0139351711602545</c:v>
                </c:pt>
                <c:pt idx="7">
                  <c:v>0.0112087246289003</c:v>
                </c:pt>
                <c:pt idx="8">
                  <c:v>0.00787640109057861</c:v>
                </c:pt>
                <c:pt idx="9">
                  <c:v>0.00151469251741896</c:v>
                </c:pt>
                <c:pt idx="10">
                  <c:v>0.00121175401393517</c:v>
                </c:pt>
                <c:pt idx="11">
                  <c:v>0.000908815510451378</c:v>
                </c:pt>
                <c:pt idx="12">
                  <c:v>0.000605877006967586</c:v>
                </c:pt>
                <c:pt idx="13">
                  <c:v>0.000302938503483793</c:v>
                </c:pt>
              </c:numCache>
            </c:numRef>
          </c:val>
        </c:ser>
        <c:ser>
          <c:idx val="1"/>
          <c:order val="1"/>
          <c:tx>
            <c:strRef>
              <c:f>'2-图形输出'!$I$206</c:f>
              <c:strCache>
                <c:ptCount val="1"/>
                <c:pt idx="0">
                  <c:v>辅助2</c:v>
                </c:pt>
              </c:strCache>
            </c:strRef>
          </c:tx>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f16ea91b-306f-485a-b54e-89a2578a5cd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f49e2a0-8519-4d4f-821e-5f2c6202b3a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c65902e1-9770-4634-8f3b-80bbfa6bdcf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f027ce7e-450f-430c-ab74-d4e73666ea9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24267661-2511-403d-a55b-ccf22b50635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ef5115dc-c8de-4a91-95ed-75df3e878ec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02ac10d5-47ac-4acd-bd5e-c4973a35168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6b44d99-bdd0-403a-abdd-94a86a27f70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de93ecae-8aab-4b21-b14a-4585aab2dd5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197681e9-31e9-4f5e-8c94-7708e179e9d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ceafc640-6f53-4f48-a6c8-c8194822a68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3cbba884-433e-4f0f-9ddf-0df03cae816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383c7286-fde0-4a8b-9182-2becfaf1564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ba8b4b05-79c7-485b-9c35-db697aad359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'2-图形输出'!$F$207:$F$220</c:f>
              <c:strCache>
                <c:ptCount val="14"/>
                <c:pt idx="0">
                  <c:v>其他企业</c:v>
                </c:pt>
                <c:pt idx="1">
                  <c:v>其他教学单位</c:v>
                </c:pt>
                <c:pt idx="2">
                  <c:v>三资企业</c:v>
                </c:pt>
                <c:pt idx="3">
                  <c:v>国有企业</c:v>
                </c:pt>
                <c:pt idx="4">
                  <c:v>其他事业单位</c:v>
                </c:pt>
                <c:pt idx="5">
                  <c:v>其他</c:v>
                </c:pt>
                <c:pt idx="6">
                  <c:v>部队</c:v>
                </c:pt>
                <c:pt idx="7">
                  <c:v>机关</c:v>
                </c:pt>
                <c:pt idx="8">
                  <c:v>高等学校</c:v>
                </c:pt>
                <c:pt idx="9">
                  <c:v>医疗卫生单位</c:v>
                </c:pt>
                <c:pt idx="10">
                  <c:v>国家基层项目</c:v>
                </c:pt>
                <c:pt idx="11">
                  <c:v>科研设计单位</c:v>
                </c:pt>
                <c:pt idx="12">
                  <c:v>城镇社区</c:v>
                </c:pt>
                <c:pt idx="13">
                  <c:v>科研助理</c:v>
                </c:pt>
              </c:strCache>
            </c:strRef>
          </c:cat>
          <c:val>
            <c:numRef>
              <c:f>'2-图形输出'!$I$207:$I$220</c:f>
              <c:numCache>
                <c:formatCode>0.00%</c:formatCode>
                <c:ptCount val="14"/>
                <c:pt idx="0">
                  <c:v>0.112935474098758</c:v>
                </c:pt>
                <c:pt idx="1">
                  <c:v>0.547955165101484</c:v>
                </c:pt>
                <c:pt idx="2">
                  <c:v>0.565222659800061</c:v>
                </c:pt>
                <c:pt idx="3">
                  <c:v>0.578249015449864</c:v>
                </c:pt>
                <c:pt idx="4">
                  <c:v>0.6355043926083</c:v>
                </c:pt>
                <c:pt idx="5">
                  <c:v>0.663374734928809</c:v>
                </c:pt>
                <c:pt idx="6">
                  <c:v>0.663677673432293</c:v>
                </c:pt>
                <c:pt idx="7">
                  <c:v>0.666404119963647</c:v>
                </c:pt>
                <c:pt idx="8">
                  <c:v>0.669736443501969</c:v>
                </c:pt>
                <c:pt idx="9">
                  <c:v>0.676098152075129</c:v>
                </c:pt>
                <c:pt idx="10">
                  <c:v>0.676401090578613</c:v>
                </c:pt>
                <c:pt idx="11">
                  <c:v>0.676704029082096</c:v>
                </c:pt>
                <c:pt idx="12">
                  <c:v>0.67700696758558</c:v>
                </c:pt>
                <c:pt idx="13">
                  <c:v>0.677309906089064</c:v>
                </c:pt>
              </c:numCache>
            </c:numRef>
          </c:val>
          <c:extLst>
            <c:ext xmlns:c15="http://schemas.microsoft.com/office/drawing/2012/chart" uri="{02D57815-91ED-43cb-92C2-25804820EDAC}">
              <c15:datalabelsRange>
                <c15:f>'2-图形输出'!$J$207:$J$230</c15:f>
                <c15:dlblRangeCache>
                  <c:ptCount val="24"/>
                  <c:pt idx="0">
                    <c:v>1864人  56.47%</c:v>
                  </c:pt>
                  <c:pt idx="1">
                    <c:v>428人  12.97%</c:v>
                  </c:pt>
                  <c:pt idx="2">
                    <c:v>371人  11.24%</c:v>
                  </c:pt>
                  <c:pt idx="3">
                    <c:v>328人  9.94%</c:v>
                  </c:pt>
                  <c:pt idx="4">
                    <c:v>139人  4.21%</c:v>
                  </c:pt>
                  <c:pt idx="5">
                    <c:v>47人  1.42%</c:v>
                  </c:pt>
                  <c:pt idx="6">
                    <c:v>46人  1.39%</c:v>
                  </c:pt>
                  <c:pt idx="7">
                    <c:v>37人  1.12%</c:v>
                  </c:pt>
                  <c:pt idx="8">
                    <c:v>26人  0.79%</c:v>
                  </c:pt>
                  <c:pt idx="9">
                    <c:v>5人  0.15%</c:v>
                  </c:pt>
                  <c:pt idx="10">
                    <c:v>4人  0.12%</c:v>
                  </c:pt>
                  <c:pt idx="11">
                    <c:v>3人  0.09%</c:v>
                  </c:pt>
                  <c:pt idx="12">
                    <c:v>2人  0.06%</c:v>
                  </c:pt>
                  <c:pt idx="13">
                    <c:v>1人  0.03%</c:v>
                  </c:pt>
                  <c:pt idx="14">
                    <c:v>0人  0.00%</c:v>
                  </c:pt>
                </c15:dlblRangeCache>
              </c15:datalabelsRange>
            </c:ext>
          </c:extLst>
        </c:ser>
        <c:dLbls>
          <c:showLegendKey val="0"/>
          <c:showVal val="0"/>
          <c:showCatName val="0"/>
          <c:showSerName val="0"/>
          <c:showPercent val="0"/>
          <c:showBubbleSize val="0"/>
        </c:dLbls>
        <c:gapWidth val="150"/>
        <c:overlap val="100"/>
        <c:axId val="1535501176"/>
        <c:axId val="1535494288"/>
      </c:barChart>
      <c:catAx>
        <c:axId val="1535501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494288"/>
        <c:crosses val="autoZero"/>
        <c:auto val="1"/>
        <c:lblAlgn val="ctr"/>
        <c:lblOffset val="100"/>
        <c:noMultiLvlLbl val="0"/>
      </c:catAx>
      <c:valAx>
        <c:axId val="1535494288"/>
        <c:scaling>
          <c:orientation val="minMax"/>
        </c:scaling>
        <c:delete val="1"/>
        <c:axPos val="t"/>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501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单位就业!$F$67:$F$73</c:f>
              <c:strCache>
                <c:ptCount val="7"/>
                <c:pt idx="0">
                  <c:v>民营企业</c:v>
                </c:pt>
                <c:pt idx="1">
                  <c:v>国有企业</c:v>
                </c:pt>
                <c:pt idx="2">
                  <c:v>股份制企业</c:v>
                </c:pt>
                <c:pt idx="3">
                  <c:v>外资企业</c:v>
                </c:pt>
                <c:pt idx="4">
                  <c:v>事业单位（含学校或医疗卫生单位）</c:v>
                </c:pt>
                <c:pt idx="5">
                  <c:v>其它</c:v>
                </c:pt>
                <c:pt idx="6">
                  <c:v>党政机关（包括部队单位）</c:v>
                </c:pt>
              </c:strCache>
            </c:strRef>
          </c:cat>
          <c:val>
            <c:numRef>
              <c:f>单位就业!$G$67:$G$73</c:f>
              <c:numCache>
                <c:formatCode>0.00%</c:formatCode>
                <c:ptCount val="7"/>
                <c:pt idx="0">
                  <c:v>0.6872</c:v>
                </c:pt>
                <c:pt idx="1">
                  <c:v>0.1029</c:v>
                </c:pt>
                <c:pt idx="2">
                  <c:v>0.0782</c:v>
                </c:pt>
                <c:pt idx="3">
                  <c:v>0.0576</c:v>
                </c:pt>
                <c:pt idx="4">
                  <c:v>0.037</c:v>
                </c:pt>
                <c:pt idx="5">
                  <c:v>0.0288</c:v>
                </c:pt>
                <c:pt idx="6">
                  <c:v>0.0083</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b115dc96-153e-463a-b345-dd22d013a4b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a51f615b-4523-4b3e-840e-e46a3e83b3f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e1c64b30-9a01-44c5-8274-b35ce431ece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da38219f-f8da-4e7d-87cc-665e0d140d6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9f0a514-ebbc-4f76-b22b-bbc4103bf80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1680c0da-70a3-48ac-98ac-86f53598af6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45623080-ca26-4c94-a3f1-ef340be1fd2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单位就业!$F$67:$F$73</c:f>
              <c:strCache>
                <c:ptCount val="7"/>
                <c:pt idx="0">
                  <c:v>民营企业</c:v>
                </c:pt>
                <c:pt idx="1">
                  <c:v>国有企业</c:v>
                </c:pt>
                <c:pt idx="2">
                  <c:v>股份制企业</c:v>
                </c:pt>
                <c:pt idx="3">
                  <c:v>外资企业</c:v>
                </c:pt>
                <c:pt idx="4">
                  <c:v>事业单位（含学校或医疗卫生单位）</c:v>
                </c:pt>
                <c:pt idx="5">
                  <c:v>其它</c:v>
                </c:pt>
                <c:pt idx="6">
                  <c:v>党政机关（包括部队单位）</c:v>
                </c:pt>
              </c:strCache>
            </c:strRef>
          </c:cat>
          <c:val>
            <c:numRef>
              <c:f>单位就业!$H$67:$H$73</c:f>
              <c:numCache>
                <c:formatCode>0.00%</c:formatCode>
                <c:ptCount val="7"/>
                <c:pt idx="0">
                  <c:v>0.13744</c:v>
                </c:pt>
                <c:pt idx="1">
                  <c:v>0.72174</c:v>
                </c:pt>
                <c:pt idx="2">
                  <c:v>0.74644</c:v>
                </c:pt>
                <c:pt idx="3">
                  <c:v>0.76704</c:v>
                </c:pt>
                <c:pt idx="4">
                  <c:v>0.78764</c:v>
                </c:pt>
                <c:pt idx="5">
                  <c:v>0.79584</c:v>
                </c:pt>
                <c:pt idx="6">
                  <c:v>0.81634</c:v>
                </c:pt>
              </c:numCache>
            </c:numRef>
          </c:val>
          <c:extLst>
            <c:ext xmlns:c15="http://schemas.microsoft.com/office/drawing/2012/chart" uri="{02D57815-91ED-43cb-92C2-25804820EDAC}">
              <c15:datalabelsRange>
                <c15:f>单位就业!$G$67:$G$78</c15:f>
                <c15:dlblRangeCache>
                  <c:ptCount val="12"/>
                  <c:pt idx="0">
                    <c:v>68.72%</c:v>
                  </c:pt>
                  <c:pt idx="1">
                    <c:v>10.29%</c:v>
                  </c:pt>
                  <c:pt idx="2">
                    <c:v>7.82%</c:v>
                  </c:pt>
                  <c:pt idx="3">
                    <c:v>5.76%</c:v>
                  </c:pt>
                  <c:pt idx="4">
                    <c:v>3.70%</c:v>
                  </c:pt>
                  <c:pt idx="5">
                    <c:v>2.88%</c:v>
                  </c:pt>
                  <c:pt idx="6">
                    <c:v>0.83%</c:v>
                  </c:pt>
                </c15:dlblRangeCache>
              </c15:datalabelsRange>
            </c:ext>
          </c:extLst>
        </c:ser>
        <c:dLbls>
          <c:showLegendKey val="0"/>
          <c:showVal val="1"/>
          <c:showCatName val="0"/>
          <c:showSerName val="0"/>
          <c:showPercent val="0"/>
          <c:showBubbleSize val="0"/>
        </c:dLbls>
        <c:gapWidth val="200"/>
        <c:overlap val="100"/>
        <c:axId val="1201881624"/>
        <c:axId val="1201880968"/>
      </c:barChart>
      <c:dateAx>
        <c:axId val="12018816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201880968"/>
        <c:crosses val="autoZero"/>
        <c:auto val="0"/>
        <c:lblAlgn val="ctr"/>
        <c:lblOffset val="100"/>
        <c:baseTimeUnit val="days"/>
      </c:dateAx>
      <c:valAx>
        <c:axId val="120188096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1881624"/>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单位就业!$F$18:$F$35</c:f>
              <c:strCache>
                <c:ptCount val="18"/>
                <c:pt idx="0">
                  <c:v>制造业</c:v>
                </c:pt>
                <c:pt idx="1">
                  <c:v>教育</c:v>
                </c:pt>
                <c:pt idx="2">
                  <c:v>信息传输，软件和信息技术服务业</c:v>
                </c:pt>
                <c:pt idx="3">
                  <c:v>建筑业</c:v>
                </c:pt>
                <c:pt idx="4">
                  <c:v>批发和零售业</c:v>
                </c:pt>
                <c:pt idx="5">
                  <c:v>房地产业</c:v>
                </c:pt>
                <c:pt idx="6">
                  <c:v>科学研究和技术服务业</c:v>
                </c:pt>
                <c:pt idx="7">
                  <c:v>文化，体育和娱乐业</c:v>
                </c:pt>
                <c:pt idx="8">
                  <c:v>租赁和商品服务业</c:v>
                </c:pt>
                <c:pt idx="9">
                  <c:v>金融业</c:v>
                </c:pt>
                <c:pt idx="10">
                  <c:v>公共管理，社会保障和社会组织</c:v>
                </c:pt>
                <c:pt idx="11">
                  <c:v>居民服务，修理和其他服务业</c:v>
                </c:pt>
                <c:pt idx="12">
                  <c:v>交通运输，仓储和邮政业</c:v>
                </c:pt>
                <c:pt idx="13">
                  <c:v>农，林，渔，牧业</c:v>
                </c:pt>
                <c:pt idx="14">
                  <c:v>住宿和餐饮业</c:v>
                </c:pt>
                <c:pt idx="15">
                  <c:v>卫生和社会工作</c:v>
                </c:pt>
                <c:pt idx="16">
                  <c:v>电力，热力，燃气及水生产和供应业</c:v>
                </c:pt>
                <c:pt idx="17">
                  <c:v>水利，环境和公共设施管理业</c:v>
                </c:pt>
              </c:strCache>
            </c:strRef>
          </c:cat>
          <c:val>
            <c:numRef>
              <c:f>单位就业!$G$18:$G$35</c:f>
              <c:numCache>
                <c:formatCode>0.00%</c:formatCode>
                <c:ptCount val="18"/>
                <c:pt idx="0">
                  <c:v>0.251</c:v>
                </c:pt>
                <c:pt idx="1">
                  <c:v>0.2181</c:v>
                </c:pt>
                <c:pt idx="2">
                  <c:v>0.0988</c:v>
                </c:pt>
                <c:pt idx="3">
                  <c:v>0.0823</c:v>
                </c:pt>
                <c:pt idx="4">
                  <c:v>0.0823</c:v>
                </c:pt>
                <c:pt idx="5">
                  <c:v>0.0453</c:v>
                </c:pt>
                <c:pt idx="6">
                  <c:v>0.0453</c:v>
                </c:pt>
                <c:pt idx="7">
                  <c:v>0.0288</c:v>
                </c:pt>
                <c:pt idx="8">
                  <c:v>0.0247</c:v>
                </c:pt>
                <c:pt idx="9">
                  <c:v>0.0247</c:v>
                </c:pt>
                <c:pt idx="10">
                  <c:v>0.0206</c:v>
                </c:pt>
                <c:pt idx="11">
                  <c:v>0.0165</c:v>
                </c:pt>
                <c:pt idx="12">
                  <c:v>0.0165</c:v>
                </c:pt>
                <c:pt idx="13">
                  <c:v>0.0123</c:v>
                </c:pt>
                <c:pt idx="14">
                  <c:v>0.0123</c:v>
                </c:pt>
                <c:pt idx="15">
                  <c:v>0.0082</c:v>
                </c:pt>
                <c:pt idx="16">
                  <c:v>0.0082</c:v>
                </c:pt>
                <c:pt idx="17">
                  <c:v>0.0041</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259c37ed-11b8-4ac5-83a0-49b7d40d5da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4f83aedf-ebaa-40e6-a2d0-86486e069ea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6d7539b0-1313-430f-8d70-300ef1e732e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c5f2cce-a4fc-4b0c-a4e1-2f08985a7b4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8724435d-ab68-467b-b0e4-204af082e44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5363eca8-2a9f-4fc0-b911-830a46562de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2fe1d105-bc75-44db-a634-611b9a55b84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adefa456-3b4a-4564-85ea-e03b100f620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110ffdd7-5dcc-418f-b1be-a1eb5342728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07614c28-52da-44d1-92ad-6518f723f1e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d493f92e-0e41-4f60-90e3-489ebbd9d56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2acc73eb-26b1-4919-bd5c-6e2cb666485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d4066dde-6ba7-4423-a76b-60f7a47f523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065165d8-0be0-422a-ae7b-6714382f58b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cd6ad4b6-e951-4400-aab3-9a569977d70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5b9305c7-dd88-4104-8f5f-d041ea2249f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05ad0e83-43b0-4a08-8b30-82bec3d5c13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ce64ce16-5ecc-4077-b461-45b1572df33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单位就业!$F$18:$F$35</c:f>
              <c:strCache>
                <c:ptCount val="18"/>
                <c:pt idx="0">
                  <c:v>制造业</c:v>
                </c:pt>
                <c:pt idx="1">
                  <c:v>教育</c:v>
                </c:pt>
                <c:pt idx="2">
                  <c:v>信息传输，软件和信息技术服务业</c:v>
                </c:pt>
                <c:pt idx="3">
                  <c:v>建筑业</c:v>
                </c:pt>
                <c:pt idx="4">
                  <c:v>批发和零售业</c:v>
                </c:pt>
                <c:pt idx="5">
                  <c:v>房地产业</c:v>
                </c:pt>
                <c:pt idx="6">
                  <c:v>科学研究和技术服务业</c:v>
                </c:pt>
                <c:pt idx="7">
                  <c:v>文化，体育和娱乐业</c:v>
                </c:pt>
                <c:pt idx="8">
                  <c:v>租赁和商品服务业</c:v>
                </c:pt>
                <c:pt idx="9">
                  <c:v>金融业</c:v>
                </c:pt>
                <c:pt idx="10">
                  <c:v>公共管理，社会保障和社会组织</c:v>
                </c:pt>
                <c:pt idx="11">
                  <c:v>居民服务，修理和其他服务业</c:v>
                </c:pt>
                <c:pt idx="12">
                  <c:v>交通运输，仓储和邮政业</c:v>
                </c:pt>
                <c:pt idx="13">
                  <c:v>农，林，渔，牧业</c:v>
                </c:pt>
                <c:pt idx="14">
                  <c:v>住宿和餐饮业</c:v>
                </c:pt>
                <c:pt idx="15">
                  <c:v>卫生和社会工作</c:v>
                </c:pt>
                <c:pt idx="16">
                  <c:v>电力，热力，燃气及水生产和供应业</c:v>
                </c:pt>
                <c:pt idx="17">
                  <c:v>水利，环境和公共设施管理业</c:v>
                </c:pt>
              </c:strCache>
            </c:strRef>
          </c:cat>
          <c:val>
            <c:numRef>
              <c:f>单位就业!$H$18:$H$35</c:f>
              <c:numCache>
                <c:formatCode>0.00%</c:formatCode>
                <c:ptCount val="18"/>
                <c:pt idx="0">
                  <c:v>0.0502</c:v>
                </c:pt>
                <c:pt idx="1">
                  <c:v>0.0831</c:v>
                </c:pt>
                <c:pt idx="2">
                  <c:v>0.2024</c:v>
                </c:pt>
                <c:pt idx="3">
                  <c:v>0.2189</c:v>
                </c:pt>
                <c:pt idx="4">
                  <c:v>0.2189</c:v>
                </c:pt>
                <c:pt idx="5">
                  <c:v>0.2559</c:v>
                </c:pt>
                <c:pt idx="6">
                  <c:v>0.2559</c:v>
                </c:pt>
                <c:pt idx="7">
                  <c:v>0.2724</c:v>
                </c:pt>
                <c:pt idx="8">
                  <c:v>0.2765</c:v>
                </c:pt>
                <c:pt idx="9">
                  <c:v>0.2765</c:v>
                </c:pt>
                <c:pt idx="10">
                  <c:v>0.2806</c:v>
                </c:pt>
                <c:pt idx="11">
                  <c:v>0.2847</c:v>
                </c:pt>
                <c:pt idx="12">
                  <c:v>0.2847</c:v>
                </c:pt>
                <c:pt idx="13">
                  <c:v>0.2889</c:v>
                </c:pt>
                <c:pt idx="14">
                  <c:v>0.2889</c:v>
                </c:pt>
                <c:pt idx="15">
                  <c:v>0.293</c:v>
                </c:pt>
                <c:pt idx="16">
                  <c:v>0.293</c:v>
                </c:pt>
                <c:pt idx="17">
                  <c:v>0.2971</c:v>
                </c:pt>
              </c:numCache>
            </c:numRef>
          </c:val>
          <c:extLst>
            <c:ext xmlns:c15="http://schemas.microsoft.com/office/drawing/2012/chart" uri="{02D57815-91ED-43cb-92C2-25804820EDAC}">
              <c15:datalabelsRange>
                <c15:f>单位就业!$G$18:$G$35</c15:f>
                <c15:dlblRangeCache>
                  <c:ptCount val="18"/>
                  <c:pt idx="0">
                    <c:v>25.10%</c:v>
                  </c:pt>
                  <c:pt idx="1">
                    <c:v>21.81%</c:v>
                  </c:pt>
                  <c:pt idx="2">
                    <c:v>9.88%</c:v>
                  </c:pt>
                  <c:pt idx="3">
                    <c:v>8.23%</c:v>
                  </c:pt>
                  <c:pt idx="4">
                    <c:v>8.23%</c:v>
                  </c:pt>
                  <c:pt idx="5">
                    <c:v>4.53%</c:v>
                  </c:pt>
                  <c:pt idx="6">
                    <c:v>4.53%</c:v>
                  </c:pt>
                  <c:pt idx="7">
                    <c:v>2.88%</c:v>
                  </c:pt>
                  <c:pt idx="8">
                    <c:v>2.47%</c:v>
                  </c:pt>
                  <c:pt idx="9">
                    <c:v>2.47%</c:v>
                  </c:pt>
                  <c:pt idx="10">
                    <c:v>2.06%</c:v>
                  </c:pt>
                  <c:pt idx="11">
                    <c:v>1.65%</c:v>
                  </c:pt>
                  <c:pt idx="12">
                    <c:v>1.65%</c:v>
                  </c:pt>
                  <c:pt idx="13">
                    <c:v>1.23%</c:v>
                  </c:pt>
                  <c:pt idx="14">
                    <c:v>1.23%</c:v>
                  </c:pt>
                  <c:pt idx="15">
                    <c:v>0.82%</c:v>
                  </c:pt>
                  <c:pt idx="16">
                    <c:v>0.82%</c:v>
                  </c:pt>
                  <c:pt idx="17">
                    <c:v>0.41%</c:v>
                  </c:pt>
                </c15:dlblRangeCache>
              </c15:datalabelsRange>
            </c:ext>
          </c:extLst>
        </c:ser>
        <c:dLbls>
          <c:showLegendKey val="0"/>
          <c:showVal val="1"/>
          <c:showCatName val="0"/>
          <c:showSerName val="0"/>
          <c:showPercent val="0"/>
          <c:showBubbleSize val="0"/>
        </c:dLbls>
        <c:gapWidth val="150"/>
        <c:overlap val="100"/>
        <c:axId val="1143327168"/>
        <c:axId val="1143327496"/>
      </c:barChart>
      <c:catAx>
        <c:axId val="114332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3327496"/>
        <c:crosses val="autoZero"/>
        <c:auto val="1"/>
        <c:lblAlgn val="ctr"/>
        <c:lblOffset val="100"/>
        <c:noMultiLvlLbl val="0"/>
      </c:catAx>
      <c:valAx>
        <c:axId val="114332749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3327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D3F67"/>
            </a:solidFill>
            <a:ln>
              <a:noFill/>
            </a:ln>
            <a:effectLst/>
          </c:spPr>
          <c:invertIfNegative val="0"/>
          <c:dLbls>
            <c:delete val="1"/>
          </c:dLbls>
          <c:cat>
            <c:strRef>
              <c:f>单位就业!$D$97:$D$105</c:f>
              <c:strCache>
                <c:ptCount val="9"/>
                <c:pt idx="0">
                  <c:v>珠三角区域</c:v>
                </c:pt>
                <c:pt idx="1">
                  <c:v>长沙市</c:v>
                </c:pt>
                <c:pt idx="2">
                  <c:v>长三角区域</c:v>
                </c:pt>
                <c:pt idx="3">
                  <c:v>湖南省内(除长沙市)</c:v>
                </c:pt>
                <c:pt idx="4">
                  <c:v>中部省份</c:v>
                </c:pt>
                <c:pt idx="5">
                  <c:v>其他区域</c:v>
                </c:pt>
                <c:pt idx="6">
                  <c:v>京津冀地区</c:v>
                </c:pt>
                <c:pt idx="7">
                  <c:v>西部省份</c:v>
                </c:pt>
                <c:pt idx="8">
                  <c:v>东北三省</c:v>
                </c:pt>
              </c:strCache>
            </c:strRef>
          </c:cat>
          <c:val>
            <c:numRef>
              <c:f>单位就业!$F$97:$F$105</c:f>
              <c:numCache>
                <c:formatCode>0.00%</c:formatCode>
                <c:ptCount val="9"/>
                <c:pt idx="0">
                  <c:v>0.2716</c:v>
                </c:pt>
                <c:pt idx="1">
                  <c:v>0.1975</c:v>
                </c:pt>
                <c:pt idx="2">
                  <c:v>0.1605</c:v>
                </c:pt>
                <c:pt idx="3">
                  <c:v>0.1235</c:v>
                </c:pt>
                <c:pt idx="4">
                  <c:v>0.0864</c:v>
                </c:pt>
                <c:pt idx="5">
                  <c:v>0.0864</c:v>
                </c:pt>
                <c:pt idx="6">
                  <c:v>0.037</c:v>
                </c:pt>
                <c:pt idx="7">
                  <c:v>0.0329</c:v>
                </c:pt>
                <c:pt idx="8">
                  <c:v>0.0042</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fccc9a28-8340-4204-ab9d-b7dee098263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3e356afe-5fed-41d6-aa47-d560d2d6a7e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1f5f5658-a6d9-4531-847f-2bd53386e77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8beec2f7-56d5-4cd5-aa32-72fdd919355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8ae2c346-84e2-4886-9ce0-5c343738782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89bb4f56-5ac3-49a3-afb3-72e679bd082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a83d1b57-ca4d-40e3-bffe-8be60b6648a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d0e32a89-3958-4ec9-b1e2-1032bbeb1c2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8d689168-ebbf-4f7f-8abb-d2270d61c37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单位就业!$D$97:$D$105</c:f>
              <c:strCache>
                <c:ptCount val="9"/>
                <c:pt idx="0">
                  <c:v>珠三角区域</c:v>
                </c:pt>
                <c:pt idx="1">
                  <c:v>长沙市</c:v>
                </c:pt>
                <c:pt idx="2">
                  <c:v>长三角区域</c:v>
                </c:pt>
                <c:pt idx="3">
                  <c:v>湖南省内(除长沙市)</c:v>
                </c:pt>
                <c:pt idx="4">
                  <c:v>中部省份</c:v>
                </c:pt>
                <c:pt idx="5">
                  <c:v>其他区域</c:v>
                </c:pt>
                <c:pt idx="6">
                  <c:v>京津冀地区</c:v>
                </c:pt>
                <c:pt idx="7">
                  <c:v>西部省份</c:v>
                </c:pt>
                <c:pt idx="8">
                  <c:v>东北三省</c:v>
                </c:pt>
              </c:strCache>
            </c:strRef>
          </c:cat>
          <c:val>
            <c:numRef>
              <c:f>单位就业!$G$97:$G$105</c:f>
              <c:numCache>
                <c:formatCode>0.00000%</c:formatCode>
                <c:ptCount val="9"/>
                <c:pt idx="0">
                  <c:v>0.05432</c:v>
                </c:pt>
                <c:pt idx="1">
                  <c:v>0.12842</c:v>
                </c:pt>
                <c:pt idx="2">
                  <c:v>0.16542</c:v>
                </c:pt>
                <c:pt idx="3">
                  <c:v>0.20242</c:v>
                </c:pt>
                <c:pt idx="4">
                  <c:v>0.23952</c:v>
                </c:pt>
                <c:pt idx="5">
                  <c:v>0.23952</c:v>
                </c:pt>
                <c:pt idx="6">
                  <c:v>0.28892</c:v>
                </c:pt>
                <c:pt idx="7">
                  <c:v>0.29302</c:v>
                </c:pt>
                <c:pt idx="8">
                  <c:v>0.32172</c:v>
                </c:pt>
              </c:numCache>
            </c:numRef>
          </c:val>
          <c:extLst>
            <c:ext xmlns:c15="http://schemas.microsoft.com/office/drawing/2012/chart" uri="{02D57815-91ED-43cb-92C2-25804820EDAC}">
              <c15:datalabelsRange>
                <c15:f>单位就业!$F$97:$F$105</c15:f>
                <c15:dlblRangeCache>
                  <c:ptCount val="9"/>
                  <c:pt idx="0">
                    <c:v>27.16%</c:v>
                  </c:pt>
                  <c:pt idx="1">
                    <c:v>19.75%</c:v>
                  </c:pt>
                  <c:pt idx="2">
                    <c:v>16.05%</c:v>
                  </c:pt>
                  <c:pt idx="3">
                    <c:v>12.35%</c:v>
                  </c:pt>
                  <c:pt idx="4">
                    <c:v>8.64%</c:v>
                  </c:pt>
                  <c:pt idx="5">
                    <c:v>8.64%</c:v>
                  </c:pt>
                  <c:pt idx="6">
                    <c:v>3.70%</c:v>
                  </c:pt>
                  <c:pt idx="7">
                    <c:v>3.29%</c:v>
                  </c:pt>
                  <c:pt idx="8">
                    <c:v>0.42%</c:v>
                  </c:pt>
                </c15:dlblRangeCache>
              </c15:datalabelsRange>
            </c:ext>
          </c:extLst>
        </c:ser>
        <c:dLbls>
          <c:showLegendKey val="0"/>
          <c:showVal val="1"/>
          <c:showCatName val="0"/>
          <c:showSerName val="0"/>
          <c:showPercent val="0"/>
          <c:showBubbleSize val="0"/>
        </c:dLbls>
        <c:gapWidth val="150"/>
        <c:overlap val="100"/>
        <c:axId val="773741768"/>
        <c:axId val="773745376"/>
      </c:barChart>
      <c:catAx>
        <c:axId val="773741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745376"/>
        <c:crosses val="autoZero"/>
        <c:auto val="1"/>
        <c:lblAlgn val="ctr"/>
        <c:lblOffset val="100"/>
        <c:noMultiLvlLbl val="0"/>
      </c:catAx>
      <c:valAx>
        <c:axId val="77374537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741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113F6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Lbls>
            <c:delete val="1"/>
          </c:dLbls>
          <c:cat>
            <c:strRef>
              <c:f>'2输出'!$L$195:$L$201</c:f>
              <c:strCache>
                <c:ptCount val="7"/>
                <c:pt idx="0">
                  <c:v>校园招聘</c:v>
                </c:pt>
                <c:pt idx="1">
                  <c:v>在实习（见习）中选拔</c:v>
                </c:pt>
                <c:pt idx="2">
                  <c:v>定向（订单）培养</c:v>
                </c:pt>
                <c:pt idx="3">
                  <c:v>网络招聘</c:v>
                </c:pt>
                <c:pt idx="4">
                  <c:v>社会招聘</c:v>
                </c:pt>
                <c:pt idx="5">
                  <c:v>学生自荐</c:v>
                </c:pt>
                <c:pt idx="6">
                  <c:v>其他</c:v>
                </c:pt>
              </c:strCache>
            </c:strRef>
          </c:cat>
          <c:val>
            <c:numRef>
              <c:f>'2输出'!$M$195:$M$201</c:f>
              <c:numCache>
                <c:formatCode>0.00%</c:formatCode>
                <c:ptCount val="7"/>
                <c:pt idx="0">
                  <c:v>0.6724</c:v>
                </c:pt>
                <c:pt idx="1">
                  <c:v>0.1552</c:v>
                </c:pt>
                <c:pt idx="2">
                  <c:v>0.0862</c:v>
                </c:pt>
                <c:pt idx="3">
                  <c:v>0.0575</c:v>
                </c:pt>
                <c:pt idx="4">
                  <c:v>0.0115</c:v>
                </c:pt>
                <c:pt idx="5">
                  <c:v>0.0115</c:v>
                </c:pt>
                <c:pt idx="6">
                  <c:v>0.00570000000000015</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44ddff4c-83ce-462d-ba75-87271cdd4ad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5e82d0f-475e-4b41-9674-455d83ea109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8270e2eb-842b-44d3-9f7d-697a3c2fd53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73ade76e-d8de-4f2c-90d6-6bb2da19493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6795e898-a4b0-4293-bdcf-6c6f810a53f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4923eb12-1239-4586-bc1d-20155b0e024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23633df2-3e96-4bc1-a6ad-f877e3a20d5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'2输出'!$L$195:$L$201</c:f>
              <c:strCache>
                <c:ptCount val="7"/>
                <c:pt idx="0">
                  <c:v>校园招聘</c:v>
                </c:pt>
                <c:pt idx="1">
                  <c:v>在实习（见习）中选拔</c:v>
                </c:pt>
                <c:pt idx="2">
                  <c:v>定向（订单）培养</c:v>
                </c:pt>
                <c:pt idx="3">
                  <c:v>网络招聘</c:v>
                </c:pt>
                <c:pt idx="4">
                  <c:v>社会招聘</c:v>
                </c:pt>
                <c:pt idx="5">
                  <c:v>学生自荐</c:v>
                </c:pt>
                <c:pt idx="6">
                  <c:v>其他</c:v>
                </c:pt>
              </c:strCache>
            </c:strRef>
          </c:cat>
          <c:val>
            <c:numRef>
              <c:f>'2输出'!$N$195:$N$201</c:f>
              <c:numCache>
                <c:formatCode>0%</c:formatCode>
                <c:ptCount val="7"/>
                <c:pt idx="0">
                  <c:v>0.13448</c:v>
                </c:pt>
                <c:pt idx="1">
                  <c:v>0.65168</c:v>
                </c:pt>
                <c:pt idx="2">
                  <c:v>0.72068</c:v>
                </c:pt>
                <c:pt idx="3">
                  <c:v>0.74938</c:v>
                </c:pt>
                <c:pt idx="4">
                  <c:v>0.79538</c:v>
                </c:pt>
                <c:pt idx="5">
                  <c:v>0.79538</c:v>
                </c:pt>
                <c:pt idx="6">
                  <c:v>0.80118</c:v>
                </c:pt>
              </c:numCache>
            </c:numRef>
          </c:val>
          <c:extLst>
            <c:ext xmlns:c15="http://schemas.microsoft.com/office/drawing/2012/chart" uri="{02D57815-91ED-43cb-92C2-25804820EDAC}">
              <c15:datalabelsRange>
                <c15:f>'2输出'!$M$195:$M$201</c15:f>
                <c15:dlblRangeCache>
                  <c:ptCount val="7"/>
                  <c:pt idx="0">
                    <c:v>67.24%</c:v>
                  </c:pt>
                  <c:pt idx="1">
                    <c:v>15.52%</c:v>
                  </c:pt>
                  <c:pt idx="2">
                    <c:v>8.62%</c:v>
                  </c:pt>
                  <c:pt idx="3">
                    <c:v>5.75%</c:v>
                  </c:pt>
                  <c:pt idx="4">
                    <c:v>1.15%</c:v>
                  </c:pt>
                  <c:pt idx="5">
                    <c:v>1.15%</c:v>
                  </c:pt>
                  <c:pt idx="6">
                    <c:v>0.57%</c:v>
                  </c:pt>
                </c15:dlblRangeCache>
              </c15:datalabelsRange>
            </c:ext>
          </c:extLst>
        </c:ser>
        <c:dLbls>
          <c:showLegendKey val="0"/>
          <c:showVal val="0"/>
          <c:showCatName val="0"/>
          <c:showSerName val="0"/>
          <c:showPercent val="0"/>
          <c:showBubbleSize val="0"/>
        </c:dLbls>
        <c:gapWidth val="150"/>
        <c:overlap val="100"/>
        <c:axId val="1531864056"/>
        <c:axId val="1531868976"/>
      </c:barChart>
      <c:catAx>
        <c:axId val="153186405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8976"/>
        <c:crosses val="autoZero"/>
        <c:auto val="1"/>
        <c:lblAlgn val="ctr"/>
        <c:lblOffset val="100"/>
        <c:noMultiLvlLbl val="0"/>
      </c:catAx>
      <c:valAx>
        <c:axId val="1531868976"/>
        <c:scaling>
          <c:orientation val="minMax"/>
          <c:max val="0.8"/>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4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Lbls>
            <c:delete val="1"/>
          </c:dLbls>
          <c:cat>
            <c:strRef>
              <c:f>'2输出'!$L$332:$L$339</c:f>
              <c:strCache>
                <c:ptCount val="8"/>
                <c:pt idx="0">
                  <c:v>综合素质</c:v>
                </c:pt>
                <c:pt idx="1">
                  <c:v>社会适应能力</c:v>
                </c:pt>
                <c:pt idx="2">
                  <c:v>所学专业</c:v>
                </c:pt>
                <c:pt idx="3">
                  <c:v>学习成绩</c:v>
                </c:pt>
                <c:pt idx="4">
                  <c:v>学历层次</c:v>
                </c:pt>
                <c:pt idx="5">
                  <c:v>是否学生干部</c:v>
                </c:pt>
                <c:pt idx="6">
                  <c:v>在校获奖情况</c:v>
                </c:pt>
                <c:pt idx="7">
                  <c:v>社会关系</c:v>
                </c:pt>
              </c:strCache>
            </c:strRef>
          </c:cat>
          <c:val>
            <c:numRef>
              <c:f>'2输出'!$M$332:$M$339</c:f>
              <c:numCache>
                <c:formatCode>0.00%</c:formatCode>
                <c:ptCount val="8"/>
                <c:pt idx="0">
                  <c:v>0.5309</c:v>
                </c:pt>
                <c:pt idx="1">
                  <c:v>0.4074</c:v>
                </c:pt>
                <c:pt idx="2">
                  <c:v>0.321</c:v>
                </c:pt>
                <c:pt idx="3">
                  <c:v>0.1728</c:v>
                </c:pt>
                <c:pt idx="4">
                  <c:v>0.0988</c:v>
                </c:pt>
                <c:pt idx="5">
                  <c:v>0.0741</c:v>
                </c:pt>
                <c:pt idx="6">
                  <c:v>0.0494</c:v>
                </c:pt>
                <c:pt idx="7">
                  <c:v>0.0206</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8291f567-487c-49bc-ac6b-d43341294f0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d9b2161e-6b80-4476-9d75-98025b1395d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5f286bd5-2df8-4548-b88d-8efcd22603d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b1db5f5f-926c-4629-9466-bac23739e90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6dea18e4-68a8-431b-bd27-e808aa42ca7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30f9fcb0-8301-428b-80a9-6f5a69e142f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682d453a-05b8-49f2-8bc6-db3aa8dc7fb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f8f69fed-db6b-49d4-bd86-c5e4c5c0a32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'2输出'!$L$332:$L$339</c:f>
              <c:strCache>
                <c:ptCount val="8"/>
                <c:pt idx="0">
                  <c:v>综合素质</c:v>
                </c:pt>
                <c:pt idx="1">
                  <c:v>社会适应能力</c:v>
                </c:pt>
                <c:pt idx="2">
                  <c:v>所学专业</c:v>
                </c:pt>
                <c:pt idx="3">
                  <c:v>学习成绩</c:v>
                </c:pt>
                <c:pt idx="4">
                  <c:v>学历层次</c:v>
                </c:pt>
                <c:pt idx="5">
                  <c:v>是否学生干部</c:v>
                </c:pt>
                <c:pt idx="6">
                  <c:v>在校获奖情况</c:v>
                </c:pt>
                <c:pt idx="7">
                  <c:v>社会关系</c:v>
                </c:pt>
              </c:strCache>
            </c:strRef>
          </c:cat>
          <c:val>
            <c:numRef>
              <c:f>'2输出'!$N$332:$N$339</c:f>
              <c:numCache>
                <c:formatCode>0%</c:formatCode>
                <c:ptCount val="8"/>
                <c:pt idx="0">
                  <c:v>0.410766666666667</c:v>
                </c:pt>
                <c:pt idx="1">
                  <c:v>0.534266666666667</c:v>
                </c:pt>
                <c:pt idx="2">
                  <c:v>0.620666666666667</c:v>
                </c:pt>
                <c:pt idx="3">
                  <c:v>0.768866666666667</c:v>
                </c:pt>
                <c:pt idx="4">
                  <c:v>0.842866666666667</c:v>
                </c:pt>
                <c:pt idx="5">
                  <c:v>0.867566666666667</c:v>
                </c:pt>
                <c:pt idx="6">
                  <c:v>0.892266666666667</c:v>
                </c:pt>
                <c:pt idx="7">
                  <c:v>0.921066666666667</c:v>
                </c:pt>
              </c:numCache>
            </c:numRef>
          </c:val>
          <c:extLst>
            <c:ext xmlns:c15="http://schemas.microsoft.com/office/drawing/2012/chart" uri="{02D57815-91ED-43cb-92C2-25804820EDAC}">
              <c15:datalabelsRange>
                <c15:f>'2输出'!$M$332:$M$339</c15:f>
                <c15:dlblRangeCache>
                  <c:ptCount val="8"/>
                  <c:pt idx="0">
                    <c:v>53.09%</c:v>
                  </c:pt>
                  <c:pt idx="1">
                    <c:v>40.74%</c:v>
                  </c:pt>
                  <c:pt idx="2">
                    <c:v>32.10%</c:v>
                  </c:pt>
                  <c:pt idx="3">
                    <c:v>17.28%</c:v>
                  </c:pt>
                  <c:pt idx="4">
                    <c:v>9.88%</c:v>
                  </c:pt>
                  <c:pt idx="5">
                    <c:v>7.41%</c:v>
                  </c:pt>
                  <c:pt idx="6">
                    <c:v>4.94%</c:v>
                  </c:pt>
                  <c:pt idx="7">
                    <c:v>2.06%</c:v>
                  </c:pt>
                </c15:dlblRangeCache>
              </c15:datalabelsRange>
            </c:ext>
          </c:extLst>
        </c:ser>
        <c:dLbls>
          <c:showLegendKey val="0"/>
          <c:showVal val="0"/>
          <c:showCatName val="0"/>
          <c:showSerName val="0"/>
          <c:showPercent val="0"/>
          <c:showBubbleSize val="0"/>
        </c:dLbls>
        <c:gapWidth val="100"/>
        <c:overlap val="100"/>
        <c:axId val="1491461408"/>
        <c:axId val="1491459440"/>
      </c:barChart>
      <c:catAx>
        <c:axId val="14914614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59440"/>
        <c:crosses val="autoZero"/>
        <c:auto val="1"/>
        <c:lblAlgn val="ctr"/>
        <c:lblOffset val="100"/>
        <c:noMultiLvlLbl val="0"/>
      </c:catAx>
      <c:valAx>
        <c:axId val="1491459440"/>
        <c:scaling>
          <c:orientation val="minMax"/>
          <c:max val="0.6"/>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6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46968803166705"/>
          <c:y val="0.435185042735043"/>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Pt>
            <c:idx val="4"/>
            <c:bubble3D val="0"/>
            <c:spPr>
              <a:solidFill>
                <a:srgbClr val="ECF4F3"/>
              </a:solidFill>
              <a:ln w="19050">
                <a:solidFill>
                  <a:schemeClr val="lt1"/>
                </a:solidFill>
              </a:ln>
              <a:effectLst/>
            </c:spPr>
          </c:dPt>
          <c:dLbls>
            <c:dLbl>
              <c:idx val="0"/>
              <c:layout>
                <c:manualLayout>
                  <c:x val="0.0868621064060803"/>
                  <c:y val="-0.113974358974359"/>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50054288816504"/>
                  <c:y val="0.0814102564102563"/>
                </c:manualLayout>
              </c:layout>
              <c:numFmt formatCode="General" sourceLinked="1"/>
              <c:spPr>
                <a:noFill/>
                <a:ln>
                  <a:noFill/>
                </a:ln>
                <a:effectLst/>
              </c:spPr>
              <c:txPr>
                <a:bodyPr rot="0" spcFirstLastPara="1" vertOverflow="ellipsis" vert="horz" wrap="square" lIns="38100" tIns="19050" rIns="38100" bIns="19050" anchor="ctr" anchorCtr="0">
                  <a:noAutofit/>
                </a:bodyPr>
                <a:lstStyle/>
                <a:p>
                  <a:pPr algn="ctr">
                    <a:defRPr lang="en-US" alt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16571554370036"/>
                      <c:h val="0.174597863247863"/>
                    </c:manualLayout>
                  </c15:layout>
                </c:ext>
              </c:extLst>
            </c:dLbl>
            <c:dLbl>
              <c:idx val="2"/>
              <c:layout>
                <c:manualLayout>
                  <c:x val="-0.0814332247557003"/>
                  <c:y val="0.070555555555555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651465798045603"/>
                  <c:y val="-0.1248290598290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0271444082519006"/>
                  <c:y val="-0.14111090930458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lang="en-US" alt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'2输出'!$E$239:$E$243</c:f>
              <c:strCache>
                <c:ptCount val="5"/>
                <c:pt idx="0">
                  <c:v>非常关注</c:v>
                </c:pt>
                <c:pt idx="1">
                  <c:v>比较关注</c:v>
                </c:pt>
                <c:pt idx="2">
                  <c:v>一般</c:v>
                </c:pt>
                <c:pt idx="3">
                  <c:v>不太关注</c:v>
                </c:pt>
                <c:pt idx="4">
                  <c:v>很不关注</c:v>
                </c:pt>
              </c:strCache>
            </c:strRef>
          </c:cat>
          <c:val>
            <c:numRef>
              <c:f>'2输出'!$H$239:$H$243</c:f>
              <c:numCache>
                <c:formatCode>0.00%</c:formatCode>
                <c:ptCount val="5"/>
                <c:pt idx="0">
                  <c:v>0.2011</c:v>
                </c:pt>
                <c:pt idx="1">
                  <c:v>0.3046</c:v>
                </c:pt>
                <c:pt idx="2">
                  <c:v>0.2816</c:v>
                </c:pt>
                <c:pt idx="3">
                  <c:v>0.1839</c:v>
                </c:pt>
                <c:pt idx="4">
                  <c:v>0.0287999999999999</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360A3"/>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Pt>
            <c:idx val="7"/>
            <c:invertIfNegative val="0"/>
            <c:bubble3D val="0"/>
            <c:spPr>
              <a:solidFill>
                <a:srgbClr val="113F67"/>
              </a:solidFill>
              <a:ln>
                <a:noFill/>
              </a:ln>
              <a:effectLst/>
            </c:spPr>
          </c:dPt>
          <c:dPt>
            <c:idx val="8"/>
            <c:invertIfNegative val="0"/>
            <c:bubble3D val="0"/>
            <c:spPr>
              <a:solidFill>
                <a:srgbClr val="113F67"/>
              </a:solidFill>
              <a:ln>
                <a:noFill/>
              </a:ln>
              <a:effectLst/>
            </c:spPr>
          </c:dPt>
          <c:dPt>
            <c:idx val="9"/>
            <c:invertIfNegative val="0"/>
            <c:bubble3D val="0"/>
            <c:spPr>
              <a:solidFill>
                <a:srgbClr val="113F67"/>
              </a:solidFill>
              <a:ln>
                <a:noFill/>
              </a:ln>
              <a:effectLst/>
            </c:spPr>
          </c:dPt>
          <c:dPt>
            <c:idx val="10"/>
            <c:invertIfNegative val="0"/>
            <c:bubble3D val="0"/>
            <c:spPr>
              <a:solidFill>
                <a:srgbClr val="113F67"/>
              </a:solidFill>
              <a:ln>
                <a:noFill/>
              </a:ln>
              <a:effectLst/>
            </c:spPr>
          </c:dPt>
          <c:dPt>
            <c:idx val="11"/>
            <c:invertIfNegative val="0"/>
            <c:bubble3D val="0"/>
            <c:spPr>
              <a:solidFill>
                <a:srgbClr val="113F67"/>
              </a:solidFill>
              <a:ln>
                <a:noFill/>
              </a:ln>
              <a:effectLst/>
            </c:spPr>
          </c:dPt>
          <c:dPt>
            <c:idx val="12"/>
            <c:invertIfNegative val="0"/>
            <c:bubble3D val="0"/>
            <c:spPr>
              <a:solidFill>
                <a:srgbClr val="113F67"/>
              </a:solidFill>
              <a:ln>
                <a:noFill/>
              </a:ln>
              <a:effectLst/>
            </c:spPr>
          </c:dPt>
          <c:dPt>
            <c:idx val="13"/>
            <c:invertIfNegative val="0"/>
            <c:bubble3D val="0"/>
            <c:spPr>
              <a:solidFill>
                <a:srgbClr val="113F67"/>
              </a:solidFill>
              <a:ln>
                <a:noFill/>
              </a:ln>
              <a:effectLst/>
            </c:spPr>
          </c:dPt>
          <c:dPt>
            <c:idx val="14"/>
            <c:invertIfNegative val="0"/>
            <c:bubble3D val="0"/>
            <c:spPr>
              <a:solidFill>
                <a:srgbClr val="113F67"/>
              </a:solidFill>
              <a:ln>
                <a:noFill/>
              </a:ln>
              <a:effectLst/>
            </c:spPr>
          </c:dPt>
          <c:dPt>
            <c:idx val="15"/>
            <c:invertIfNegative val="0"/>
            <c:bubble3D val="0"/>
            <c:spPr>
              <a:solidFill>
                <a:srgbClr val="113F67"/>
              </a:solidFill>
              <a:ln>
                <a:noFill/>
              </a:ln>
              <a:effectLst/>
            </c:spPr>
          </c:dPt>
          <c:dPt>
            <c:idx val="16"/>
            <c:invertIfNegative val="0"/>
            <c:bubble3D val="0"/>
            <c:spPr>
              <a:solidFill>
                <a:srgbClr val="113F67"/>
              </a:solidFill>
              <a:ln>
                <a:noFill/>
              </a:ln>
              <a:effectLst/>
            </c:spPr>
          </c:dPt>
          <c:dPt>
            <c:idx val="17"/>
            <c:invertIfNegative val="0"/>
            <c:bubble3D val="0"/>
            <c:spPr>
              <a:solidFill>
                <a:srgbClr val="113F67"/>
              </a:solidFill>
              <a:ln>
                <a:noFill/>
              </a:ln>
              <a:effectLst/>
            </c:spPr>
          </c:dPt>
          <c:dLbls>
            <c:delete val="1"/>
          </c:dLbls>
          <c:cat>
            <c:strRef>
              <c:f>'2输出'!$L$215:$L$232</c:f>
              <c:strCache>
                <c:ptCount val="18"/>
                <c:pt idx="0">
                  <c:v>管理类</c:v>
                </c:pt>
                <c:pt idx="1">
                  <c:v>市场营销和电子商务类</c:v>
                </c:pt>
                <c:pt idx="2">
                  <c:v>电子信息和计算机类</c:v>
                </c:pt>
                <c:pt idx="3">
                  <c:v>数学、物理、化学等基础学科类</c:v>
                </c:pt>
                <c:pt idx="4">
                  <c:v>外语语言类</c:v>
                </c:pt>
                <c:pt idx="5">
                  <c:v>汉语言文学类</c:v>
                </c:pt>
                <c:pt idx="6">
                  <c:v>师范教育类</c:v>
                </c:pt>
                <c:pt idx="7">
                  <c:v>土建土木类</c:v>
                </c:pt>
                <c:pt idx="8">
                  <c:v>金融经济类</c:v>
                </c:pt>
                <c:pt idx="9">
                  <c:v>其他</c:v>
                </c:pt>
                <c:pt idx="10">
                  <c:v>艺术和设计类</c:v>
                </c:pt>
                <c:pt idx="11">
                  <c:v>交通工程类</c:v>
                </c:pt>
                <c:pt idx="12">
                  <c:v>交通运输类</c:v>
                </c:pt>
                <c:pt idx="13">
                  <c:v>电子商务类</c:v>
                </c:pt>
                <c:pt idx="14">
                  <c:v>法学法律类</c:v>
                </c:pt>
                <c:pt idx="15">
                  <c:v>生命科学类</c:v>
                </c:pt>
                <c:pt idx="16">
                  <c:v>农、林、牧、渔业类</c:v>
                </c:pt>
                <c:pt idx="17">
                  <c:v>医疗卫生类</c:v>
                </c:pt>
              </c:strCache>
            </c:strRef>
          </c:cat>
          <c:val>
            <c:numRef>
              <c:f>'2输出'!$M$215:$M$232</c:f>
              <c:numCache>
                <c:formatCode>0.00%</c:formatCode>
                <c:ptCount val="18"/>
                <c:pt idx="0">
                  <c:v>0.2039</c:v>
                </c:pt>
                <c:pt idx="1">
                  <c:v>0.1765</c:v>
                </c:pt>
                <c:pt idx="2">
                  <c:v>0.1412</c:v>
                </c:pt>
                <c:pt idx="3">
                  <c:v>0.1333</c:v>
                </c:pt>
                <c:pt idx="4">
                  <c:v>0.1176</c:v>
                </c:pt>
                <c:pt idx="5">
                  <c:v>0.1059</c:v>
                </c:pt>
                <c:pt idx="6">
                  <c:v>0.098</c:v>
                </c:pt>
                <c:pt idx="7">
                  <c:v>0.0941</c:v>
                </c:pt>
                <c:pt idx="8">
                  <c:v>0.0824</c:v>
                </c:pt>
                <c:pt idx="9">
                  <c:v>0.0784</c:v>
                </c:pt>
                <c:pt idx="10">
                  <c:v>0.0667</c:v>
                </c:pt>
                <c:pt idx="11">
                  <c:v>0.0471</c:v>
                </c:pt>
                <c:pt idx="12">
                  <c:v>0.0392</c:v>
                </c:pt>
                <c:pt idx="13">
                  <c:v>0.0353</c:v>
                </c:pt>
                <c:pt idx="14">
                  <c:v>0.0196</c:v>
                </c:pt>
                <c:pt idx="15">
                  <c:v>0.0157</c:v>
                </c:pt>
                <c:pt idx="16">
                  <c:v>0.0157</c:v>
                </c:pt>
                <c:pt idx="17">
                  <c:v>0.0078</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a045ccbd-1791-4b3b-8690-cded05cb33a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a23a026b-c7fd-4c58-a952-223883536b3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e2f0e9a7-e74e-43bd-b66f-5df30ad951a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4df73aa-3dc7-480b-a60c-dd8e934227a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4f21cae4-110d-4de2-a629-d2aedcc9e87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e28b7a17-22e9-4bd0-b758-0992d71042a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548c59c9-2525-410c-aec8-2539ba4ee18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406a2a6c-beaf-4a47-9dad-de9d30529e1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0cb1a4f3-35ce-4586-ad99-1160d686722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cedf6a79-be50-4b55-b94b-aba8adafb48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46cbe60a-50d6-429f-a1c8-bf2f317dabf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e2fd9d1a-b828-473b-91f9-e3ac58836f4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4807d3ee-0d0b-454f-9bcb-fe1cbcd82a0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623e98e4-9817-423f-817a-8d8f41f48df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57bcee15-2910-477b-b176-b87baf294be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e1d334bc-97ec-4ef2-be4a-d762a10d81b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c12a3ae5-6e99-4d9b-ab2c-0789f46b7ed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20d44c95-890a-4711-8b18-b7225f4762f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'2输出'!$L$215:$L$232</c:f>
              <c:strCache>
                <c:ptCount val="18"/>
                <c:pt idx="0">
                  <c:v>管理类</c:v>
                </c:pt>
                <c:pt idx="1">
                  <c:v>市场营销和电子商务类</c:v>
                </c:pt>
                <c:pt idx="2">
                  <c:v>电子信息和计算机类</c:v>
                </c:pt>
                <c:pt idx="3">
                  <c:v>数学、物理、化学等基础学科类</c:v>
                </c:pt>
                <c:pt idx="4">
                  <c:v>外语语言类</c:v>
                </c:pt>
                <c:pt idx="5">
                  <c:v>汉语言文学类</c:v>
                </c:pt>
                <c:pt idx="6">
                  <c:v>师范教育类</c:v>
                </c:pt>
                <c:pt idx="7">
                  <c:v>土建土木类</c:v>
                </c:pt>
                <c:pt idx="8">
                  <c:v>金融经济类</c:v>
                </c:pt>
                <c:pt idx="9">
                  <c:v>其他</c:v>
                </c:pt>
                <c:pt idx="10">
                  <c:v>艺术和设计类</c:v>
                </c:pt>
                <c:pt idx="11">
                  <c:v>交通工程类</c:v>
                </c:pt>
                <c:pt idx="12">
                  <c:v>交通运输类</c:v>
                </c:pt>
                <c:pt idx="13">
                  <c:v>电子商务类</c:v>
                </c:pt>
                <c:pt idx="14">
                  <c:v>法学法律类</c:v>
                </c:pt>
                <c:pt idx="15">
                  <c:v>生命科学类</c:v>
                </c:pt>
                <c:pt idx="16">
                  <c:v>农、林、牧、渔业类</c:v>
                </c:pt>
                <c:pt idx="17">
                  <c:v>医疗卫生类</c:v>
                </c:pt>
              </c:strCache>
            </c:strRef>
          </c:cat>
          <c:val>
            <c:numRef>
              <c:f>'2输出'!$N$215:$N$232</c:f>
              <c:numCache>
                <c:formatCode>0%</c:formatCode>
                <c:ptCount val="18"/>
                <c:pt idx="0">
                  <c:v>0.187009090909091</c:v>
                </c:pt>
                <c:pt idx="1">
                  <c:v>0.214409090909091</c:v>
                </c:pt>
                <c:pt idx="2">
                  <c:v>0.249709090909091</c:v>
                </c:pt>
                <c:pt idx="3">
                  <c:v>0.257609090909091</c:v>
                </c:pt>
                <c:pt idx="4">
                  <c:v>0.273309090909091</c:v>
                </c:pt>
                <c:pt idx="5">
                  <c:v>0.285009090909091</c:v>
                </c:pt>
                <c:pt idx="6">
                  <c:v>0.292909090909091</c:v>
                </c:pt>
                <c:pt idx="7">
                  <c:v>0.296809090909091</c:v>
                </c:pt>
                <c:pt idx="8">
                  <c:v>0.308509090909091</c:v>
                </c:pt>
                <c:pt idx="9">
                  <c:v>0.312509090909091</c:v>
                </c:pt>
                <c:pt idx="10">
                  <c:v>0.324209090909091</c:v>
                </c:pt>
                <c:pt idx="11">
                  <c:v>0.343809090909091</c:v>
                </c:pt>
                <c:pt idx="12">
                  <c:v>0.351709090909091</c:v>
                </c:pt>
                <c:pt idx="13">
                  <c:v>0.355609090909091</c:v>
                </c:pt>
                <c:pt idx="14">
                  <c:v>0.371309090909091</c:v>
                </c:pt>
                <c:pt idx="15">
                  <c:v>0.375209090909091</c:v>
                </c:pt>
                <c:pt idx="16">
                  <c:v>0.375209090909091</c:v>
                </c:pt>
                <c:pt idx="17">
                  <c:v>0.383109090909091</c:v>
                </c:pt>
              </c:numCache>
            </c:numRef>
          </c:val>
          <c:extLst>
            <c:ext xmlns:c15="http://schemas.microsoft.com/office/drawing/2012/chart" uri="{02D57815-91ED-43cb-92C2-25804820EDAC}">
              <c15:datalabelsRange>
                <c15:f>'2输出'!$M$215:$M$232</c15:f>
                <c15:dlblRangeCache>
                  <c:ptCount val="18"/>
                  <c:pt idx="0">
                    <c:v>20.39%</c:v>
                  </c:pt>
                  <c:pt idx="1">
                    <c:v>17.65%</c:v>
                  </c:pt>
                  <c:pt idx="2">
                    <c:v>14.12%</c:v>
                  </c:pt>
                  <c:pt idx="3">
                    <c:v>13.33%</c:v>
                  </c:pt>
                  <c:pt idx="4">
                    <c:v>11.76%</c:v>
                  </c:pt>
                  <c:pt idx="5">
                    <c:v>10.59%</c:v>
                  </c:pt>
                  <c:pt idx="6">
                    <c:v>9.80%</c:v>
                  </c:pt>
                  <c:pt idx="7">
                    <c:v>9.41%</c:v>
                  </c:pt>
                  <c:pt idx="8">
                    <c:v>8.24%</c:v>
                  </c:pt>
                  <c:pt idx="9">
                    <c:v>7.84%</c:v>
                  </c:pt>
                  <c:pt idx="10">
                    <c:v>6.67%</c:v>
                  </c:pt>
                  <c:pt idx="11">
                    <c:v>4.71%</c:v>
                  </c:pt>
                  <c:pt idx="12">
                    <c:v>3.92%</c:v>
                  </c:pt>
                  <c:pt idx="13">
                    <c:v>3.53%</c:v>
                  </c:pt>
                  <c:pt idx="14">
                    <c:v>1.96%</c:v>
                  </c:pt>
                  <c:pt idx="15">
                    <c:v>1.57%</c:v>
                  </c:pt>
                  <c:pt idx="16">
                    <c:v>1.57%</c:v>
                  </c:pt>
                  <c:pt idx="17">
                    <c:v>0.78%</c:v>
                  </c:pt>
                </c15:dlblRangeCache>
              </c15:datalabelsRange>
            </c:ext>
          </c:extLst>
        </c:ser>
        <c:dLbls>
          <c:showLegendKey val="0"/>
          <c:showVal val="0"/>
          <c:showCatName val="0"/>
          <c:showSerName val="0"/>
          <c:showPercent val="0"/>
          <c:showBubbleSize val="0"/>
        </c:dLbls>
        <c:gapWidth val="150"/>
        <c:overlap val="100"/>
        <c:axId val="1531864056"/>
        <c:axId val="1531868976"/>
      </c:barChart>
      <c:catAx>
        <c:axId val="1531864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8976"/>
        <c:crosses val="autoZero"/>
        <c:auto val="1"/>
        <c:lblAlgn val="ctr"/>
        <c:lblOffset val="100"/>
        <c:noMultiLvlLbl val="0"/>
      </c:catAx>
      <c:valAx>
        <c:axId val="153186897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1864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8888888888889"/>
          <c:y val="0.435185185185185"/>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spPr>
            <a:solidFill>
              <a:srgbClr val="4472C4"/>
            </a:solidFill>
          </c:spPr>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rgbClr val="FBE5D6"/>
              </a:solidFill>
              <a:ln w="19050">
                <a:solidFill>
                  <a:schemeClr val="lt1"/>
                </a:solidFill>
              </a:ln>
              <a:effectLst/>
            </c:spPr>
          </c:dPt>
          <c:dLbls>
            <c:dLbl>
              <c:idx val="0"/>
              <c:layout>
                <c:manualLayout>
                  <c:x val="0.0705555555555556"/>
                  <c:y val="-0.0814102564102565"/>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868366115022596"/>
                  <c:y val="0.092265088302225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1111111111111"/>
                  <c:y val="-0.055555555555555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75"/>
                  <c:y val="-0.13425925925925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lang="en-US" alt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'2输出'!$F$369:$F$372</c:f>
              <c:strCache>
                <c:ptCount val="4"/>
                <c:pt idx="0">
                  <c:v>非常满意</c:v>
                </c:pt>
                <c:pt idx="1">
                  <c:v>比较满意</c:v>
                </c:pt>
                <c:pt idx="2">
                  <c:v>一般</c:v>
                </c:pt>
                <c:pt idx="3">
                  <c:v>不太满意</c:v>
                </c:pt>
              </c:strCache>
            </c:strRef>
          </c:cat>
          <c:val>
            <c:numRef>
              <c:f>'2输出'!$H$369:$H$372</c:f>
              <c:numCache>
                <c:formatCode>0.00%</c:formatCode>
                <c:ptCount val="4"/>
                <c:pt idx="0">
                  <c:v>0.3851</c:v>
                </c:pt>
                <c:pt idx="1">
                  <c:v>0.4368</c:v>
                </c:pt>
                <c:pt idx="2">
                  <c:v>0.1724</c:v>
                </c:pt>
                <c:pt idx="3">
                  <c:v>0.0057</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8888888888889"/>
          <c:y val="0.435185185185185"/>
        </c:manualLayout>
      </c:layout>
      <c:overlay val="0"/>
      <c:spPr>
        <a:noFill/>
        <a:ln>
          <a:noFill/>
        </a:ln>
        <a:effectLst/>
      </c:spPr>
      <c:tx>
        <c:rich>
          <a:bodyPr/>
          <a:lstStyle/>
          <a:p>
            <a:pPr>
              <a:defRPr/>
            </a:pPr>
          </a:p>
        </c:rich>
      </c:tx>
    </c:title>
    <c:autoTitleDeleted val="0"/>
    <c:plotArea>
      <c:layout>
        <c:manualLayout>
          <c:layoutTarget val="inner"/>
          <c:xMode val="edge"/>
          <c:yMode val="edge"/>
          <c:x val="0.284722222222222"/>
          <c:y val="0.155092592592593"/>
          <c:w val="0.438888888888889"/>
          <c:h val="0.731481481481482"/>
        </c:manualLayout>
      </c:layout>
      <c:doughnutChart>
        <c:varyColors val="1"/>
        <c:ser>
          <c:idx val="0"/>
          <c:order val="0"/>
          <c:explosion val="0"/>
          <c:dPt>
            <c:idx val="0"/>
            <c:bubble3D val="0"/>
            <c:spPr>
              <a:solidFill>
                <a:srgbClr val="113F67"/>
              </a:solidFill>
              <a:ln w="19050">
                <a:solidFill>
                  <a:schemeClr val="lt1"/>
                </a:solidFill>
              </a:ln>
              <a:effectLst/>
            </c:spPr>
          </c:dPt>
          <c:dPt>
            <c:idx val="1"/>
            <c:bubble3D val="0"/>
            <c:spPr>
              <a:solidFill>
                <a:srgbClr val="34699A"/>
              </a:solidFill>
              <a:ln w="19050">
                <a:solidFill>
                  <a:schemeClr val="lt1"/>
                </a:solidFill>
              </a:ln>
              <a:effectLst/>
            </c:spPr>
          </c:dPt>
          <c:dPt>
            <c:idx val="2"/>
            <c:bubble3D val="0"/>
            <c:spPr>
              <a:solidFill>
                <a:srgbClr val="93BDE2"/>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922649572649572"/>
                  <c:y val="-0.032564102564102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75982905982906"/>
                  <c:y val="0.11940170940170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569871794871795"/>
                  <c:y val="-0.1248290598290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'2输出'!$F$378:$F$381</c:f>
              <c:strCache>
                <c:ptCount val="4"/>
                <c:pt idx="0">
                  <c:v>非常满意</c:v>
                </c:pt>
                <c:pt idx="1">
                  <c:v>比较满意</c:v>
                </c:pt>
                <c:pt idx="2">
                  <c:v>一般</c:v>
                </c:pt>
                <c:pt idx="3">
                  <c:v>不太满意</c:v>
                </c:pt>
              </c:strCache>
            </c:strRef>
          </c:cat>
          <c:val>
            <c:numRef>
              <c:f>'2输出'!$H$378:$H$381</c:f>
              <c:numCache>
                <c:formatCode>0.00%</c:formatCode>
                <c:ptCount val="4"/>
                <c:pt idx="0">
                  <c:v>0.4138</c:v>
                </c:pt>
                <c:pt idx="1">
                  <c:v>0.431</c:v>
                </c:pt>
                <c:pt idx="2">
                  <c:v>0.1552</c:v>
                </c:pt>
                <c:pt idx="3">
                  <c:v>0</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65007799482"/>
          <c:y val="0.267314729428146"/>
          <c:w val="0.376070144686318"/>
          <c:h val="0.50352806906813"/>
        </c:manualLayout>
      </c:layout>
      <c:doughnutChart>
        <c:varyColors val="1"/>
        <c:ser>
          <c:idx val="1"/>
          <c:order val="1"/>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'2输出'!$M$401:$M$410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2"/>
          <c:order val="2"/>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'2输出'!$N$401:$N$410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3"/>
          <c:order val="3"/>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'2输出'!$O$401:$O$410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4"/>
          <c:order val="4"/>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'2输出'!$P$401:$P$410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5"/>
          <c:order val="5"/>
          <c:spPr>
            <a:solidFill>
              <a:schemeClr val="bg1">
                <a:lumMod val="95000"/>
              </a:schemeClr>
            </a:solidFill>
          </c:spPr>
          <c:explosion val="0"/>
          <c:dPt>
            <c:idx val="0"/>
            <c:bubble3D val="0"/>
            <c:spPr>
              <a:solidFill>
                <a:schemeClr val="bg1">
                  <a:lumMod val="95000"/>
                </a:schemeClr>
              </a:solidFill>
              <a:ln w="19050">
                <a:solidFill>
                  <a:schemeClr val="lt1"/>
                </a:solidFill>
              </a:ln>
              <a:effectLst/>
            </c:spPr>
          </c:dPt>
          <c:dPt>
            <c:idx val="1"/>
            <c:bubble3D val="0"/>
            <c:spPr>
              <a:solidFill>
                <a:schemeClr val="bg1">
                  <a:lumMod val="95000"/>
                </a:schemeClr>
              </a:solidFill>
              <a:ln w="19050">
                <a:solidFill>
                  <a:schemeClr val="lt1"/>
                </a:solidFill>
              </a:ln>
              <a:effectLst/>
            </c:spPr>
          </c:dPt>
          <c:dPt>
            <c:idx val="2"/>
            <c:bubble3D val="0"/>
            <c:spPr>
              <a:solidFill>
                <a:schemeClr val="bg1">
                  <a:lumMod val="95000"/>
                </a:schemeClr>
              </a:solidFill>
              <a:ln w="19050">
                <a:solidFill>
                  <a:schemeClr val="lt1"/>
                </a:solidFill>
              </a:ln>
              <a:effectLst/>
            </c:spPr>
          </c:dPt>
          <c:dPt>
            <c:idx val="3"/>
            <c:bubble3D val="0"/>
            <c:spPr>
              <a:solidFill>
                <a:schemeClr val="bg1">
                  <a:lumMod val="95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Pt>
            <c:idx val="5"/>
            <c:bubble3D val="0"/>
            <c:spPr>
              <a:solidFill>
                <a:schemeClr val="bg1">
                  <a:lumMod val="95000"/>
                </a:schemeClr>
              </a:solidFill>
              <a:ln w="19050">
                <a:solidFill>
                  <a:schemeClr val="lt1"/>
                </a:solidFill>
              </a:ln>
              <a:effectLst/>
            </c:spPr>
          </c:dPt>
          <c:dPt>
            <c:idx val="6"/>
            <c:bubble3D val="0"/>
            <c:spPr>
              <a:solidFill>
                <a:schemeClr val="bg1">
                  <a:lumMod val="95000"/>
                </a:schemeClr>
              </a:solidFill>
              <a:ln w="19050">
                <a:solidFill>
                  <a:schemeClr val="lt1"/>
                </a:solidFill>
              </a:ln>
              <a:effectLst/>
            </c:spPr>
          </c:dPt>
          <c:dPt>
            <c:idx val="7"/>
            <c:bubble3D val="0"/>
            <c:spPr>
              <a:solidFill>
                <a:schemeClr val="bg1">
                  <a:lumMod val="95000"/>
                </a:schemeClr>
              </a:solidFill>
              <a:ln w="19050">
                <a:solidFill>
                  <a:schemeClr val="lt1"/>
                </a:solidFill>
              </a:ln>
              <a:effectLst/>
            </c:spPr>
          </c:dPt>
          <c:dPt>
            <c:idx val="8"/>
            <c:bubble3D val="0"/>
            <c:spPr>
              <a:solidFill>
                <a:schemeClr val="bg1">
                  <a:lumMod val="95000"/>
                </a:schemeClr>
              </a:solidFill>
              <a:ln w="19050">
                <a:solidFill>
                  <a:schemeClr val="lt1"/>
                </a:solidFill>
              </a:ln>
              <a:effectLst/>
            </c:spPr>
          </c:dPt>
          <c:dPt>
            <c:idx val="9"/>
            <c:bubble3D val="0"/>
            <c:spPr>
              <a:solidFill>
                <a:schemeClr val="bg1">
                  <a:lumMod val="95000"/>
                </a:schemeClr>
              </a:solidFill>
              <a:ln w="19050">
                <a:solidFill>
                  <a:schemeClr val="lt1"/>
                </a:solidFill>
              </a:ln>
              <a:effectLst/>
            </c:spPr>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'2输出'!$Q$401:$Q$410</c:f>
              <c:numCache>
                <c:formatCode>General</c:formatCode>
                <c:ptCount val="10"/>
                <c:pt idx="0">
                  <c:v>1</c:v>
                </c:pt>
                <c:pt idx="1">
                  <c:v>1</c:v>
                </c:pt>
                <c:pt idx="2">
                  <c:v>1</c:v>
                </c:pt>
                <c:pt idx="3">
                  <c:v>1</c:v>
                </c:pt>
                <c:pt idx="4">
                  <c:v>1</c:v>
                </c:pt>
                <c:pt idx="5">
                  <c:v>1</c:v>
                </c:pt>
                <c:pt idx="6">
                  <c:v>1</c:v>
                </c:pt>
                <c:pt idx="7">
                  <c:v>1</c:v>
                </c:pt>
                <c:pt idx="8">
                  <c:v>1</c:v>
                </c:pt>
                <c:pt idx="9">
                  <c:v>1</c:v>
                </c:pt>
              </c:numCache>
            </c:numRef>
          </c:val>
        </c:ser>
        <c:dLbls>
          <c:showLegendKey val="0"/>
          <c:showVal val="0"/>
          <c:showCatName val="0"/>
          <c:showSerName val="0"/>
          <c:showPercent val="0"/>
          <c:showBubbleSize val="0"/>
          <c:showLeaderLines val="1"/>
        </c:dLbls>
        <c:firstSliceAng val="0"/>
        <c:holeSize val="0"/>
      </c:doughnutChart>
      <c:radarChart>
        <c:radarStyle val="marker"/>
        <c:varyColors val="0"/>
        <c:ser>
          <c:idx val="0"/>
          <c:order val="0"/>
          <c:spPr>
            <a:ln w="22225" cap="rnd">
              <a:solidFill>
                <a:srgbClr val="0360A3"/>
              </a:solidFill>
              <a:prstDash val="sysDash"/>
              <a:round/>
            </a:ln>
            <a:effectLst/>
          </c:spPr>
          <c:marker>
            <c:symbol val="circle"/>
            <c:size val="5"/>
            <c:spPr>
              <a:solidFill>
                <a:schemeClr val="accent1"/>
              </a:solidFill>
              <a:ln w="9525">
                <a:noFill/>
              </a:ln>
              <a:effectLst/>
            </c:spPr>
          </c:marker>
          <c:dPt>
            <c:idx val="0"/>
            <c:marker>
              <c:symbol val="circle"/>
              <c:size val="5"/>
              <c:spPr>
                <a:solidFill>
                  <a:srgbClr val="113F67"/>
                </a:solidFill>
                <a:ln w="9525">
                  <a:noFill/>
                </a:ln>
                <a:effectLst/>
              </c:spPr>
            </c:marker>
            <c:bubble3D val="0"/>
          </c:dPt>
          <c:dPt>
            <c:idx val="1"/>
            <c:marker>
              <c:symbol val="circle"/>
              <c:size val="5"/>
              <c:spPr>
                <a:solidFill>
                  <a:srgbClr val="113F67"/>
                </a:solidFill>
                <a:ln w="9525">
                  <a:noFill/>
                </a:ln>
                <a:effectLst/>
              </c:spPr>
            </c:marker>
            <c:bubble3D val="0"/>
          </c:dPt>
          <c:dPt>
            <c:idx val="2"/>
            <c:marker>
              <c:symbol val="circle"/>
              <c:size val="5"/>
              <c:spPr>
                <a:solidFill>
                  <a:srgbClr val="113F67"/>
                </a:solidFill>
                <a:ln w="9525">
                  <a:noFill/>
                </a:ln>
                <a:effectLst/>
              </c:spPr>
            </c:marker>
            <c:bubble3D val="0"/>
          </c:dPt>
          <c:dPt>
            <c:idx val="3"/>
            <c:marker>
              <c:symbol val="circle"/>
              <c:size val="5"/>
              <c:spPr>
                <a:solidFill>
                  <a:srgbClr val="113F67"/>
                </a:solidFill>
                <a:ln w="9525">
                  <a:noFill/>
                </a:ln>
                <a:effectLst/>
              </c:spPr>
            </c:marker>
            <c:bubble3D val="0"/>
          </c:dPt>
          <c:dPt>
            <c:idx val="4"/>
            <c:marker>
              <c:symbol val="circle"/>
              <c:size val="5"/>
              <c:spPr>
                <a:solidFill>
                  <a:srgbClr val="113F67"/>
                </a:solidFill>
                <a:ln w="9525">
                  <a:noFill/>
                </a:ln>
                <a:effectLst/>
              </c:spPr>
            </c:marker>
            <c:bubble3D val="0"/>
          </c:dPt>
          <c:dPt>
            <c:idx val="5"/>
            <c:marker>
              <c:symbol val="circle"/>
              <c:size val="5"/>
              <c:spPr>
                <a:solidFill>
                  <a:srgbClr val="113F67"/>
                </a:solidFill>
                <a:ln w="9525">
                  <a:noFill/>
                </a:ln>
                <a:effectLst/>
              </c:spPr>
            </c:marker>
            <c:bubble3D val="0"/>
          </c:dPt>
          <c:dPt>
            <c:idx val="6"/>
            <c:marker>
              <c:symbol val="circle"/>
              <c:size val="5"/>
              <c:spPr>
                <a:solidFill>
                  <a:srgbClr val="113F67"/>
                </a:solidFill>
                <a:ln w="9525">
                  <a:noFill/>
                </a:ln>
                <a:effectLst/>
              </c:spPr>
            </c:marker>
            <c:bubble3D val="0"/>
          </c:dPt>
          <c:dPt>
            <c:idx val="7"/>
            <c:marker>
              <c:symbol val="circle"/>
              <c:size val="5"/>
              <c:spPr>
                <a:solidFill>
                  <a:srgbClr val="113F67"/>
                </a:solidFill>
                <a:ln w="9525">
                  <a:noFill/>
                </a:ln>
                <a:effectLst/>
              </c:spPr>
            </c:marker>
            <c:bubble3D val="0"/>
          </c:dPt>
          <c:dPt>
            <c:idx val="8"/>
            <c:marker>
              <c:symbol val="circle"/>
              <c:size val="5"/>
              <c:spPr>
                <a:solidFill>
                  <a:srgbClr val="113F67"/>
                </a:solidFill>
                <a:ln w="9525">
                  <a:noFill/>
                </a:ln>
                <a:effectLst/>
              </c:spPr>
            </c:marker>
            <c:bubble3D val="0"/>
          </c:dPt>
          <c:dPt>
            <c:idx val="9"/>
            <c:marker>
              <c:symbol val="circle"/>
              <c:size val="5"/>
              <c:spPr>
                <a:solidFill>
                  <a:srgbClr val="113F67"/>
                </a:solidFill>
                <a:ln w="9525">
                  <a:noFill/>
                </a:ln>
                <a:effectLst/>
              </c:spPr>
            </c:marker>
            <c:bubble3D val="0"/>
          </c:dPt>
          <c:dLbls>
            <c:delete val="1"/>
          </c:dLbls>
          <c:cat>
            <c:strRef>
              <c:f>'2输出'!$E$401:$E$410</c:f>
              <c:strCache>
                <c:ptCount val="10"/>
                <c:pt idx="0">
                  <c:v>道德观、价值观与行为礼仪等基本素养
100.00%</c:v>
                </c:pt>
                <c:pt idx="1">
                  <c:v>人生态度、身体素质
100.00%</c:v>
                </c:pt>
                <c:pt idx="2">
                  <c:v>专业理论知识水平及视野宽广度
99.42%</c:v>
                </c:pt>
                <c:pt idx="3">
                  <c:v>专业技能掌握水平及实际操作能力
98.27%</c:v>
                </c:pt>
                <c:pt idx="4">
                  <c:v>逻辑思维与创新能力水平
98.84%</c:v>
                </c:pt>
                <c:pt idx="5">
                  <c:v>自主学习与能力拓展水平
98.27%</c:v>
                </c:pt>
                <c:pt idx="6">
                  <c:v>吃苦耐劳精神、抗压抗挫、对环境的适应、应变能力
95.88%</c:v>
                </c:pt>
                <c:pt idx="7">
                  <c:v>诚实、敬业、团队合作等职业素质水平
99.42%</c:v>
                </c:pt>
                <c:pt idx="8">
                  <c:v>语言表达、人际沟通、交往能力及人际关系
98.84%</c:v>
                </c:pt>
                <c:pt idx="9">
                  <c:v>项目策划、组织、主持与执行能力
99.42%</c:v>
                </c:pt>
              </c:strCache>
            </c:strRef>
          </c:cat>
          <c:val>
            <c:numRef>
              <c:f>'2输出'!$L$401:$L$410</c:f>
              <c:numCache>
                <c:formatCode>0.00%</c:formatCode>
                <c:ptCount val="10"/>
                <c:pt idx="0">
                  <c:v>1</c:v>
                </c:pt>
                <c:pt idx="1">
                  <c:v>1</c:v>
                </c:pt>
                <c:pt idx="2">
                  <c:v>0.9942</c:v>
                </c:pt>
                <c:pt idx="3">
                  <c:v>0.982658959537572</c:v>
                </c:pt>
                <c:pt idx="4">
                  <c:v>0.988439306358382</c:v>
                </c:pt>
                <c:pt idx="5">
                  <c:v>0.982658959537572</c:v>
                </c:pt>
                <c:pt idx="6">
                  <c:v>0.958823529411765</c:v>
                </c:pt>
                <c:pt idx="7">
                  <c:v>0.994152046783626</c:v>
                </c:pt>
                <c:pt idx="8">
                  <c:v>0.988372093023256</c:v>
                </c:pt>
                <c:pt idx="9">
                  <c:v>0.994219653179191</c:v>
                </c:pt>
              </c:numCache>
            </c:numRef>
          </c:val>
        </c:ser>
        <c:dLbls>
          <c:showLegendKey val="0"/>
          <c:showVal val="0"/>
          <c:showCatName val="0"/>
          <c:showSerName val="0"/>
          <c:showPercent val="0"/>
          <c:showBubbleSize val="0"/>
        </c:dLbls>
        <c:axId val="651638400"/>
        <c:axId val="651638072"/>
      </c:radarChart>
      <c:catAx>
        <c:axId val="651638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1638072"/>
        <c:crosses val="autoZero"/>
        <c:auto val="1"/>
        <c:lblAlgn val="ctr"/>
        <c:lblOffset val="100"/>
        <c:noMultiLvlLbl val="0"/>
      </c:catAx>
      <c:valAx>
        <c:axId val="651638072"/>
        <c:scaling>
          <c:orientation val="minMax"/>
          <c:max val="1.1"/>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163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'2-图形输出'!$H$179</c:f>
              <c:strCache>
                <c:ptCount val="1"/>
                <c:pt idx="0">
                  <c:v>辅助-占比</c:v>
                </c:pt>
              </c:strCache>
            </c:strRef>
          </c:tx>
          <c:spPr>
            <a:solidFill>
              <a:srgbClr val="0D3F67"/>
            </a:solidFill>
            <a:ln>
              <a:solidFill>
                <a:srgbClr val="0D3F67"/>
              </a:solidFill>
            </a:ln>
            <a:effectLst/>
          </c:spPr>
          <c:invertIfNegative val="0"/>
          <c:dLbls>
            <c:delete val="1"/>
          </c:dLbls>
          <c:cat>
            <c:strRef>
              <c:f>'2-图形输出'!$F$180:$F$199</c:f>
              <c:strCache>
                <c:ptCount val="20"/>
                <c:pt idx="0">
                  <c:v>教育</c:v>
                </c:pt>
                <c:pt idx="1">
                  <c:v>信息传输、软件和信息技术服务业</c:v>
                </c:pt>
                <c:pt idx="2">
                  <c:v>制造业</c:v>
                </c:pt>
                <c:pt idx="3">
                  <c:v>建筑业</c:v>
                </c:pt>
                <c:pt idx="4">
                  <c:v>文化、体育和娱乐业</c:v>
                </c:pt>
                <c:pt idx="5">
                  <c:v>批发和零售业</c:v>
                </c:pt>
                <c:pt idx="6">
                  <c:v>居民服务、修理和其他服务业</c:v>
                </c:pt>
                <c:pt idx="7">
                  <c:v>租赁和商务服务业</c:v>
                </c:pt>
                <c:pt idx="8">
                  <c:v>金融业</c:v>
                </c:pt>
                <c:pt idx="9">
                  <c:v>电力、热力、燃气及水生产和供应业</c:v>
                </c:pt>
                <c:pt idx="10">
                  <c:v>公共管理、社会保障和社会组织</c:v>
                </c:pt>
                <c:pt idx="11">
                  <c:v>科学研究和技术服务业</c:v>
                </c:pt>
                <c:pt idx="12">
                  <c:v>军队</c:v>
                </c:pt>
                <c:pt idx="13">
                  <c:v>卫生和社会工作</c:v>
                </c:pt>
                <c:pt idx="14">
                  <c:v>房地产业</c:v>
                </c:pt>
                <c:pt idx="15">
                  <c:v>住宿和餐饮业</c:v>
                </c:pt>
                <c:pt idx="16">
                  <c:v>交通运输、仓储和邮政业</c:v>
                </c:pt>
                <c:pt idx="17">
                  <c:v>农、林、牧、渔业</c:v>
                </c:pt>
                <c:pt idx="18">
                  <c:v>水利、环境和公共设施管理业</c:v>
                </c:pt>
                <c:pt idx="19">
                  <c:v>采矿业</c:v>
                </c:pt>
              </c:strCache>
            </c:strRef>
          </c:cat>
          <c:val>
            <c:numRef>
              <c:f>'2-图形输出'!$H$180:$H$199</c:f>
              <c:numCache>
                <c:formatCode>0%</c:formatCode>
                <c:ptCount val="20"/>
                <c:pt idx="0">
                  <c:v>0.251741896395032</c:v>
                </c:pt>
                <c:pt idx="1">
                  <c:v>0.154498636776734</c:v>
                </c:pt>
                <c:pt idx="2">
                  <c:v>0.139351711602545</c:v>
                </c:pt>
                <c:pt idx="3">
                  <c:v>0.106028476219327</c:v>
                </c:pt>
                <c:pt idx="4">
                  <c:v>0.0839139654650106</c:v>
                </c:pt>
                <c:pt idx="5">
                  <c:v>0.0402908209633444</c:v>
                </c:pt>
                <c:pt idx="6">
                  <c:v>0.0387761284459255</c:v>
                </c:pt>
                <c:pt idx="7">
                  <c:v>0.0381702514389579</c:v>
                </c:pt>
                <c:pt idx="8">
                  <c:v>0.0221145107543169</c:v>
                </c:pt>
                <c:pt idx="9">
                  <c:v>0.0172674946985762</c:v>
                </c:pt>
                <c:pt idx="10">
                  <c:v>0.0169645561950924</c:v>
                </c:pt>
                <c:pt idx="11">
                  <c:v>0.0166616176916086</c:v>
                </c:pt>
                <c:pt idx="12">
                  <c:v>0.0142381096637383</c:v>
                </c:pt>
                <c:pt idx="13">
                  <c:v>0.0142381096637383</c:v>
                </c:pt>
                <c:pt idx="14">
                  <c:v>0.0127234171463193</c:v>
                </c:pt>
                <c:pt idx="15">
                  <c:v>0.00817933959406241</c:v>
                </c:pt>
                <c:pt idx="16">
                  <c:v>0.00787640109057861</c:v>
                </c:pt>
                <c:pt idx="17">
                  <c:v>0.00787640109057861</c:v>
                </c:pt>
                <c:pt idx="18">
                  <c:v>0.00787640109057861</c:v>
                </c:pt>
                <c:pt idx="19">
                  <c:v>0.00121175401393517</c:v>
                </c:pt>
              </c:numCache>
            </c:numRef>
          </c:val>
        </c:ser>
        <c:ser>
          <c:idx val="1"/>
          <c:order val="1"/>
          <c:tx>
            <c:strRef>
              <c:f>'2-图形输出'!$I$179</c:f>
              <c:strCache>
                <c:ptCount val="1"/>
                <c:pt idx="0">
                  <c:v>辅助2</c:v>
                </c:pt>
              </c:strCache>
            </c:strRef>
          </c:tx>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69c220dd-2003-4a71-8561-5a8774a9266b}"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e318a279-8d38-4e8a-bc64-d3c00d8cb34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2b3983fe-fd2a-4c2c-9d10-320e1df1407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345e6aa-1e27-496a-8fea-7cfc47cd2bb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e62c0c3b-d565-4d9e-b068-5c72c898c86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e79a93fe-6b7d-431e-8a73-15d483cc8366}"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33556822-ff3c-4b94-9731-2d528bae0d8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a039c35e-2b81-40b7-a09c-8893e6f93ad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7b44ebcd-167d-404f-be8a-981f12b6526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cb9f1c67-58fe-4d7c-822c-a7d7f4415819}"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d711bab3-36e3-4957-8813-273308690ff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342793c8-fa5d-4e5b-9c2f-67485ec5dc64}"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3765fe78-04ad-4372-a9b4-e11d12d7ebc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56b31059-913c-4ce9-bd88-0bb1f7f6689e}"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64757721-42b8-45a5-a8a7-1e29eb472a7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f4ef571d-c40d-40c3-81b0-07a01877f7d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0389d07e-bb60-4162-93f1-d5b9d9876eec}"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75ff76e6-b132-4d20-bca3-6f8a0a576af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0d776648-c8a4-4cd3-9600-7d7877b4979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rot="0" spcFirstLastPara="1" vertOverflow="ellipsis" vert="horz" wrap="square" lIns="38100" tIns="19050" rIns="38100" bIns="19050" anchor="ctr" anchorCtr="1"/>
                  <a:lstStyle/>
                  <a:p>
                    <a:fld id="{4c9a1388-b1dd-4762-a8f3-85b577e268f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'2-图形输出'!$F$180:$F$199</c:f>
              <c:strCache>
                <c:ptCount val="20"/>
                <c:pt idx="0">
                  <c:v>教育</c:v>
                </c:pt>
                <c:pt idx="1">
                  <c:v>信息传输、软件和信息技术服务业</c:v>
                </c:pt>
                <c:pt idx="2">
                  <c:v>制造业</c:v>
                </c:pt>
                <c:pt idx="3">
                  <c:v>建筑业</c:v>
                </c:pt>
                <c:pt idx="4">
                  <c:v>文化、体育和娱乐业</c:v>
                </c:pt>
                <c:pt idx="5">
                  <c:v>批发和零售业</c:v>
                </c:pt>
                <c:pt idx="6">
                  <c:v>居民服务、修理和其他服务业</c:v>
                </c:pt>
                <c:pt idx="7">
                  <c:v>租赁和商务服务业</c:v>
                </c:pt>
                <c:pt idx="8">
                  <c:v>金融业</c:v>
                </c:pt>
                <c:pt idx="9">
                  <c:v>电力、热力、燃气及水生产和供应业</c:v>
                </c:pt>
                <c:pt idx="10">
                  <c:v>公共管理、社会保障和社会组织</c:v>
                </c:pt>
                <c:pt idx="11">
                  <c:v>科学研究和技术服务业</c:v>
                </c:pt>
                <c:pt idx="12">
                  <c:v>军队</c:v>
                </c:pt>
                <c:pt idx="13">
                  <c:v>卫生和社会工作</c:v>
                </c:pt>
                <c:pt idx="14">
                  <c:v>房地产业</c:v>
                </c:pt>
                <c:pt idx="15">
                  <c:v>住宿和餐饮业</c:v>
                </c:pt>
                <c:pt idx="16">
                  <c:v>交通运输、仓储和邮政业</c:v>
                </c:pt>
                <c:pt idx="17">
                  <c:v>农、林、牧、渔业</c:v>
                </c:pt>
                <c:pt idx="18">
                  <c:v>水利、环境和公共设施管理业</c:v>
                </c:pt>
                <c:pt idx="19">
                  <c:v>采矿业</c:v>
                </c:pt>
              </c:strCache>
            </c:strRef>
          </c:cat>
          <c:val>
            <c:numRef>
              <c:f>'2-图形输出'!$I$180:$I$199</c:f>
              <c:numCache>
                <c:formatCode>0.00%</c:formatCode>
                <c:ptCount val="20"/>
                <c:pt idx="0">
                  <c:v>0.0503483792790064</c:v>
                </c:pt>
                <c:pt idx="1">
                  <c:v>0.147591638897304</c:v>
                </c:pt>
                <c:pt idx="2">
                  <c:v>0.162738564071494</c:v>
                </c:pt>
                <c:pt idx="3">
                  <c:v>0.196061799454711</c:v>
                </c:pt>
                <c:pt idx="4">
                  <c:v>0.218176310209028</c:v>
                </c:pt>
                <c:pt idx="5">
                  <c:v>0.261799454710694</c:v>
                </c:pt>
                <c:pt idx="6">
                  <c:v>0.263314147228113</c:v>
                </c:pt>
                <c:pt idx="7">
                  <c:v>0.26392002423508</c:v>
                </c:pt>
                <c:pt idx="8">
                  <c:v>0.279975764919721</c:v>
                </c:pt>
                <c:pt idx="9">
                  <c:v>0.284822780975462</c:v>
                </c:pt>
                <c:pt idx="10">
                  <c:v>0.285125719478946</c:v>
                </c:pt>
                <c:pt idx="11">
                  <c:v>0.28542865798243</c:v>
                </c:pt>
                <c:pt idx="12">
                  <c:v>0.2878521660103</c:v>
                </c:pt>
                <c:pt idx="13">
                  <c:v>0.2878521660103</c:v>
                </c:pt>
                <c:pt idx="14">
                  <c:v>0.289366858527719</c:v>
                </c:pt>
                <c:pt idx="15">
                  <c:v>0.293910936079976</c:v>
                </c:pt>
                <c:pt idx="16">
                  <c:v>0.29421387458346</c:v>
                </c:pt>
                <c:pt idx="17">
                  <c:v>0.29421387458346</c:v>
                </c:pt>
                <c:pt idx="18">
                  <c:v>0.29421387458346</c:v>
                </c:pt>
                <c:pt idx="19">
                  <c:v>0.300878521660103</c:v>
                </c:pt>
              </c:numCache>
            </c:numRef>
          </c:val>
          <c:extLst>
            <c:ext xmlns:c15="http://schemas.microsoft.com/office/drawing/2012/chart" uri="{02D57815-91ED-43cb-92C2-25804820EDAC}">
              <c15:datalabelsRange>
                <c15:f>'2-图形输出'!$J$180:$J$200</c15:f>
                <c15:dlblRangeCache>
                  <c:ptCount val="21"/>
                  <c:pt idx="0">
                    <c:v>831人  25.17%</c:v>
                  </c:pt>
                  <c:pt idx="1">
                    <c:v>510人  15.45%</c:v>
                  </c:pt>
                  <c:pt idx="2">
                    <c:v>460人  13.94%</c:v>
                  </c:pt>
                  <c:pt idx="3">
                    <c:v>350人  10.60%</c:v>
                  </c:pt>
                  <c:pt idx="4">
                    <c:v>277人  8.39%</c:v>
                  </c:pt>
                  <c:pt idx="5">
                    <c:v>133人  4.03%</c:v>
                  </c:pt>
                  <c:pt idx="6">
                    <c:v>128人  3.88%</c:v>
                  </c:pt>
                  <c:pt idx="7">
                    <c:v>126人  3.82%</c:v>
                  </c:pt>
                  <c:pt idx="8">
                    <c:v>73人  2.21%</c:v>
                  </c:pt>
                  <c:pt idx="9">
                    <c:v>57人  1.73%</c:v>
                  </c:pt>
                  <c:pt idx="10">
                    <c:v>56人  1.70%</c:v>
                  </c:pt>
                  <c:pt idx="11">
                    <c:v>55人  1.67%</c:v>
                  </c:pt>
                  <c:pt idx="12">
                    <c:v>47人  1.42%</c:v>
                  </c:pt>
                  <c:pt idx="13">
                    <c:v>47人  1.42%</c:v>
                  </c:pt>
                  <c:pt idx="14">
                    <c:v>42人  1.27%</c:v>
                  </c:pt>
                  <c:pt idx="15">
                    <c:v>27人  0.82%</c:v>
                  </c:pt>
                  <c:pt idx="16">
                    <c:v>26人  0.79%</c:v>
                  </c:pt>
                  <c:pt idx="17">
                    <c:v>26人  0.79%</c:v>
                  </c:pt>
                  <c:pt idx="18">
                    <c:v>26人  0.79%</c:v>
                  </c:pt>
                  <c:pt idx="19">
                    <c:v>4人  0.12%</c:v>
                  </c:pt>
                  <c:pt idx="20">
                    <c:v>0人  0.00%</c:v>
                  </c:pt>
                </c15:dlblRangeCache>
              </c15:datalabelsRange>
            </c:ext>
          </c:extLst>
        </c:ser>
        <c:dLbls>
          <c:showLegendKey val="0"/>
          <c:showVal val="0"/>
          <c:showCatName val="0"/>
          <c:showSerName val="0"/>
          <c:showPercent val="0"/>
          <c:showBubbleSize val="0"/>
        </c:dLbls>
        <c:gapWidth val="150"/>
        <c:overlap val="100"/>
        <c:axId val="1413202240"/>
        <c:axId val="1413204864"/>
      </c:barChart>
      <c:catAx>
        <c:axId val="1413202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3204864"/>
        <c:crosses val="autoZero"/>
        <c:auto val="1"/>
        <c:lblAlgn val="ctr"/>
        <c:lblOffset val="100"/>
        <c:noMultiLvlLbl val="0"/>
      </c:catAx>
      <c:valAx>
        <c:axId val="1413204864"/>
        <c:scaling>
          <c:orientation val="minMax"/>
        </c:scaling>
        <c:delete val="1"/>
        <c:axPos val="t"/>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3202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4472C4"/>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Pt>
            <c:idx val="2"/>
            <c:invertIfNegative val="0"/>
            <c:bubble3D val="0"/>
            <c:spPr>
              <a:solidFill>
                <a:srgbClr val="113F67"/>
              </a:solidFill>
              <a:ln>
                <a:noFill/>
              </a:ln>
              <a:effectLst/>
            </c:spPr>
          </c:dPt>
          <c:dPt>
            <c:idx val="3"/>
            <c:invertIfNegative val="0"/>
            <c:bubble3D val="0"/>
            <c:spPr>
              <a:solidFill>
                <a:srgbClr val="113F67"/>
              </a:solidFill>
              <a:ln>
                <a:noFill/>
              </a:ln>
              <a:effectLst/>
            </c:spPr>
          </c:dPt>
          <c:dPt>
            <c:idx val="4"/>
            <c:invertIfNegative val="0"/>
            <c:bubble3D val="0"/>
            <c:spPr>
              <a:solidFill>
                <a:srgbClr val="113F67"/>
              </a:solidFill>
              <a:ln>
                <a:noFill/>
              </a:ln>
              <a:effectLst/>
            </c:spPr>
          </c:dPt>
          <c:dPt>
            <c:idx val="5"/>
            <c:invertIfNegative val="0"/>
            <c:bubble3D val="0"/>
            <c:spPr>
              <a:solidFill>
                <a:srgbClr val="113F67"/>
              </a:solidFill>
              <a:ln>
                <a:noFill/>
              </a:ln>
              <a:effectLst/>
            </c:spPr>
          </c:dPt>
          <c:dPt>
            <c:idx val="6"/>
            <c:invertIfNegative val="0"/>
            <c:bubble3D val="0"/>
            <c:spPr>
              <a:solidFill>
                <a:srgbClr val="113F67"/>
              </a:solidFill>
              <a:ln>
                <a:noFill/>
              </a:ln>
              <a:effectLst/>
            </c:spPr>
          </c:dPt>
          <c:dLbls>
            <c:delete val="1"/>
          </c:dLbls>
          <c:cat>
            <c:strRef>
              <c:f>'2输出'!$L$416:$L$422</c:f>
              <c:strCache>
                <c:ptCount val="7"/>
                <c:pt idx="0">
                  <c:v>职业素养的培养</c:v>
                </c:pt>
                <c:pt idx="1">
                  <c:v>团队协作能力培养</c:v>
                </c:pt>
                <c:pt idx="2">
                  <c:v>创新能力培养</c:v>
                </c:pt>
                <c:pt idx="3">
                  <c:v>与人交往能力的培养</c:v>
                </c:pt>
                <c:pt idx="4">
                  <c:v>专业知识传授</c:v>
                </c:pt>
                <c:pt idx="5">
                  <c:v>其他</c:v>
                </c:pt>
                <c:pt idx="6">
                  <c:v>文体特长的培养</c:v>
                </c:pt>
              </c:strCache>
            </c:strRef>
          </c:cat>
          <c:val>
            <c:numRef>
              <c:f>'2输出'!$M$416:$M$422</c:f>
              <c:numCache>
                <c:formatCode>0.00%</c:formatCode>
                <c:ptCount val="7"/>
                <c:pt idx="0">
                  <c:v>0.3333</c:v>
                </c:pt>
                <c:pt idx="1">
                  <c:v>0.3333</c:v>
                </c:pt>
                <c:pt idx="2">
                  <c:v>0.2627</c:v>
                </c:pt>
                <c:pt idx="3">
                  <c:v>0.2588</c:v>
                </c:pt>
                <c:pt idx="4">
                  <c:v>0.2549</c:v>
                </c:pt>
                <c:pt idx="5">
                  <c:v>0.0627</c:v>
                </c:pt>
                <c:pt idx="6">
                  <c:v>0.0353</c:v>
                </c:pt>
              </c:numCache>
            </c:numRef>
          </c:val>
        </c:ser>
        <c:ser>
          <c:idx val="1"/>
          <c:order val="1"/>
          <c:spPr>
            <a:solidFill>
              <a:schemeClr val="bg1">
                <a:lumMod val="95000"/>
              </a:schemeClr>
            </a:solidFill>
            <a:ln>
              <a:noFill/>
            </a:ln>
            <a:effectLst/>
          </c:spPr>
          <c:invertIfNegative val="0"/>
          <c:dLbls>
            <c:dLbl>
              <c:idx val="0"/>
              <c:layout/>
              <c:tx>
                <c:rich>
                  <a:bodyPr rot="0" spcFirstLastPara="1" vertOverflow="ellipsis" vert="horz" wrap="square" lIns="38100" tIns="19050" rIns="38100" bIns="19050" anchor="ctr" anchorCtr="1"/>
                  <a:lstStyle/>
                  <a:p>
                    <a:fld id="{db07b455-aee4-4c53-8147-3fc51d7f572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7ccc70ee-15b8-489a-8ee1-098a4f8713e5}"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ac4d6af-ffd9-4890-9eb4-03fedea4815c}"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2019815e-2f80-4c88-9f10-2dd564ac3ea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34485684-1a12-479f-8a5d-51270e6b7f9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d4b0e5d2-82a8-44f5-96df-28648bc2c1b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188327cc-48bd-4903-b1d3-3195a733001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'2输出'!$L$416:$L$422</c:f>
              <c:strCache>
                <c:ptCount val="7"/>
                <c:pt idx="0">
                  <c:v>职业素养的培养</c:v>
                </c:pt>
                <c:pt idx="1">
                  <c:v>团队协作能力培养</c:v>
                </c:pt>
                <c:pt idx="2">
                  <c:v>创新能力培养</c:v>
                </c:pt>
                <c:pt idx="3">
                  <c:v>与人交往能力的培养</c:v>
                </c:pt>
                <c:pt idx="4">
                  <c:v>专业知识传授</c:v>
                </c:pt>
                <c:pt idx="5">
                  <c:v>其他</c:v>
                </c:pt>
                <c:pt idx="6">
                  <c:v>文体特长的培养</c:v>
                </c:pt>
              </c:strCache>
            </c:strRef>
          </c:cat>
          <c:val>
            <c:numRef>
              <c:f>'2输出'!$N$416:$N$422</c:f>
              <c:numCache>
                <c:formatCode>0%</c:formatCode>
                <c:ptCount val="7"/>
                <c:pt idx="0">
                  <c:v>0.06666</c:v>
                </c:pt>
                <c:pt idx="1">
                  <c:v>0.06666</c:v>
                </c:pt>
                <c:pt idx="2">
                  <c:v>0.13726</c:v>
                </c:pt>
                <c:pt idx="3">
                  <c:v>0.14116</c:v>
                </c:pt>
                <c:pt idx="4">
                  <c:v>0.14506</c:v>
                </c:pt>
                <c:pt idx="5">
                  <c:v>0.33726</c:v>
                </c:pt>
                <c:pt idx="6">
                  <c:v>0.36466</c:v>
                </c:pt>
              </c:numCache>
            </c:numRef>
          </c:val>
          <c:extLst>
            <c:ext xmlns:c15="http://schemas.microsoft.com/office/drawing/2012/chart" uri="{02D57815-91ED-43cb-92C2-25804820EDAC}">
              <c15:datalabelsRange>
                <c15:f>'2输出'!$M$416:$M$422</c15:f>
                <c15:dlblRangeCache>
                  <c:ptCount val="7"/>
                  <c:pt idx="0">
                    <c:v>33.33%</c:v>
                  </c:pt>
                  <c:pt idx="1">
                    <c:v>33.33%</c:v>
                  </c:pt>
                  <c:pt idx="2">
                    <c:v>26.27%</c:v>
                  </c:pt>
                  <c:pt idx="3">
                    <c:v>25.88%</c:v>
                  </c:pt>
                  <c:pt idx="4">
                    <c:v>25.49%</c:v>
                  </c:pt>
                  <c:pt idx="5">
                    <c:v>6.27%</c:v>
                  </c:pt>
                  <c:pt idx="6">
                    <c:v>3.53%</c:v>
                  </c:pt>
                </c15:dlblRangeCache>
              </c15:datalabelsRange>
            </c:ext>
          </c:extLst>
        </c:ser>
        <c:dLbls>
          <c:showLegendKey val="0"/>
          <c:showVal val="0"/>
          <c:showCatName val="0"/>
          <c:showSerName val="0"/>
          <c:showPercent val="0"/>
          <c:showBubbleSize val="0"/>
        </c:dLbls>
        <c:gapWidth val="100"/>
        <c:overlap val="100"/>
        <c:axId val="1491461408"/>
        <c:axId val="1491459440"/>
      </c:barChart>
      <c:catAx>
        <c:axId val="14914614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59440"/>
        <c:crosses val="autoZero"/>
        <c:auto val="1"/>
        <c:lblAlgn val="ctr"/>
        <c:lblOffset val="100"/>
        <c:noMultiLvlLbl val="0"/>
      </c:catAx>
      <c:valAx>
        <c:axId val="1491459440"/>
        <c:scaling>
          <c:orientation val="minMax"/>
          <c:max val="0.45"/>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146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00598822206"/>
          <c:y val="0.019311232700354"/>
          <c:w val="0.602107457156091"/>
          <c:h val="0.856574308964518"/>
        </c:manualLayout>
      </c:layout>
      <c:barChart>
        <c:barDir val="bar"/>
        <c:grouping val="stacked"/>
        <c:varyColors val="0"/>
        <c:ser>
          <c:idx val="0"/>
          <c:order val="0"/>
          <c:tx>
            <c:strRef>
              <c:f>'2输出'!$F$462</c:f>
              <c:strCache>
                <c:ptCount val="1"/>
                <c:pt idx="0">
                  <c:v>非常满意</c:v>
                </c:pt>
              </c:strCache>
            </c:strRef>
          </c:tx>
          <c:spPr>
            <a:solidFill>
              <a:srgbClr val="113F67"/>
            </a:solidFill>
            <a:ln>
              <a:noFill/>
            </a:ln>
            <a:effectLst/>
          </c:spPr>
          <c:invertIfNegative val="0"/>
          <c:dPt>
            <c:idx val="0"/>
            <c:invertIfNegative val="0"/>
            <c:bubble3D val="0"/>
            <c:spPr>
              <a:solidFill>
                <a:srgbClr val="113F67"/>
              </a:solidFill>
              <a:ln>
                <a:noFill/>
              </a:ln>
              <a:effectLst/>
            </c:spPr>
          </c:dPt>
          <c:dPt>
            <c:idx val="1"/>
            <c:invertIfNegative val="0"/>
            <c:bubble3D val="0"/>
            <c:spPr>
              <a:solidFill>
                <a:srgbClr val="113F6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lumMod val="9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'2输出'!$H$462:$J$462</c:f>
              <c:numCache>
                <c:formatCode>0.00%</c:formatCode>
                <c:ptCount val="3"/>
                <c:pt idx="0">
                  <c:v>0.454022988505747</c:v>
                </c:pt>
                <c:pt idx="1">
                  <c:v>0.515384615384615</c:v>
                </c:pt>
                <c:pt idx="2">
                  <c:v>0.390804597701149</c:v>
                </c:pt>
              </c:numCache>
            </c:numRef>
          </c:val>
        </c:ser>
        <c:ser>
          <c:idx val="1"/>
          <c:order val="1"/>
          <c:tx>
            <c:strRef>
              <c:f>'2输出'!$F$463</c:f>
              <c:strCache>
                <c:ptCount val="1"/>
                <c:pt idx="0">
                  <c:v>比较满意</c:v>
                </c:pt>
              </c:strCache>
            </c:strRef>
          </c:tx>
          <c:spPr>
            <a:solidFill>
              <a:srgbClr val="3469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lumMod val="9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'2输出'!$H$463:$J$463</c:f>
              <c:numCache>
                <c:formatCode>0.00%</c:formatCode>
                <c:ptCount val="3"/>
                <c:pt idx="0">
                  <c:v>0.396551724137931</c:v>
                </c:pt>
                <c:pt idx="1">
                  <c:v>0.380769230769231</c:v>
                </c:pt>
                <c:pt idx="2">
                  <c:v>0.5</c:v>
                </c:pt>
              </c:numCache>
            </c:numRef>
          </c:val>
        </c:ser>
        <c:ser>
          <c:idx val="2"/>
          <c:order val="2"/>
          <c:tx>
            <c:strRef>
              <c:f>'2输出'!$F$464</c:f>
              <c:strCache>
                <c:ptCount val="1"/>
                <c:pt idx="0">
                  <c:v>一般</c:v>
                </c:pt>
              </c:strCache>
            </c:strRef>
          </c:tx>
          <c:spPr>
            <a:solidFill>
              <a:srgbClr val="93B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lumMod val="9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'2输出'!$H$464:$J$464</c:f>
              <c:numCache>
                <c:formatCode>0.00%</c:formatCode>
                <c:ptCount val="3"/>
                <c:pt idx="0">
                  <c:v>0.14367816091954</c:v>
                </c:pt>
                <c:pt idx="1">
                  <c:v>0.103846153846154</c:v>
                </c:pt>
                <c:pt idx="2">
                  <c:v>0.109195402298851</c:v>
                </c:pt>
              </c:numCache>
            </c:numRef>
          </c:val>
        </c:ser>
        <c:ser>
          <c:idx val="3"/>
          <c:order val="3"/>
          <c:tx>
            <c:strRef>
              <c:f>'2输出'!$F$465</c:f>
              <c:strCache>
                <c:ptCount val="1"/>
                <c:pt idx="0">
                  <c:v>不太满意</c:v>
                </c:pt>
              </c:strCache>
            </c:strRef>
          </c:tx>
          <c:spPr>
            <a:solidFill>
              <a:srgbClr val="FBE5D6"/>
            </a:solidFill>
            <a:ln>
              <a:noFill/>
            </a:ln>
            <a:effectLst/>
          </c:spPr>
          <c:invertIfNegative val="0"/>
          <c:dLbls>
            <c:dLbl>
              <c:idx val="0"/>
              <c:delete val="1"/>
            </c:dLbl>
            <c:dLbl>
              <c:idx val="1"/>
              <c:delete val="1"/>
            </c:dLbl>
            <c:dLbl>
              <c:idx val="2"/>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'2输出'!$H$453:$J$453</c:f>
              <c:strCache>
                <c:ptCount val="3"/>
                <c:pt idx="0">
                  <c:v>就业网站建设及信息服务 99.43%</c:v>
                </c:pt>
                <c:pt idx="1">
                  <c:v>招聘会的组织工作 100.00%</c:v>
                </c:pt>
                <c:pt idx="2">
                  <c:v>档案管理满意度 100.00%</c:v>
                </c:pt>
              </c:strCache>
            </c:strRef>
          </c:cat>
          <c:val>
            <c:numRef>
              <c:f>'2输出'!$H$465:$J$465</c:f>
              <c:numCache>
                <c:formatCode>0.00%</c:formatCode>
                <c:ptCount val="3"/>
                <c:pt idx="0">
                  <c:v>0.00574712643678161</c:v>
                </c:pt>
                <c:pt idx="1">
                  <c:v>0</c:v>
                </c:pt>
                <c:pt idx="2">
                  <c:v>0</c:v>
                </c:pt>
              </c:numCache>
            </c:numRef>
          </c:val>
        </c:ser>
        <c:dLbls>
          <c:showLegendKey val="0"/>
          <c:showVal val="1"/>
          <c:showCatName val="0"/>
          <c:showSerName val="0"/>
          <c:showPercent val="0"/>
          <c:showBubbleSize val="0"/>
        </c:dLbls>
        <c:gapWidth val="150"/>
        <c:overlap val="100"/>
        <c:axId val="1547731488"/>
        <c:axId val="1547727224"/>
      </c:barChart>
      <c:catAx>
        <c:axId val="154773148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7727224"/>
        <c:crosses val="autoZero"/>
        <c:auto val="1"/>
        <c:lblAlgn val="ctr"/>
        <c:lblOffset val="100"/>
        <c:noMultiLvlLbl val="0"/>
      </c:catAx>
      <c:valAx>
        <c:axId val="1547727224"/>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7731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135643983774"/>
          <c:y val="0.0125615468952457"/>
          <c:w val="0.643146074549677"/>
          <c:h val="0.974876906209509"/>
        </c:manualLayout>
      </c:layout>
      <c:barChart>
        <c:barDir val="bar"/>
        <c:grouping val="stacked"/>
        <c:varyColors val="0"/>
        <c:ser>
          <c:idx val="0"/>
          <c:order val="0"/>
          <c:spPr>
            <a:solidFill>
              <a:srgbClr val="113F67"/>
            </a:solidFill>
            <a:ln>
              <a:noFill/>
            </a:ln>
            <a:effectLst/>
          </c:spPr>
          <c:invertIfNegative val="0"/>
          <c:dLbls>
            <c:delete val="1"/>
          </c:dLbls>
          <c:cat>
            <c:strRef>
              <c:f>透视!$C$15:$C$28</c:f>
              <c:strCache>
                <c:ptCount val="14"/>
                <c:pt idx="0">
                  <c:v>增加校园招聘会场次</c:v>
                </c:pt>
                <c:pt idx="1">
                  <c:v>及时更新发布招聘信息</c:v>
                </c:pt>
                <c:pt idx="2">
                  <c:v>加强应届毕业生就业指导</c:v>
                </c:pt>
                <c:pt idx="3">
                  <c:v>加大对应届毕业生的推荐力度</c:v>
                </c:pt>
                <c:pt idx="4">
                  <c:v>加强校企沟通</c:v>
                </c:pt>
                <c:pt idx="5">
                  <c:v>加强团队协作能力培养</c:v>
                </c:pt>
                <c:pt idx="6">
                  <c:v>加强宣传力度</c:v>
                </c:pt>
                <c:pt idx="7">
                  <c:v>加强学生创新能力培养</c:v>
                </c:pt>
                <c:pt idx="8">
                  <c:v>提高就业指导教师的专业水平</c:v>
                </c:pt>
                <c:pt idx="9">
                  <c:v>其他</c:v>
                </c:pt>
                <c:pt idx="10">
                  <c:v>拓宽服务项目</c:v>
                </c:pt>
                <c:pt idx="11">
                  <c:v>及时办理毕业生就业手续</c:v>
                </c:pt>
                <c:pt idx="12">
                  <c:v>提升服务态度</c:v>
                </c:pt>
                <c:pt idx="13">
                  <c:v>改进招聘硬件设施</c:v>
                </c:pt>
              </c:strCache>
            </c:strRef>
          </c:cat>
          <c:val>
            <c:numRef>
              <c:f>透视!$D$15:$D$28</c:f>
              <c:numCache>
                <c:formatCode>0.00%</c:formatCode>
                <c:ptCount val="14"/>
                <c:pt idx="0">
                  <c:v>0.3451</c:v>
                </c:pt>
                <c:pt idx="1">
                  <c:v>0.298</c:v>
                </c:pt>
                <c:pt idx="2">
                  <c:v>0.2745</c:v>
                </c:pt>
                <c:pt idx="3">
                  <c:v>0.2667</c:v>
                </c:pt>
                <c:pt idx="4">
                  <c:v>0.1176</c:v>
                </c:pt>
                <c:pt idx="5">
                  <c:v>0.051</c:v>
                </c:pt>
                <c:pt idx="6">
                  <c:v>0.051</c:v>
                </c:pt>
                <c:pt idx="7">
                  <c:v>0.0471</c:v>
                </c:pt>
                <c:pt idx="8">
                  <c:v>0.0392</c:v>
                </c:pt>
                <c:pt idx="9">
                  <c:v>0.0392</c:v>
                </c:pt>
                <c:pt idx="10">
                  <c:v>0.0235</c:v>
                </c:pt>
                <c:pt idx="11">
                  <c:v>0.0196</c:v>
                </c:pt>
                <c:pt idx="12">
                  <c:v>0.0078</c:v>
                </c:pt>
                <c:pt idx="13">
                  <c:v>0.0039</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24394bd7-65a4-4eb1-a260-93a4608e5ec7}"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1751f308-3d48-4380-b34a-19d6a768629c}"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90fcfc28-bf22-4f6c-9404-0c63fa03e50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2f6a704-4296-41cd-ae8f-d8c96868e671}"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1d2ffeee-704d-453a-a43a-e3f9728ae6a6}"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21ceb5ea-9fb9-47e8-8bc9-f8a27ca1a2d2}"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8e5c3dfc-41bf-454e-b1be-cd9a666e86c9}"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7874fdf8-a515-4d90-a62d-36c096c33c0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61e8ee30-3e8f-47bf-86b9-d42d6dc5bf24}"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c5dc6af1-5f3c-4331-a8ff-9e34e82d69b8}"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17d2e06d-f1c7-452c-857a-5adb1e4a29d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56db7af1-bf01-4831-9925-aa60d98f24e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ed356451-0484-4f52-a937-4e9cca0b8aa5}"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59748e79-b5c9-44cf-b5c5-95dcd502007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透视!$C$15:$C$28</c:f>
              <c:strCache>
                <c:ptCount val="14"/>
                <c:pt idx="0">
                  <c:v>增加校园招聘会场次</c:v>
                </c:pt>
                <c:pt idx="1">
                  <c:v>及时更新发布招聘信息</c:v>
                </c:pt>
                <c:pt idx="2">
                  <c:v>加强应届毕业生就业指导</c:v>
                </c:pt>
                <c:pt idx="3">
                  <c:v>加大对应届毕业生的推荐力度</c:v>
                </c:pt>
                <c:pt idx="4">
                  <c:v>加强校企沟通</c:v>
                </c:pt>
                <c:pt idx="5">
                  <c:v>加强团队协作能力培养</c:v>
                </c:pt>
                <c:pt idx="6">
                  <c:v>加强宣传力度</c:v>
                </c:pt>
                <c:pt idx="7">
                  <c:v>加强学生创新能力培养</c:v>
                </c:pt>
                <c:pt idx="8">
                  <c:v>提高就业指导教师的专业水平</c:v>
                </c:pt>
                <c:pt idx="9">
                  <c:v>其他</c:v>
                </c:pt>
                <c:pt idx="10">
                  <c:v>拓宽服务项目</c:v>
                </c:pt>
                <c:pt idx="11">
                  <c:v>及时办理毕业生就业手续</c:v>
                </c:pt>
                <c:pt idx="12">
                  <c:v>提升服务态度</c:v>
                </c:pt>
                <c:pt idx="13">
                  <c:v>改进招聘硬件设施</c:v>
                </c:pt>
              </c:strCache>
            </c:strRef>
          </c:cat>
          <c:val>
            <c:numRef>
              <c:f>透视!$E$15:$E$28</c:f>
              <c:numCache>
                <c:formatCode>0.00%</c:formatCode>
                <c:ptCount val="14"/>
                <c:pt idx="0">
                  <c:v>0.086275</c:v>
                </c:pt>
                <c:pt idx="1">
                  <c:v>0.133375</c:v>
                </c:pt>
                <c:pt idx="2">
                  <c:v>0.156875</c:v>
                </c:pt>
                <c:pt idx="3">
                  <c:v>0.164675</c:v>
                </c:pt>
                <c:pt idx="4">
                  <c:v>0.313775</c:v>
                </c:pt>
                <c:pt idx="5">
                  <c:v>0.380375</c:v>
                </c:pt>
                <c:pt idx="6">
                  <c:v>0.380375</c:v>
                </c:pt>
                <c:pt idx="7">
                  <c:v>0.384275</c:v>
                </c:pt>
                <c:pt idx="8">
                  <c:v>0.392175</c:v>
                </c:pt>
                <c:pt idx="9">
                  <c:v>0.392175</c:v>
                </c:pt>
                <c:pt idx="10">
                  <c:v>0.407875</c:v>
                </c:pt>
                <c:pt idx="11">
                  <c:v>0.411775</c:v>
                </c:pt>
                <c:pt idx="12">
                  <c:v>0.423575</c:v>
                </c:pt>
                <c:pt idx="13">
                  <c:v>0.427475</c:v>
                </c:pt>
              </c:numCache>
            </c:numRef>
          </c:val>
          <c:extLst>
            <c:ext xmlns:c15="http://schemas.microsoft.com/office/drawing/2012/chart" uri="{02D57815-91ED-43cb-92C2-25804820EDAC}">
              <c15:datalabelsRange>
                <c15:f>透视!$D$15:$D$28</c15:f>
                <c15:dlblRangeCache>
                  <c:ptCount val="14"/>
                  <c:pt idx="0">
                    <c:v>34.51%</c:v>
                  </c:pt>
                  <c:pt idx="1">
                    <c:v>29.80%</c:v>
                  </c:pt>
                  <c:pt idx="2">
                    <c:v>27.45%</c:v>
                  </c:pt>
                  <c:pt idx="3">
                    <c:v>26.67%</c:v>
                  </c:pt>
                  <c:pt idx="4">
                    <c:v>11.76%</c:v>
                  </c:pt>
                  <c:pt idx="5">
                    <c:v>5.10%</c:v>
                  </c:pt>
                  <c:pt idx="6">
                    <c:v>5.10%</c:v>
                  </c:pt>
                  <c:pt idx="7">
                    <c:v>4.71%</c:v>
                  </c:pt>
                  <c:pt idx="8">
                    <c:v>3.92%</c:v>
                  </c:pt>
                  <c:pt idx="9">
                    <c:v>3.92%</c:v>
                  </c:pt>
                  <c:pt idx="10">
                    <c:v>2.35%</c:v>
                  </c:pt>
                  <c:pt idx="11">
                    <c:v>1.96%</c:v>
                  </c:pt>
                  <c:pt idx="12">
                    <c:v>0.78%</c:v>
                  </c:pt>
                  <c:pt idx="13">
                    <c:v>0.39%</c:v>
                  </c:pt>
                </c15:dlblRangeCache>
              </c15:datalabelsRange>
            </c:ext>
          </c:extLst>
        </c:ser>
        <c:dLbls>
          <c:showLegendKey val="0"/>
          <c:showVal val="1"/>
          <c:showCatName val="0"/>
          <c:showSerName val="0"/>
          <c:showPercent val="0"/>
          <c:showBubbleSize val="0"/>
        </c:dLbls>
        <c:gapWidth val="150"/>
        <c:overlap val="100"/>
        <c:axId val="948063224"/>
        <c:axId val="948061912"/>
      </c:barChart>
      <c:catAx>
        <c:axId val="948063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8061912"/>
        <c:crosses val="autoZero"/>
        <c:auto val="1"/>
        <c:lblAlgn val="ctr"/>
        <c:lblOffset val="100"/>
        <c:noMultiLvlLbl val="0"/>
      </c:catAx>
      <c:valAx>
        <c:axId val="94806191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8063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13F67"/>
              </a:solidFill>
              <a:round/>
            </a:ln>
            <a:effectLst/>
          </c:spPr>
          <c:marker>
            <c:symbol val="diamond"/>
            <c:size val="6"/>
            <c:spPr>
              <a:solidFill>
                <a:srgbClr val="11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透视!$D$42:$D$44</c:f>
              <c:strCache>
                <c:ptCount val="3"/>
                <c:pt idx="0">
                  <c:v>2018届</c:v>
                </c:pt>
                <c:pt idx="1">
                  <c:v>2019届</c:v>
                </c:pt>
                <c:pt idx="2">
                  <c:v>2020届</c:v>
                </c:pt>
              </c:strCache>
            </c:strRef>
          </c:cat>
          <c:val>
            <c:numRef>
              <c:f>透视!$E$42:$E$44</c:f>
              <c:numCache>
                <c:formatCode>0.00%</c:formatCode>
                <c:ptCount val="3"/>
                <c:pt idx="0">
                  <c:v>0.9489</c:v>
                </c:pt>
                <c:pt idx="1">
                  <c:v>0.9014</c:v>
                </c:pt>
                <c:pt idx="2">
                  <c:v>0.9003</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D3F67"/>
              </a:solidFill>
              <a:round/>
            </a:ln>
            <a:effectLst/>
          </c:spPr>
          <c:marker>
            <c:symbol val="diamond"/>
            <c:size val="6"/>
            <c:spPr>
              <a:solidFill>
                <a:srgbClr val="0D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透视2!$B$70:$B$72</c:f>
              <c:strCache>
                <c:ptCount val="3"/>
                <c:pt idx="0">
                  <c:v>2018届</c:v>
                </c:pt>
                <c:pt idx="1">
                  <c:v>2019届</c:v>
                </c:pt>
                <c:pt idx="2">
                  <c:v>2020届</c:v>
                </c:pt>
              </c:strCache>
            </c:strRef>
          </c:cat>
          <c:val>
            <c:numRef>
              <c:f>透视2!$C$70:$C$72</c:f>
              <c:numCache>
                <c:formatCode>0.00%</c:formatCode>
                <c:ptCount val="3"/>
                <c:pt idx="0">
                  <c:v>0.1244</c:v>
                </c:pt>
                <c:pt idx="1">
                  <c:v>0.115</c:v>
                </c:pt>
                <c:pt idx="2">
                  <c:v>0.1215</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351749196818"/>
          <c:y val="0.0223778767943421"/>
          <c:w val="0.59238514700051"/>
          <c:h val="0.95524424641131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D3F67"/>
              </a:solidFill>
              <a:ln>
                <a:noFill/>
              </a:ln>
              <a:effectLst/>
            </c:spPr>
          </c:dPt>
          <c:dPt>
            <c:idx val="1"/>
            <c:invertIfNegative val="0"/>
            <c:bubble3D val="0"/>
            <c:spPr>
              <a:solidFill>
                <a:srgbClr val="34699A"/>
              </a:solidFill>
              <a:ln>
                <a:noFill/>
              </a:ln>
              <a:effectLst/>
            </c:spPr>
          </c:dPt>
          <c:dPt>
            <c:idx val="2"/>
            <c:invertIfNegative val="0"/>
            <c:bubble3D val="0"/>
            <c:spPr>
              <a:solidFill>
                <a:srgbClr val="93BDE2"/>
              </a:solidFill>
              <a:ln>
                <a:noFill/>
              </a:ln>
              <a:effectLst/>
            </c:spPr>
          </c:dPt>
          <c:dPt>
            <c:idx val="3"/>
            <c:invertIfNegative val="0"/>
            <c:bubble3D val="0"/>
            <c:spPr>
              <a:solidFill>
                <a:srgbClr val="FBE5D6"/>
              </a:solidFill>
              <a:ln>
                <a:noFill/>
              </a:ln>
              <a:effectLst/>
            </c:spPr>
          </c:dPt>
          <c:dPt>
            <c:idx val="4"/>
            <c:invertIfNegative val="0"/>
            <c:bubble3D val="0"/>
            <c:spPr>
              <a:solidFill>
                <a:srgbClr val="A5E3C4"/>
              </a:solidFill>
              <a:ln>
                <a:noFill/>
              </a:ln>
              <a:effectLst/>
            </c:spPr>
          </c:dPt>
          <c:dPt>
            <c:idx val="5"/>
            <c:invertIfNegative val="0"/>
            <c:bubble3D val="0"/>
            <c:spPr>
              <a:solidFill>
                <a:srgbClr val="34699A"/>
              </a:solidFill>
              <a:ln>
                <a:noFill/>
              </a:ln>
              <a:effectLst/>
            </c:spPr>
          </c:dPt>
          <c:dPt>
            <c:idx val="6"/>
            <c:invertIfNegative val="0"/>
            <c:bubble3D val="0"/>
            <c:spPr>
              <a:solidFill>
                <a:srgbClr val="FBE5D6"/>
              </a:solidFill>
              <a:ln>
                <a:noFill/>
              </a:ln>
              <a:effectLst/>
            </c:spPr>
          </c:dPt>
          <c:dPt>
            <c:idx val="7"/>
            <c:invertIfNegative val="0"/>
            <c:bubble3D val="0"/>
            <c:spPr>
              <a:solidFill>
                <a:srgbClr val="0D3F67"/>
              </a:solidFill>
              <a:ln>
                <a:noFill/>
              </a:ln>
              <a:effectLst/>
            </c:spPr>
          </c:dPt>
          <c:dPt>
            <c:idx val="8"/>
            <c:invertIfNegative val="0"/>
            <c:bubble3D val="0"/>
            <c:spPr>
              <a:solidFill>
                <a:srgbClr val="93BDE2"/>
              </a:solidFill>
              <a:ln>
                <a:noFill/>
              </a:ln>
              <a:effectLst/>
            </c:spPr>
          </c:dPt>
          <c:dPt>
            <c:idx val="9"/>
            <c:invertIfNegative val="0"/>
            <c:bubble3D val="0"/>
            <c:spPr>
              <a:solidFill>
                <a:srgbClr val="D5D5D5"/>
              </a:solidFill>
              <a:ln>
                <a:noFill/>
              </a:ln>
              <a:effectLst/>
            </c:spPr>
          </c:dPt>
          <c:dPt>
            <c:idx val="10"/>
            <c:invertIfNegative val="0"/>
            <c:bubble3D val="0"/>
            <c:spPr>
              <a:solidFill>
                <a:srgbClr val="34699A"/>
              </a:solidFill>
              <a:ln>
                <a:noFill/>
              </a:ln>
              <a:effectLst/>
            </c:spPr>
          </c:dPt>
          <c:dPt>
            <c:idx val="11"/>
            <c:invertIfNegative val="0"/>
            <c:bubble3D val="0"/>
            <c:spPr>
              <a:solidFill>
                <a:srgbClr val="0D3F67"/>
              </a:solidFill>
              <a:ln>
                <a:noFill/>
              </a:ln>
              <a:effectLst/>
            </c:spPr>
          </c:dPt>
          <c:dPt>
            <c:idx val="12"/>
            <c:invertIfNegative val="0"/>
            <c:bubble3D val="0"/>
            <c:spPr>
              <a:solidFill>
                <a:srgbClr val="93BDE2"/>
              </a:solidFill>
              <a:ln>
                <a:noFill/>
              </a:ln>
              <a:effectLst/>
            </c:spPr>
          </c:dPt>
          <c:dPt>
            <c:idx val="13"/>
            <c:invertIfNegative val="0"/>
            <c:bubble3D val="0"/>
            <c:spPr>
              <a:solidFill>
                <a:srgbClr val="FBE5D6"/>
              </a:solidFill>
              <a:ln>
                <a:noFill/>
              </a:ln>
              <a:effectLst/>
            </c:spPr>
          </c:dPt>
          <c:dPt>
            <c:idx val="14"/>
            <c:invertIfNegative val="0"/>
            <c:bubble3D val="0"/>
            <c:spPr>
              <a:solidFill>
                <a:srgbClr val="A5E3C4"/>
              </a:solidFill>
              <a:ln>
                <a:noFill/>
              </a:ln>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F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5">
                          <a:lumMod val="60000"/>
                          <a:lumOff val="40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4">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F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4">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9BC2E6"/>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00B0F0"/>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9BC2E6"/>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4">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lumMod val="7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透视2!$B$75:$C$89</c:f>
              <c:multiLvlStrCache>
                <c:ptCount val="15"/>
                <c:lvl>
                  <c:pt idx="0">
                    <c:v>信息传输、软件和信息技术服务业</c:v>
                  </c:pt>
                  <c:pt idx="1">
                    <c:v>教育</c:v>
                  </c:pt>
                  <c:pt idx="2">
                    <c:v>制造业</c:v>
                  </c:pt>
                  <c:pt idx="3">
                    <c:v>建筑业</c:v>
                  </c:pt>
                  <c:pt idx="4">
                    <c:v>文化、体育和娱乐业</c:v>
                  </c:pt>
                  <c:pt idx="5">
                    <c:v>教育</c:v>
                  </c:pt>
                  <c:pt idx="6">
                    <c:v>建筑业</c:v>
                  </c:pt>
                  <c:pt idx="7">
                    <c:v>信息传输、软件和信息技术服务业</c:v>
                  </c:pt>
                  <c:pt idx="8">
                    <c:v>制造业</c:v>
                  </c:pt>
                  <c:pt idx="9">
                    <c:v>各类专业设计与咨询服务业</c:v>
                  </c:pt>
                  <c:pt idx="10">
                    <c:v>教育</c:v>
                  </c:pt>
                  <c:pt idx="11">
                    <c:v>信息传输、软件和信息技术服务业</c:v>
                  </c:pt>
                  <c:pt idx="12">
                    <c:v>制造业</c:v>
                  </c:pt>
                  <c:pt idx="13">
                    <c:v>建筑业</c:v>
                  </c:pt>
                  <c:pt idx="14">
                    <c:v>文化、体育和娱乐业</c:v>
                  </c:pt>
                </c:lvl>
                <c:lvl>
                  <c:pt idx="0">
                    <c:v>2018届</c:v>
                  </c:pt>
                  <c:pt idx="5">
                    <c:v>2019届</c:v>
                  </c:pt>
                  <c:pt idx="10">
                    <c:v>2020届</c:v>
                  </c:pt>
                </c:lvl>
              </c:multiLvlStrCache>
            </c:multiLvlStrRef>
          </c:cat>
          <c:val>
            <c:numRef>
              <c:f>透视2!$D$75:$D$89</c:f>
              <c:numCache>
                <c:formatCode>0.00%</c:formatCode>
                <c:ptCount val="15"/>
                <c:pt idx="0">
                  <c:v>0.1847</c:v>
                </c:pt>
                <c:pt idx="1">
                  <c:v>0.1697</c:v>
                </c:pt>
                <c:pt idx="2">
                  <c:v>0.1626</c:v>
                </c:pt>
                <c:pt idx="3">
                  <c:v>0.1127</c:v>
                </c:pt>
                <c:pt idx="4">
                  <c:v>0.0953</c:v>
                </c:pt>
                <c:pt idx="5">
                  <c:v>0.273</c:v>
                </c:pt>
                <c:pt idx="6">
                  <c:v>0.134</c:v>
                </c:pt>
                <c:pt idx="7">
                  <c:v>0.085</c:v>
                </c:pt>
                <c:pt idx="8">
                  <c:v>0.077</c:v>
                </c:pt>
                <c:pt idx="9">
                  <c:v>0.046</c:v>
                </c:pt>
                <c:pt idx="10">
                  <c:v>0.251438957891548</c:v>
                </c:pt>
                <c:pt idx="11">
                  <c:v>0.154195698273251</c:v>
                </c:pt>
                <c:pt idx="12">
                  <c:v>0.139351711602545</c:v>
                </c:pt>
                <c:pt idx="13">
                  <c:v>0.106028476219327</c:v>
                </c:pt>
                <c:pt idx="14">
                  <c:v>0.0817933959406241</c:v>
                </c:pt>
              </c:numCache>
            </c:numRef>
          </c:val>
        </c:ser>
        <c:dLbls>
          <c:showLegendKey val="0"/>
          <c:showVal val="1"/>
          <c:showCatName val="0"/>
          <c:showSerName val="0"/>
          <c:showPercent val="0"/>
          <c:showBubbleSize val="0"/>
        </c:dLbls>
        <c:gapWidth val="182"/>
        <c:axId val="1118195896"/>
        <c:axId val="1118194912"/>
      </c:barChart>
      <c:catAx>
        <c:axId val="1118195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8194912"/>
        <c:crosses val="autoZero"/>
        <c:auto val="1"/>
        <c:lblAlgn val="ctr"/>
        <c:lblOffset val="100"/>
        <c:noMultiLvlLbl val="0"/>
      </c:catAx>
      <c:valAx>
        <c:axId val="1118194912"/>
        <c:scaling>
          <c:orientation val="minMax"/>
          <c:max val="0.32"/>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8195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13F67"/>
              </a:solidFill>
              <a:round/>
            </a:ln>
            <a:effectLst/>
          </c:spPr>
          <c:marker>
            <c:symbol val="diamond"/>
            <c:size val="6"/>
            <c:spPr>
              <a:solidFill>
                <a:srgbClr val="11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透视!$D$59:$D$61</c:f>
              <c:strCache>
                <c:ptCount val="3"/>
                <c:pt idx="0">
                  <c:v>2018届</c:v>
                </c:pt>
                <c:pt idx="1">
                  <c:v>2019届</c:v>
                </c:pt>
                <c:pt idx="2">
                  <c:v>2020届</c:v>
                </c:pt>
              </c:strCache>
            </c:strRef>
          </c:cat>
          <c:val>
            <c:numRef>
              <c:f>透视!$E$59:$E$61</c:f>
              <c:numCache>
                <c:formatCode>0.00%</c:formatCode>
                <c:ptCount val="3"/>
                <c:pt idx="0">
                  <c:v>0.9733</c:v>
                </c:pt>
                <c:pt idx="1">
                  <c:v>0.8056</c:v>
                </c:pt>
                <c:pt idx="2">
                  <c:v>0.8312</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D3F67"/>
              </a:solidFill>
              <a:round/>
            </a:ln>
            <a:effectLst/>
          </c:spPr>
          <c:marker>
            <c:symbol val="diamond"/>
            <c:size val="6"/>
            <c:spPr>
              <a:solidFill>
                <a:srgbClr val="0D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透视2!$B$97:$B$99</c:f>
              <c:strCache>
                <c:ptCount val="3"/>
                <c:pt idx="0">
                  <c:v>2018届</c:v>
                </c:pt>
                <c:pt idx="1">
                  <c:v>2019届</c:v>
                </c:pt>
                <c:pt idx="2">
                  <c:v>2020届</c:v>
                </c:pt>
              </c:strCache>
            </c:strRef>
          </c:cat>
          <c:val>
            <c:numRef>
              <c:f>透视2!$C$97:$C$99</c:f>
              <c:numCache>
                <c:formatCode>0</c:formatCode>
                <c:ptCount val="3"/>
                <c:pt idx="0">
                  <c:v>4269.3</c:v>
                </c:pt>
                <c:pt idx="1">
                  <c:v>5179</c:v>
                </c:pt>
                <c:pt idx="2">
                  <c:v>5402</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D3F67"/>
              </a:solidFill>
              <a:round/>
            </a:ln>
            <a:effectLst/>
          </c:spPr>
          <c:marker>
            <c:symbol val="diamond"/>
            <c:size val="6"/>
            <c:spPr>
              <a:solidFill>
                <a:srgbClr val="0D3F67"/>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透视2!$B$101:$B$103</c:f>
              <c:strCache>
                <c:ptCount val="3"/>
                <c:pt idx="0">
                  <c:v>2018届</c:v>
                </c:pt>
                <c:pt idx="1">
                  <c:v>2019届</c:v>
                </c:pt>
                <c:pt idx="2">
                  <c:v>2020届</c:v>
                </c:pt>
              </c:strCache>
            </c:strRef>
          </c:cat>
          <c:val>
            <c:numRef>
              <c:f>透视2!$C$101:$C$103</c:f>
              <c:numCache>
                <c:formatCode>0.00%</c:formatCode>
                <c:ptCount val="3"/>
                <c:pt idx="0">
                  <c:v>0.8621</c:v>
                </c:pt>
                <c:pt idx="1">
                  <c:v>0.7</c:v>
                </c:pt>
                <c:pt idx="2">
                  <c:v>0.7412</c:v>
                </c:pt>
              </c:numCache>
            </c:numRef>
          </c:val>
          <c:smooth val="0"/>
        </c:ser>
        <c:dLbls>
          <c:showLegendKey val="0"/>
          <c:showVal val="1"/>
          <c:showCatName val="0"/>
          <c:showSerName val="0"/>
          <c:showPercent val="0"/>
          <c:showBubbleSize val="0"/>
        </c:dLbls>
        <c:marker val="1"/>
        <c:smooth val="0"/>
        <c:axId val="749794560"/>
        <c:axId val="749792264"/>
      </c:lineChart>
      <c:catAx>
        <c:axId val="7497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2264"/>
        <c:crosses val="autoZero"/>
        <c:auto val="1"/>
        <c:lblAlgn val="ctr"/>
        <c:lblOffset val="100"/>
        <c:noMultiLvlLbl val="0"/>
      </c:catAx>
      <c:valAx>
        <c:axId val="749792264"/>
        <c:scaling>
          <c:orientation val="minMax"/>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79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421367346069"/>
          <c:y val="0.0180120864870363"/>
          <c:w val="0.716578632653931"/>
          <c:h val="0.963975827025927"/>
        </c:manualLayout>
      </c:layout>
      <c:barChart>
        <c:barDir val="bar"/>
        <c:grouping val="stacked"/>
        <c:varyColors val="0"/>
        <c:ser>
          <c:idx val="0"/>
          <c:order val="0"/>
          <c:spPr>
            <a:solidFill>
              <a:srgbClr val="113F67"/>
            </a:solidFill>
            <a:ln>
              <a:noFill/>
            </a:ln>
            <a:effectLst/>
          </c:spPr>
          <c:invertIfNegative val="0"/>
          <c:dLbls>
            <c:delete val="1"/>
          </c:dLbls>
          <c:cat>
            <c:strRef>
              <c:f>'单位就业 (邵阳学院)'!$F$42:$F$59</c:f>
              <c:strCache>
                <c:ptCount val="18"/>
                <c:pt idx="0">
                  <c:v>其他人员</c:v>
                </c:pt>
                <c:pt idx="1">
                  <c:v>商业和服务业人员</c:v>
                </c:pt>
                <c:pt idx="2">
                  <c:v>其他专业技术人员</c:v>
                </c:pt>
                <c:pt idx="3">
                  <c:v>工程技术人员</c:v>
                </c:pt>
                <c:pt idx="4">
                  <c:v>卫生专业技术人员</c:v>
                </c:pt>
                <c:pt idx="5">
                  <c:v>教学人员</c:v>
                </c:pt>
                <c:pt idx="6">
                  <c:v>经济业务人员</c:v>
                </c:pt>
                <c:pt idx="7">
                  <c:v>办事人员和有关人员</c:v>
                </c:pt>
                <c:pt idx="8">
                  <c:v>金融业务人员</c:v>
                </c:pt>
                <c:pt idx="9">
                  <c:v>军人</c:v>
                </c:pt>
                <c:pt idx="10">
                  <c:v>生产和运输设备操作人员</c:v>
                </c:pt>
                <c:pt idx="11">
                  <c:v>文学艺术工作人员</c:v>
                </c:pt>
                <c:pt idx="12">
                  <c:v>农林牧渔业技术人员</c:v>
                </c:pt>
                <c:pt idx="13">
                  <c:v>科学研究人员</c:v>
                </c:pt>
                <c:pt idx="14">
                  <c:v>新闻出版和文化工作人员</c:v>
                </c:pt>
                <c:pt idx="15">
                  <c:v>体育工作人员</c:v>
                </c:pt>
                <c:pt idx="16">
                  <c:v>公务员</c:v>
                </c:pt>
                <c:pt idx="17">
                  <c:v>法律专业人员</c:v>
                </c:pt>
              </c:strCache>
            </c:strRef>
          </c:cat>
          <c:val>
            <c:numRef>
              <c:f>'单位就业 (邵阳学院)'!$G$42:$G$59</c:f>
              <c:numCache>
                <c:formatCode>0.00%</c:formatCode>
                <c:ptCount val="18"/>
                <c:pt idx="0">
                  <c:v>0.354093223658441</c:v>
                </c:pt>
                <c:pt idx="1">
                  <c:v>0.107324716020368</c:v>
                </c:pt>
                <c:pt idx="2">
                  <c:v>0.102624363493929</c:v>
                </c:pt>
                <c:pt idx="3">
                  <c:v>0.100274187230709</c:v>
                </c:pt>
                <c:pt idx="4">
                  <c:v>0.0681551116333725</c:v>
                </c:pt>
                <c:pt idx="5">
                  <c:v>0.0630630630630631</c:v>
                </c:pt>
                <c:pt idx="6">
                  <c:v>0.0336858597728163</c:v>
                </c:pt>
                <c:pt idx="7">
                  <c:v>0.0336858597728163</c:v>
                </c:pt>
                <c:pt idx="8">
                  <c:v>0.0321190755973365</c:v>
                </c:pt>
                <c:pt idx="9">
                  <c:v>0.0297688993341167</c:v>
                </c:pt>
                <c:pt idx="10">
                  <c:v>0.0285938112025069</c:v>
                </c:pt>
                <c:pt idx="11">
                  <c:v>0.0125342734038386</c:v>
                </c:pt>
                <c:pt idx="12">
                  <c:v>0.0121425773599687</c:v>
                </c:pt>
                <c:pt idx="13">
                  <c:v>0.00665883274578927</c:v>
                </c:pt>
                <c:pt idx="14">
                  <c:v>0.00626713670191931</c:v>
                </c:pt>
                <c:pt idx="15">
                  <c:v>0.00391696043869957</c:v>
                </c:pt>
                <c:pt idx="16">
                  <c:v>0.00352526439482961</c:v>
                </c:pt>
                <c:pt idx="17">
                  <c:v>0.00156678417547983</c:v>
                </c:pt>
              </c:numCache>
            </c:numRef>
          </c:val>
        </c:ser>
        <c:ser>
          <c:idx val="1"/>
          <c:order val="1"/>
          <c:spPr>
            <a:solidFill>
              <a:srgbClr val="F2F2F2"/>
            </a:solidFill>
            <a:ln>
              <a:noFill/>
            </a:ln>
            <a:effectLst/>
          </c:spPr>
          <c:invertIfNegative val="0"/>
          <c:dLbls>
            <c:dLbl>
              <c:idx val="0"/>
              <c:layout/>
              <c:tx>
                <c:rich>
                  <a:bodyPr rot="0" spcFirstLastPara="1" vertOverflow="ellipsis" vert="horz" wrap="square" lIns="38100" tIns="19050" rIns="38100" bIns="19050" anchor="ctr" anchorCtr="1"/>
                  <a:lstStyle/>
                  <a:p>
                    <a:fld id="{7be1915c-8d7d-40ec-8622-96e6e39ac24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c0a91751-ec13-4398-9e7f-33693538ffd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729f9ea8-3ad3-4345-8e63-36ebf78abdcc}"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fa96e1c-996b-46a1-bed8-19c131da575a}"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d98eb069-e0d1-419a-9945-0b55b96a371a}"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c9d8ccee-5c62-4611-a6a9-0f24f32b156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5e9fecc1-f653-47bf-bdf9-f2a855a25d4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ceb44e8d-4637-473e-bb23-ba458933f32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a40faa77-e654-4eef-8e58-457331af7099}"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b8a9d549-b19a-4b01-9e42-221b46adbfc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0096c2ca-b128-4aac-b087-fc36ef532a5c}"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857ae16c-9ed7-4d27-8abb-58e47a01ac3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476d572f-9329-488c-bc90-396fe00bfa36}"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325301be-d4f5-4f78-9a72-1de0fe520857}"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ead7227a-2c1d-47ab-98cc-b3832c4822e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6bd60e8f-fe5f-4f19-94d9-b84548cfbb0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94b0a1ec-1b0e-4954-bc92-4e80a3848fb3}"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f2ffa298-1670-4185-a49f-25af98280c3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'单位就业 (邵阳学院)'!$F$42:$F$59</c:f>
              <c:strCache>
                <c:ptCount val="18"/>
                <c:pt idx="0">
                  <c:v>其他人员</c:v>
                </c:pt>
                <c:pt idx="1">
                  <c:v>商业和服务业人员</c:v>
                </c:pt>
                <c:pt idx="2">
                  <c:v>其他专业技术人员</c:v>
                </c:pt>
                <c:pt idx="3">
                  <c:v>工程技术人员</c:v>
                </c:pt>
                <c:pt idx="4">
                  <c:v>卫生专业技术人员</c:v>
                </c:pt>
                <c:pt idx="5">
                  <c:v>教学人员</c:v>
                </c:pt>
                <c:pt idx="6">
                  <c:v>经济业务人员</c:v>
                </c:pt>
                <c:pt idx="7">
                  <c:v>办事人员和有关人员</c:v>
                </c:pt>
                <c:pt idx="8">
                  <c:v>金融业务人员</c:v>
                </c:pt>
                <c:pt idx="9">
                  <c:v>军人</c:v>
                </c:pt>
                <c:pt idx="10">
                  <c:v>生产和运输设备操作人员</c:v>
                </c:pt>
                <c:pt idx="11">
                  <c:v>文学艺术工作人员</c:v>
                </c:pt>
                <c:pt idx="12">
                  <c:v>农林牧渔业技术人员</c:v>
                </c:pt>
                <c:pt idx="13">
                  <c:v>科学研究人员</c:v>
                </c:pt>
                <c:pt idx="14">
                  <c:v>新闻出版和文化工作人员</c:v>
                </c:pt>
                <c:pt idx="15">
                  <c:v>体育工作人员</c:v>
                </c:pt>
                <c:pt idx="16">
                  <c:v>公务员</c:v>
                </c:pt>
                <c:pt idx="17">
                  <c:v>法律专业人员</c:v>
                </c:pt>
              </c:strCache>
            </c:strRef>
          </c:cat>
          <c:val>
            <c:numRef>
              <c:f>'单位就业 (邵阳学院)'!$H$42:$H$59</c:f>
              <c:numCache>
                <c:formatCode>0.00%</c:formatCode>
                <c:ptCount val="18"/>
                <c:pt idx="0">
                  <c:v>0.106227967097532</c:v>
                </c:pt>
                <c:pt idx="1">
                  <c:v>0.352996474735605</c:v>
                </c:pt>
                <c:pt idx="2">
                  <c:v>0.357696827262045</c:v>
                </c:pt>
                <c:pt idx="3">
                  <c:v>0.360047003525264</c:v>
                </c:pt>
                <c:pt idx="4">
                  <c:v>0.392166079122601</c:v>
                </c:pt>
                <c:pt idx="5">
                  <c:v>0.39725812769291</c:v>
                </c:pt>
                <c:pt idx="6">
                  <c:v>0.426635330983157</c:v>
                </c:pt>
                <c:pt idx="7">
                  <c:v>0.426635330983157</c:v>
                </c:pt>
                <c:pt idx="8">
                  <c:v>0.428202115158637</c:v>
                </c:pt>
                <c:pt idx="9">
                  <c:v>0.430552291421857</c:v>
                </c:pt>
                <c:pt idx="10">
                  <c:v>0.431727379553467</c:v>
                </c:pt>
                <c:pt idx="11">
                  <c:v>0.447786917352135</c:v>
                </c:pt>
                <c:pt idx="12">
                  <c:v>0.448178613396005</c:v>
                </c:pt>
                <c:pt idx="13">
                  <c:v>0.453662358010184</c:v>
                </c:pt>
                <c:pt idx="14">
                  <c:v>0.454054054054054</c:v>
                </c:pt>
                <c:pt idx="15">
                  <c:v>0.456404230317274</c:v>
                </c:pt>
                <c:pt idx="16">
                  <c:v>0.456795926361144</c:v>
                </c:pt>
                <c:pt idx="17">
                  <c:v>0.458754406580494</c:v>
                </c:pt>
              </c:numCache>
            </c:numRef>
          </c:val>
          <c:extLst>
            <c:ext xmlns:c15="http://schemas.microsoft.com/office/drawing/2012/chart" uri="{02D57815-91ED-43cb-92C2-25804820EDAC}">
              <c15:datalabelsRange>
                <c15:f>'单位就业 (邵阳学院)'!$J$42:$J$59</c15:f>
                <c15:dlblRangeCache>
                  <c:ptCount val="18"/>
                  <c:pt idx="0">
                    <c:v>904人  35.41%</c:v>
                  </c:pt>
                  <c:pt idx="1">
                    <c:v>274人  10.73%</c:v>
                  </c:pt>
                  <c:pt idx="2">
                    <c:v>262人  10.26%</c:v>
                  </c:pt>
                  <c:pt idx="3">
                    <c:v>256人  10.03%</c:v>
                  </c:pt>
                  <c:pt idx="4">
                    <c:v>174人  6.82%</c:v>
                  </c:pt>
                  <c:pt idx="5">
                    <c:v>161人  6.31%</c:v>
                  </c:pt>
                  <c:pt idx="6">
                    <c:v>86人  3.37%</c:v>
                  </c:pt>
                  <c:pt idx="7">
                    <c:v>86人  3.37%</c:v>
                  </c:pt>
                  <c:pt idx="8">
                    <c:v>82人  3.21%</c:v>
                  </c:pt>
                  <c:pt idx="9">
                    <c:v>76人  2.98%</c:v>
                  </c:pt>
                  <c:pt idx="10">
                    <c:v>73人  2.86%</c:v>
                  </c:pt>
                  <c:pt idx="11">
                    <c:v>32人  1.25%</c:v>
                  </c:pt>
                  <c:pt idx="12">
                    <c:v>31人  1.21%</c:v>
                  </c:pt>
                  <c:pt idx="13">
                    <c:v>17人  0.67%</c:v>
                  </c:pt>
                  <c:pt idx="14">
                    <c:v>16人  0.63%</c:v>
                  </c:pt>
                  <c:pt idx="15">
                    <c:v>10人  0.39%</c:v>
                  </c:pt>
                  <c:pt idx="16">
                    <c:v>9人  0.35%</c:v>
                  </c:pt>
                  <c:pt idx="17">
                    <c:v>4人  0.16%</c:v>
                  </c:pt>
                </c15:dlblRangeCache>
              </c15:datalabelsRange>
            </c:ext>
          </c:extLst>
        </c:ser>
        <c:dLbls>
          <c:showLegendKey val="0"/>
          <c:showVal val="1"/>
          <c:showCatName val="0"/>
          <c:showSerName val="0"/>
          <c:showPercent val="0"/>
          <c:showBubbleSize val="0"/>
        </c:dLbls>
        <c:gapWidth val="200"/>
        <c:overlap val="100"/>
        <c:axId val="1201881624"/>
        <c:axId val="1201880968"/>
      </c:barChart>
      <c:dateAx>
        <c:axId val="12018816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201880968"/>
        <c:crosses val="autoZero"/>
        <c:auto val="0"/>
        <c:lblAlgn val="ctr"/>
        <c:lblOffset val="100"/>
        <c:baseTimeUnit val="days"/>
      </c:dateAx>
      <c:valAx>
        <c:axId val="1201880968"/>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1881624"/>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'2-图形输出'!$I$262</c:f>
              <c:strCache>
                <c:ptCount val="1"/>
                <c:pt idx="0">
                  <c:v>辅助-占比</c:v>
                </c:pt>
              </c:strCache>
            </c:strRef>
          </c:tx>
          <c:spPr>
            <a:solidFill>
              <a:srgbClr val="00468E"/>
            </a:solidFill>
            <a:ln>
              <a:noFill/>
            </a:ln>
            <a:effectLst/>
          </c:spPr>
          <c:invertIfNegative val="0"/>
          <c:dLbls>
            <c:delete val="1"/>
          </c:dLbls>
          <c:cat>
            <c:strRef>
              <c:f>'2-图形输出'!$G$263:$G$293</c:f>
              <c:strCache>
                <c:ptCount val="31"/>
                <c:pt idx="0">
                  <c:v>湖南</c:v>
                </c:pt>
                <c:pt idx="1">
                  <c:v>广东</c:v>
                </c:pt>
                <c:pt idx="2">
                  <c:v>浙江</c:v>
                </c:pt>
                <c:pt idx="3">
                  <c:v>上海</c:v>
                </c:pt>
                <c:pt idx="4">
                  <c:v>北京</c:v>
                </c:pt>
                <c:pt idx="5">
                  <c:v>江苏</c:v>
                </c:pt>
                <c:pt idx="6">
                  <c:v>江西</c:v>
                </c:pt>
                <c:pt idx="7">
                  <c:v>湖北</c:v>
                </c:pt>
                <c:pt idx="8">
                  <c:v>福建</c:v>
                </c:pt>
                <c:pt idx="9">
                  <c:v>山东</c:v>
                </c:pt>
                <c:pt idx="10">
                  <c:v>河北</c:v>
                </c:pt>
                <c:pt idx="11">
                  <c:v>陕西</c:v>
                </c:pt>
                <c:pt idx="12">
                  <c:v>贵州</c:v>
                </c:pt>
                <c:pt idx="13">
                  <c:v>天津</c:v>
                </c:pt>
                <c:pt idx="14">
                  <c:v>四川</c:v>
                </c:pt>
                <c:pt idx="15">
                  <c:v>山西</c:v>
                </c:pt>
                <c:pt idx="16">
                  <c:v>广西</c:v>
                </c:pt>
                <c:pt idx="17">
                  <c:v>甘肃</c:v>
                </c:pt>
                <c:pt idx="18">
                  <c:v>云南</c:v>
                </c:pt>
                <c:pt idx="19">
                  <c:v>安徽</c:v>
                </c:pt>
                <c:pt idx="20">
                  <c:v>河南</c:v>
                </c:pt>
                <c:pt idx="21">
                  <c:v>海南</c:v>
                </c:pt>
                <c:pt idx="22">
                  <c:v>重庆</c:v>
                </c:pt>
                <c:pt idx="23">
                  <c:v>内蒙古</c:v>
                </c:pt>
                <c:pt idx="24">
                  <c:v>新疆</c:v>
                </c:pt>
                <c:pt idx="25">
                  <c:v>西藏</c:v>
                </c:pt>
                <c:pt idx="26">
                  <c:v>青海</c:v>
                </c:pt>
                <c:pt idx="27">
                  <c:v>辽宁</c:v>
                </c:pt>
                <c:pt idx="28">
                  <c:v>宁夏</c:v>
                </c:pt>
                <c:pt idx="29">
                  <c:v>黑龙江</c:v>
                </c:pt>
                <c:pt idx="30">
                  <c:v>吉林</c:v>
                </c:pt>
              </c:strCache>
            </c:strRef>
          </c:cat>
          <c:val>
            <c:numRef>
              <c:f>'2-图形输出'!$I$263:$I$293</c:f>
              <c:numCache>
                <c:formatCode>0.00%</c:formatCode>
                <c:ptCount val="31"/>
                <c:pt idx="0">
                  <c:v>0.474098757952136</c:v>
                </c:pt>
                <c:pt idx="1">
                  <c:v>0.205695243865495</c:v>
                </c:pt>
                <c:pt idx="2">
                  <c:v>0.0448348985156013</c:v>
                </c:pt>
                <c:pt idx="3">
                  <c:v>0.0445319600121175</c:v>
                </c:pt>
                <c:pt idx="4">
                  <c:v>0.0269615268100576</c:v>
                </c:pt>
                <c:pt idx="5">
                  <c:v>0.024840957285671</c:v>
                </c:pt>
                <c:pt idx="6">
                  <c:v>0.0209027567403817</c:v>
                </c:pt>
                <c:pt idx="7">
                  <c:v>0.0181763102090276</c:v>
                </c:pt>
                <c:pt idx="8">
                  <c:v>0.0145410481672221</c:v>
                </c:pt>
                <c:pt idx="9">
                  <c:v>0.0127234171463193</c:v>
                </c:pt>
                <c:pt idx="10">
                  <c:v>0.0121175401393517</c:v>
                </c:pt>
                <c:pt idx="11">
                  <c:v>0.0109057861254165</c:v>
                </c:pt>
                <c:pt idx="12">
                  <c:v>0.00999697061496516</c:v>
                </c:pt>
                <c:pt idx="13">
                  <c:v>0.00878521660102999</c:v>
                </c:pt>
                <c:pt idx="14">
                  <c:v>0.0084822780975462</c:v>
                </c:pt>
                <c:pt idx="15">
                  <c:v>0.00727052408361103</c:v>
                </c:pt>
                <c:pt idx="16">
                  <c:v>0.00696758558012723</c:v>
                </c:pt>
                <c:pt idx="17">
                  <c:v>0.00666464707664344</c:v>
                </c:pt>
                <c:pt idx="18">
                  <c:v>0.00605877006967586</c:v>
                </c:pt>
                <c:pt idx="19">
                  <c:v>0.00514995455922448</c:v>
                </c:pt>
                <c:pt idx="20">
                  <c:v>0.00484701605574068</c:v>
                </c:pt>
                <c:pt idx="21">
                  <c:v>0.00454407755225689</c:v>
                </c:pt>
                <c:pt idx="22">
                  <c:v>0.0042411390487731</c:v>
                </c:pt>
                <c:pt idx="23">
                  <c:v>0.00393820054528931</c:v>
                </c:pt>
                <c:pt idx="24">
                  <c:v>0.00333232353832172</c:v>
                </c:pt>
                <c:pt idx="25">
                  <c:v>0.00272644653135414</c:v>
                </c:pt>
                <c:pt idx="26">
                  <c:v>0.00242350802787034</c:v>
                </c:pt>
                <c:pt idx="27">
                  <c:v>0.00121175401393517</c:v>
                </c:pt>
                <c:pt idx="28">
                  <c:v>0.00121175401393517</c:v>
                </c:pt>
                <c:pt idx="29">
                  <c:v>0.000908815510451378</c:v>
                </c:pt>
                <c:pt idx="30">
                  <c:v>0.000908815510451378</c:v>
                </c:pt>
              </c:numCache>
            </c:numRef>
          </c:val>
        </c:ser>
        <c:ser>
          <c:idx val="1"/>
          <c:order val="1"/>
          <c:tx>
            <c:strRef>
              <c:f>'2-图形输出'!$J$262</c:f>
              <c:strCache>
                <c:ptCount val="1"/>
                <c:pt idx="0">
                  <c:v>辅助2</c:v>
                </c:pt>
              </c:strCache>
            </c:strRef>
          </c:tx>
          <c:spPr>
            <a:noFill/>
            <a:ln>
              <a:noFill/>
            </a:ln>
            <a:effectLst/>
          </c:spPr>
          <c:invertIfNegative val="0"/>
          <c:dLbls>
            <c:dLbl>
              <c:idx val="0"/>
              <c:layout/>
              <c:tx>
                <c:rich>
                  <a:bodyPr rot="0" spcFirstLastPara="1" vertOverflow="ellipsis" vert="horz" wrap="square" lIns="38100" tIns="19050" rIns="38100" bIns="19050" anchor="ctr" anchorCtr="1"/>
                  <a:lstStyle/>
                  <a:p>
                    <a:fld id="{da488c0e-b92c-486b-8cac-673135fdb601}"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1f125778-f0ef-4e68-a801-e9e550606bb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48ca959d-861b-4170-a9bc-defabd97e546}"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65a6b261-7fb0-401d-b55e-bb458aa79ec8}"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c112cc65-79fd-47bb-94d1-c4cf067692dc}"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d7cf3670-fb8d-4a3a-b42e-b7ec6b62d498}"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1c61e92c-1742-4caf-aef0-fd34108cc1b2}"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0d26c1e1-3415-468d-99d7-0709f0f06e04}"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9cb82c5c-927d-4b9d-bea2-76402cdf241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f08cbbf5-7170-45e7-ae38-f819ae0f07cb}"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1b70c2cb-e02f-4582-9e97-9c11116fc9e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94f0ea05-32dd-410a-92b6-b06f6dc025c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178948a3-8541-4061-9211-08ac612733f6}"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ab2a640e-11f0-4c14-93d0-dbcd5efda76b}"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rot="0" spcFirstLastPara="1" vertOverflow="ellipsis" vert="horz" wrap="square" lIns="38100" tIns="19050" rIns="38100" bIns="19050" anchor="ctr" anchorCtr="1"/>
                  <a:lstStyle/>
                  <a:p>
                    <a:fld id="{98358350-ce51-4f11-9d66-e7736c7c400b}"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rot="0" spcFirstLastPara="1" vertOverflow="ellipsis" vert="horz" wrap="square" lIns="38100" tIns="19050" rIns="38100" bIns="19050" anchor="ctr" anchorCtr="1"/>
                  <a:lstStyle/>
                  <a:p>
                    <a:fld id="{d67ce960-7a19-4b95-8855-77a5e860f058}"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rot="0" spcFirstLastPara="1" vertOverflow="ellipsis" vert="horz" wrap="square" lIns="38100" tIns="19050" rIns="38100" bIns="19050" anchor="ctr" anchorCtr="1"/>
                  <a:lstStyle/>
                  <a:p>
                    <a:fld id="{d55d80a1-3226-4498-ad0d-b3957c4f533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rot="0" spcFirstLastPara="1" vertOverflow="ellipsis" vert="horz" wrap="square" lIns="38100" tIns="19050" rIns="38100" bIns="19050" anchor="ctr" anchorCtr="1"/>
                  <a:lstStyle/>
                  <a:p>
                    <a:fld id="{0a580534-a0dc-4494-9078-380779c8befa}"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rot="0" spcFirstLastPara="1" vertOverflow="ellipsis" vert="horz" wrap="square" lIns="38100" tIns="19050" rIns="38100" bIns="19050" anchor="ctr" anchorCtr="1"/>
                  <a:lstStyle/>
                  <a:p>
                    <a:fld id="{f77e6dc0-08b6-49b3-9de8-241adc02e0f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rot="0" spcFirstLastPara="1" vertOverflow="ellipsis" vert="horz" wrap="square" lIns="38100" tIns="19050" rIns="38100" bIns="19050" anchor="ctr" anchorCtr="1"/>
                  <a:lstStyle/>
                  <a:p>
                    <a:fld id="{b784fd75-d8d4-4c22-8e1f-bd0b78548f2e}"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rot="0" spcFirstLastPara="1" vertOverflow="ellipsis" vert="horz" wrap="square" lIns="38100" tIns="19050" rIns="38100" bIns="19050" anchor="ctr" anchorCtr="1"/>
                  <a:lstStyle/>
                  <a:p>
                    <a:fld id="{c79377ba-c114-4338-85bd-d698386891d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rot="0" spcFirstLastPara="1" vertOverflow="ellipsis" vert="horz" wrap="square" lIns="38100" tIns="19050" rIns="38100" bIns="19050" anchor="ctr" anchorCtr="1"/>
                  <a:lstStyle/>
                  <a:p>
                    <a:fld id="{832daea6-a6a0-4bd9-aac3-a670a7f74b69}"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rot="0" spcFirstLastPara="1" vertOverflow="ellipsis" vert="horz" wrap="square" lIns="38100" tIns="19050" rIns="38100" bIns="19050" anchor="ctr" anchorCtr="1"/>
                  <a:lstStyle/>
                  <a:p>
                    <a:fld id="{e9dec379-71a1-42fe-93ec-c22229e63e01}"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rot="0" spcFirstLastPara="1" vertOverflow="ellipsis" vert="horz" wrap="square" lIns="38100" tIns="19050" rIns="38100" bIns="19050" anchor="ctr" anchorCtr="1"/>
                  <a:lstStyle/>
                  <a:p>
                    <a:fld id="{cab3023d-3663-4a69-823d-0e91fbfba31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rot="0" spcFirstLastPara="1" vertOverflow="ellipsis" vert="horz" wrap="square" lIns="38100" tIns="19050" rIns="38100" bIns="19050" anchor="ctr" anchorCtr="1"/>
                  <a:lstStyle/>
                  <a:p>
                    <a:fld id="{5105777a-f4c5-4ec1-8116-556b6161fd3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rot="0" spcFirstLastPara="1" vertOverflow="ellipsis" vert="horz" wrap="square" lIns="38100" tIns="19050" rIns="38100" bIns="19050" anchor="ctr" anchorCtr="1"/>
                  <a:lstStyle/>
                  <a:p>
                    <a:fld id="{b21ea9ff-0c2b-4647-af0b-b458a857ce8d}"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rot="0" spcFirstLastPara="1" vertOverflow="ellipsis" vert="horz" wrap="square" lIns="38100" tIns="19050" rIns="38100" bIns="19050" anchor="ctr" anchorCtr="1"/>
                  <a:lstStyle/>
                  <a:p>
                    <a:fld id="{3e7e82a8-1be2-42d7-bc44-824029954cf5}"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rot="0" spcFirstLastPara="1" vertOverflow="ellipsis" vert="horz" wrap="square" lIns="38100" tIns="19050" rIns="38100" bIns="19050" anchor="ctr" anchorCtr="1"/>
                  <a:lstStyle/>
                  <a:p>
                    <a:fld id="{e19ccb89-8375-43b8-8807-a0fe9164a9db}"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rot="0" spcFirstLastPara="1" vertOverflow="ellipsis" vert="horz" wrap="square" lIns="38100" tIns="19050" rIns="38100" bIns="19050" anchor="ctr" anchorCtr="1"/>
                  <a:lstStyle/>
                  <a:p>
                    <a:fld id="{157a3637-1eec-4d74-9f79-07d376e88cbf}"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rot="0" spcFirstLastPara="1" vertOverflow="ellipsis" vert="horz" wrap="square" lIns="38100" tIns="19050" rIns="38100" bIns="19050" anchor="ctr" anchorCtr="1"/>
                  <a:lstStyle/>
                  <a:p>
                    <a:fld id="{4bb68362-4f55-445e-97b0-b05066373e47}"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rot="0" spcFirstLastPara="1" vertOverflow="ellipsis" vert="horz" wrap="square" lIns="38100" tIns="19050" rIns="38100" bIns="19050" anchor="ctr" anchorCtr="1"/>
                  <a:lstStyle/>
                  <a:p>
                    <a:fld id="{076b7e5c-ed4a-40f8-a0bc-6d7b80f10160}" type="CELLRANGE">
                      <a:t>[CELLRANGE]</a:t>
                    </a:fld>
                    <a:endParaRPr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'2-图形输出'!$G$263:$G$293</c:f>
              <c:strCache>
                <c:ptCount val="31"/>
                <c:pt idx="0">
                  <c:v>湖南</c:v>
                </c:pt>
                <c:pt idx="1">
                  <c:v>广东</c:v>
                </c:pt>
                <c:pt idx="2">
                  <c:v>浙江</c:v>
                </c:pt>
                <c:pt idx="3">
                  <c:v>上海</c:v>
                </c:pt>
                <c:pt idx="4">
                  <c:v>北京</c:v>
                </c:pt>
                <c:pt idx="5">
                  <c:v>江苏</c:v>
                </c:pt>
                <c:pt idx="6">
                  <c:v>江西</c:v>
                </c:pt>
                <c:pt idx="7">
                  <c:v>湖北</c:v>
                </c:pt>
                <c:pt idx="8">
                  <c:v>福建</c:v>
                </c:pt>
                <c:pt idx="9">
                  <c:v>山东</c:v>
                </c:pt>
                <c:pt idx="10">
                  <c:v>河北</c:v>
                </c:pt>
                <c:pt idx="11">
                  <c:v>陕西</c:v>
                </c:pt>
                <c:pt idx="12">
                  <c:v>贵州</c:v>
                </c:pt>
                <c:pt idx="13">
                  <c:v>天津</c:v>
                </c:pt>
                <c:pt idx="14">
                  <c:v>四川</c:v>
                </c:pt>
                <c:pt idx="15">
                  <c:v>山西</c:v>
                </c:pt>
                <c:pt idx="16">
                  <c:v>广西</c:v>
                </c:pt>
                <c:pt idx="17">
                  <c:v>甘肃</c:v>
                </c:pt>
                <c:pt idx="18">
                  <c:v>云南</c:v>
                </c:pt>
                <c:pt idx="19">
                  <c:v>安徽</c:v>
                </c:pt>
                <c:pt idx="20">
                  <c:v>河南</c:v>
                </c:pt>
                <c:pt idx="21">
                  <c:v>海南</c:v>
                </c:pt>
                <c:pt idx="22">
                  <c:v>重庆</c:v>
                </c:pt>
                <c:pt idx="23">
                  <c:v>内蒙古</c:v>
                </c:pt>
                <c:pt idx="24">
                  <c:v>新疆</c:v>
                </c:pt>
                <c:pt idx="25">
                  <c:v>西藏</c:v>
                </c:pt>
                <c:pt idx="26">
                  <c:v>青海</c:v>
                </c:pt>
                <c:pt idx="27">
                  <c:v>辽宁</c:v>
                </c:pt>
                <c:pt idx="28">
                  <c:v>宁夏</c:v>
                </c:pt>
                <c:pt idx="29">
                  <c:v>黑龙江</c:v>
                </c:pt>
                <c:pt idx="30">
                  <c:v>吉林</c:v>
                </c:pt>
              </c:strCache>
            </c:strRef>
          </c:cat>
          <c:val>
            <c:numRef>
              <c:f>'2-图形输出'!$J$263:$J$293</c:f>
              <c:numCache>
                <c:formatCode>0.00</c:formatCode>
                <c:ptCount val="31"/>
                <c:pt idx="0">
                  <c:v>0.0948197515904271</c:v>
                </c:pt>
                <c:pt idx="1">
                  <c:v>0.363223265677068</c:v>
                </c:pt>
                <c:pt idx="2">
                  <c:v>0.524083611026962</c:v>
                </c:pt>
                <c:pt idx="3">
                  <c:v>0.524386549530445</c:v>
                </c:pt>
                <c:pt idx="4">
                  <c:v>0.541956982732505</c:v>
                </c:pt>
                <c:pt idx="5">
                  <c:v>0.544077552256892</c:v>
                </c:pt>
                <c:pt idx="6">
                  <c:v>0.548015752802181</c:v>
                </c:pt>
                <c:pt idx="7">
                  <c:v>0.550742199333535</c:v>
                </c:pt>
                <c:pt idx="8">
                  <c:v>0.554377461375341</c:v>
                </c:pt>
                <c:pt idx="9">
                  <c:v>0.556195092396244</c:v>
                </c:pt>
                <c:pt idx="10">
                  <c:v>0.556800969403211</c:v>
                </c:pt>
                <c:pt idx="11">
                  <c:v>0.558012723417146</c:v>
                </c:pt>
                <c:pt idx="12">
                  <c:v>0.558921538927598</c:v>
                </c:pt>
                <c:pt idx="13">
                  <c:v>0.560133292941533</c:v>
                </c:pt>
                <c:pt idx="14">
                  <c:v>0.560436231445017</c:v>
                </c:pt>
                <c:pt idx="15">
                  <c:v>0.561647985458952</c:v>
                </c:pt>
                <c:pt idx="16">
                  <c:v>0.561950923962436</c:v>
                </c:pt>
                <c:pt idx="17">
                  <c:v>0.562253862465919</c:v>
                </c:pt>
                <c:pt idx="18">
                  <c:v>0.562859739472887</c:v>
                </c:pt>
                <c:pt idx="19">
                  <c:v>0.563768554983338</c:v>
                </c:pt>
                <c:pt idx="20">
                  <c:v>0.564071493486822</c:v>
                </c:pt>
                <c:pt idx="21">
                  <c:v>0.564374431990306</c:v>
                </c:pt>
                <c:pt idx="22">
                  <c:v>0.56467737049379</c:v>
                </c:pt>
                <c:pt idx="23">
                  <c:v>0.564980308997274</c:v>
                </c:pt>
                <c:pt idx="24">
                  <c:v>0.565586186004241</c:v>
                </c:pt>
                <c:pt idx="25">
                  <c:v>0.566192063011209</c:v>
                </c:pt>
                <c:pt idx="26">
                  <c:v>0.566495001514692</c:v>
                </c:pt>
                <c:pt idx="27">
                  <c:v>0.567706755528628</c:v>
                </c:pt>
                <c:pt idx="28">
                  <c:v>0.567706755528628</c:v>
                </c:pt>
                <c:pt idx="29">
                  <c:v>0.568009694032111</c:v>
                </c:pt>
                <c:pt idx="30">
                  <c:v>0.568009694032111</c:v>
                </c:pt>
              </c:numCache>
            </c:numRef>
          </c:val>
          <c:extLst>
            <c:ext xmlns:c15="http://schemas.microsoft.com/office/drawing/2012/chart" uri="{02D57815-91ED-43cb-92C2-25804820EDAC}">
              <c15:datalabelsRange>
                <c15:f>'2-图形输出'!$K$263:$K$296</c15:f>
                <c15:dlblRangeCache>
                  <c:ptCount val="34"/>
                  <c:pt idx="0">
                    <c:v>1565人  47.41%</c:v>
                  </c:pt>
                  <c:pt idx="1">
                    <c:v>679人  20.57%</c:v>
                  </c:pt>
                  <c:pt idx="2">
                    <c:v>148人  4.48%</c:v>
                  </c:pt>
                  <c:pt idx="3">
                    <c:v>147人  4.45%</c:v>
                  </c:pt>
                  <c:pt idx="4">
                    <c:v>89人  2.70%</c:v>
                  </c:pt>
                  <c:pt idx="5">
                    <c:v>82人  2.48%</c:v>
                  </c:pt>
                  <c:pt idx="6">
                    <c:v>69人  2.09%</c:v>
                  </c:pt>
                  <c:pt idx="7">
                    <c:v>60人  1.82%</c:v>
                  </c:pt>
                  <c:pt idx="8">
                    <c:v>48人  1.45%</c:v>
                  </c:pt>
                  <c:pt idx="9">
                    <c:v>42人  1.27%</c:v>
                  </c:pt>
                  <c:pt idx="10">
                    <c:v>40人  1.21%</c:v>
                  </c:pt>
                  <c:pt idx="11">
                    <c:v>36人  1.09%</c:v>
                  </c:pt>
                  <c:pt idx="12">
                    <c:v>33人  1.00%</c:v>
                  </c:pt>
                  <c:pt idx="13">
                    <c:v>29人  0.88%</c:v>
                  </c:pt>
                  <c:pt idx="14">
                    <c:v>28人  0.85%</c:v>
                  </c:pt>
                  <c:pt idx="15">
                    <c:v>24人  0.73%</c:v>
                  </c:pt>
                  <c:pt idx="16">
                    <c:v>23人  0.70%</c:v>
                  </c:pt>
                  <c:pt idx="17">
                    <c:v>22人  0.67%</c:v>
                  </c:pt>
                  <c:pt idx="18">
                    <c:v>20人  0.61%</c:v>
                  </c:pt>
                  <c:pt idx="19">
                    <c:v>17人  0.51%</c:v>
                  </c:pt>
                  <c:pt idx="20">
                    <c:v>16人  0.48%</c:v>
                  </c:pt>
                  <c:pt idx="21">
                    <c:v>15人  0.45%</c:v>
                  </c:pt>
                  <c:pt idx="22">
                    <c:v>14人  0.42%</c:v>
                  </c:pt>
                  <c:pt idx="23">
                    <c:v>13人  0.39%</c:v>
                  </c:pt>
                  <c:pt idx="24">
                    <c:v>11人  0.33%</c:v>
                  </c:pt>
                  <c:pt idx="25">
                    <c:v>9人  0.27%</c:v>
                  </c:pt>
                  <c:pt idx="26">
                    <c:v>8人  0.24%</c:v>
                  </c:pt>
                  <c:pt idx="27">
                    <c:v>4人  0.12%</c:v>
                  </c:pt>
                  <c:pt idx="28">
                    <c:v>4人  0.12%</c:v>
                  </c:pt>
                  <c:pt idx="29">
                    <c:v>3人  0.09%</c:v>
                  </c:pt>
                  <c:pt idx="30">
                    <c:v>3人  0.09%</c:v>
                  </c:pt>
                  <c:pt idx="31">
                    <c:v>0人  0.00%</c:v>
                  </c:pt>
                  <c:pt idx="32">
                    <c:v>0人  0.00%</c:v>
                  </c:pt>
                  <c:pt idx="33">
                    <c:v>0人  0.00%</c:v>
                  </c:pt>
                </c15:dlblRangeCache>
              </c15:datalabelsRange>
            </c:ext>
          </c:extLst>
        </c:ser>
        <c:dLbls>
          <c:showLegendKey val="0"/>
          <c:showVal val="0"/>
          <c:showCatName val="0"/>
          <c:showSerName val="0"/>
          <c:showPercent val="0"/>
          <c:showBubbleSize val="0"/>
        </c:dLbls>
        <c:gapWidth val="150"/>
        <c:overlap val="100"/>
        <c:axId val="1535405072"/>
        <c:axId val="1535407040"/>
      </c:barChart>
      <c:catAx>
        <c:axId val="153540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407040"/>
        <c:crosses val="autoZero"/>
        <c:auto val="1"/>
        <c:lblAlgn val="ctr"/>
        <c:lblOffset val="100"/>
        <c:noMultiLvlLbl val="0"/>
      </c:catAx>
      <c:valAx>
        <c:axId val="153540704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5405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'2-图形输出'!$J$412</c:f>
              <c:strCache>
                <c:ptCount val="1"/>
                <c:pt idx="0">
                  <c:v>辅助-占比</c:v>
                </c:pt>
              </c:strCache>
            </c:strRef>
          </c:tx>
          <c:spPr>
            <a:solidFill>
              <a:srgbClr val="0D3F67"/>
            </a:solidFill>
            <a:ln>
              <a:noFill/>
            </a:ln>
            <a:effectLst/>
          </c:spPr>
          <c:invertIfNegative val="0"/>
          <c:dLbls>
            <c:delete val="1"/>
          </c:dLbls>
          <c:cat>
            <c:strRef>
              <c:f>'2-图形输出'!$H$413:$H$426</c:f>
              <c:strCache>
                <c:ptCount val="14"/>
                <c:pt idx="0">
                  <c:v>长沙</c:v>
                </c:pt>
                <c:pt idx="1">
                  <c:v>岳阳</c:v>
                </c:pt>
                <c:pt idx="2">
                  <c:v>株洲</c:v>
                </c:pt>
                <c:pt idx="3">
                  <c:v>衡阳</c:v>
                </c:pt>
                <c:pt idx="4">
                  <c:v>永州</c:v>
                </c:pt>
                <c:pt idx="5">
                  <c:v>常德</c:v>
                </c:pt>
                <c:pt idx="6">
                  <c:v>益阳</c:v>
                </c:pt>
                <c:pt idx="7">
                  <c:v>郴州</c:v>
                </c:pt>
                <c:pt idx="8">
                  <c:v>邵阳</c:v>
                </c:pt>
                <c:pt idx="9">
                  <c:v>娄底</c:v>
                </c:pt>
                <c:pt idx="10">
                  <c:v>湘潭</c:v>
                </c:pt>
                <c:pt idx="11">
                  <c:v>怀化</c:v>
                </c:pt>
                <c:pt idx="12">
                  <c:v>湘西</c:v>
                </c:pt>
                <c:pt idx="13">
                  <c:v>张家界</c:v>
                </c:pt>
              </c:strCache>
            </c:strRef>
          </c:cat>
          <c:val>
            <c:numRef>
              <c:f>'2-图形输出'!$J$413:$J$426</c:f>
              <c:numCache>
                <c:formatCode>0.00%</c:formatCode>
                <c:ptCount val="14"/>
                <c:pt idx="0">
                  <c:v>0.208724628900333</c:v>
                </c:pt>
                <c:pt idx="1">
                  <c:v>0.156922144804605</c:v>
                </c:pt>
                <c:pt idx="2">
                  <c:v>0.0199939412299303</c:v>
                </c:pt>
                <c:pt idx="3">
                  <c:v>0.0139351711602545</c:v>
                </c:pt>
                <c:pt idx="4">
                  <c:v>0.0112087246289003</c:v>
                </c:pt>
                <c:pt idx="5">
                  <c:v>0.0106028476219327</c:v>
                </c:pt>
                <c:pt idx="6">
                  <c:v>0.0106028476219327</c:v>
                </c:pt>
                <c:pt idx="7">
                  <c:v>0.00939109360799758</c:v>
                </c:pt>
                <c:pt idx="8">
                  <c:v>0.00817933959406241</c:v>
                </c:pt>
                <c:pt idx="9">
                  <c:v>0.00787640109057861</c:v>
                </c:pt>
                <c:pt idx="10">
                  <c:v>0.00636170857315965</c:v>
                </c:pt>
                <c:pt idx="11">
                  <c:v>0.00545289306270827</c:v>
                </c:pt>
                <c:pt idx="12">
                  <c:v>0.00272644653135414</c:v>
                </c:pt>
                <c:pt idx="13">
                  <c:v>0.00212056952438655</c:v>
                </c:pt>
              </c:numCache>
            </c:numRef>
          </c:val>
        </c:ser>
        <c:ser>
          <c:idx val="1"/>
          <c:order val="1"/>
          <c:tx>
            <c:strRef>
              <c:f>'2-图形输出'!$K$412</c:f>
              <c:strCache>
                <c:ptCount val="1"/>
                <c:pt idx="0">
                  <c:v>辅助2</c:v>
                </c:pt>
              </c:strCache>
            </c:strRef>
          </c:tx>
          <c:spPr>
            <a:noFill/>
            <a:ln>
              <a:noFill/>
            </a:ln>
            <a:effectLst/>
          </c:spPr>
          <c:invertIfNegative val="0"/>
          <c:dLbls>
            <c:dLbl>
              <c:idx val="0"/>
              <c:layout/>
              <c:tx>
                <c:rich>
                  <a:bodyPr rot="0" spcFirstLastPara="1" vertOverflow="ellipsis" vert="horz" wrap="square" lIns="38100" tIns="19050" rIns="38100" bIns="19050" anchor="ctr" anchorCtr="1"/>
                  <a:lstStyle/>
                  <a:p>
                    <a:fld id="{02f25162-b5f4-485a-ba16-5f2c694487e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f8ff49c6-e7db-4b0d-8288-3da1b5ced7d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fc89dafb-b7b3-4958-a3c3-427e484a5fd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1f738536-45ce-4743-9a6f-7b8231978b8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2bea1981-4991-4257-8832-1d1e1a8b89d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9f54fff5-8ade-4e66-b377-a3b242afb08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8c6f08ff-a2dc-41c2-91ab-61d520206a9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3e1aa8a4-0ff1-4b27-ae71-1c57c2af65c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433b3e7c-8a19-4df3-8571-149a2f40230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0b69bd3d-0fb4-4e37-8a4f-9a7266a14ca8}"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9d277d65-5cd9-4bba-919c-8468b457388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907dfef1-1a14-44b7-b8ea-6c70dc13b9a0}"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0d8015b8-4c36-4e78-a46f-3f97c3b68697}"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vert="horz" wrap="square" lIns="38100" tIns="19050" rIns="38100" bIns="19050" anchor="ctr" anchorCtr="1"/>
                  <a:lstStyle/>
                  <a:p>
                    <a:fld id="{b7005f67-b73a-426f-9908-929337122011}"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'2-图形输出'!$H$413:$H$426</c:f>
              <c:strCache>
                <c:ptCount val="14"/>
                <c:pt idx="0">
                  <c:v>长沙</c:v>
                </c:pt>
                <c:pt idx="1">
                  <c:v>岳阳</c:v>
                </c:pt>
                <c:pt idx="2">
                  <c:v>株洲</c:v>
                </c:pt>
                <c:pt idx="3">
                  <c:v>衡阳</c:v>
                </c:pt>
                <c:pt idx="4">
                  <c:v>永州</c:v>
                </c:pt>
                <c:pt idx="5">
                  <c:v>常德</c:v>
                </c:pt>
                <c:pt idx="6">
                  <c:v>益阳</c:v>
                </c:pt>
                <c:pt idx="7">
                  <c:v>郴州</c:v>
                </c:pt>
                <c:pt idx="8">
                  <c:v>邵阳</c:v>
                </c:pt>
                <c:pt idx="9">
                  <c:v>娄底</c:v>
                </c:pt>
                <c:pt idx="10">
                  <c:v>湘潭</c:v>
                </c:pt>
                <c:pt idx="11">
                  <c:v>怀化</c:v>
                </c:pt>
                <c:pt idx="12">
                  <c:v>湘西</c:v>
                </c:pt>
                <c:pt idx="13">
                  <c:v>张家界</c:v>
                </c:pt>
              </c:strCache>
            </c:strRef>
          </c:cat>
          <c:val>
            <c:numRef>
              <c:f>'2-图形输出'!$K$413:$K$426</c:f>
              <c:numCache>
                <c:formatCode>0.00</c:formatCode>
                <c:ptCount val="14"/>
                <c:pt idx="0">
                  <c:v>0.0417449257800666</c:v>
                </c:pt>
                <c:pt idx="1">
                  <c:v>0.0935474098757952</c:v>
                </c:pt>
                <c:pt idx="2">
                  <c:v>0.23047561345047</c:v>
                </c:pt>
                <c:pt idx="3">
                  <c:v>0.236534383520145</c:v>
                </c:pt>
                <c:pt idx="4">
                  <c:v>0.2392608300515</c:v>
                </c:pt>
                <c:pt idx="5">
                  <c:v>0.239866707058467</c:v>
                </c:pt>
                <c:pt idx="6">
                  <c:v>0.239866707058467</c:v>
                </c:pt>
                <c:pt idx="7">
                  <c:v>0.241078461072402</c:v>
                </c:pt>
                <c:pt idx="8">
                  <c:v>0.242290215086337</c:v>
                </c:pt>
                <c:pt idx="9">
                  <c:v>0.242593153589821</c:v>
                </c:pt>
                <c:pt idx="10">
                  <c:v>0.24410784610724</c:v>
                </c:pt>
                <c:pt idx="11">
                  <c:v>0.245016661617692</c:v>
                </c:pt>
                <c:pt idx="12">
                  <c:v>0.247743108149046</c:v>
                </c:pt>
                <c:pt idx="13">
                  <c:v>0.248348985156013</c:v>
                </c:pt>
              </c:numCache>
            </c:numRef>
          </c:val>
          <c:extLst>
            <c:ext xmlns:c15="http://schemas.microsoft.com/office/drawing/2012/chart" uri="{02D57815-91ED-43cb-92C2-25804820EDAC}">
              <c15:datalabelsRange>
                <c15:f>'2-图形输出'!$L$413:$L$426</c15:f>
                <c15:dlblRangeCache>
                  <c:ptCount val="14"/>
                  <c:pt idx="0">
                    <c:v>689人  20.87%</c:v>
                  </c:pt>
                  <c:pt idx="1">
                    <c:v>518人  15.69%</c:v>
                  </c:pt>
                  <c:pt idx="2">
                    <c:v>66人  2.00%</c:v>
                  </c:pt>
                  <c:pt idx="3">
                    <c:v>46人  1.39%</c:v>
                  </c:pt>
                  <c:pt idx="4">
                    <c:v>37人  1.12%</c:v>
                  </c:pt>
                  <c:pt idx="5">
                    <c:v>35人  1.06%</c:v>
                  </c:pt>
                  <c:pt idx="6">
                    <c:v>35人  1.06%</c:v>
                  </c:pt>
                  <c:pt idx="7">
                    <c:v>31人  0.94%</c:v>
                  </c:pt>
                  <c:pt idx="8">
                    <c:v>27人  0.82%</c:v>
                  </c:pt>
                  <c:pt idx="9">
                    <c:v>26人  0.79%</c:v>
                  </c:pt>
                  <c:pt idx="10">
                    <c:v>21人  0.64%</c:v>
                  </c:pt>
                  <c:pt idx="11">
                    <c:v>18人  0.55%</c:v>
                  </c:pt>
                  <c:pt idx="12">
                    <c:v>9人  0.27%</c:v>
                  </c:pt>
                  <c:pt idx="13">
                    <c:v>7人  0.21%</c:v>
                  </c:pt>
                </c15:dlblRangeCache>
              </c15:datalabelsRange>
            </c:ext>
          </c:extLst>
        </c:ser>
        <c:dLbls>
          <c:showLegendKey val="0"/>
          <c:showVal val="0"/>
          <c:showCatName val="0"/>
          <c:showSerName val="0"/>
          <c:showPercent val="0"/>
          <c:showBubbleSize val="0"/>
        </c:dLbls>
        <c:gapWidth val="150"/>
        <c:overlap val="100"/>
        <c:axId val="1526323752"/>
        <c:axId val="1526325720"/>
      </c:barChart>
      <c:catAx>
        <c:axId val="1526323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6325720"/>
        <c:crosses val="autoZero"/>
        <c:auto val="1"/>
        <c:lblAlgn val="ctr"/>
        <c:lblOffset val="100"/>
        <c:noMultiLvlLbl val="0"/>
      </c:catAx>
      <c:valAx>
        <c:axId val="152632572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63237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自定义 7">
    <a:dk1>
      <a:sysClr val="windowText" lastClr="000000"/>
    </a:dk1>
    <a:lt1>
      <a:sysClr val="window" lastClr="FFFFFF"/>
    </a:lt1>
    <a:dk2>
      <a:srgbClr val="44546A"/>
    </a:dk2>
    <a:lt2>
      <a:srgbClr val="E7E6E6"/>
    </a:lt2>
    <a:accent1>
      <a:srgbClr val="1A5D9A"/>
    </a:accent1>
    <a:accent2>
      <a:srgbClr val="3E7EB8"/>
    </a:accent2>
    <a:accent3>
      <a:srgbClr val="93BDE2"/>
    </a:accent3>
    <a:accent4>
      <a:srgbClr val="FBE5D6"/>
    </a:accent4>
    <a:accent5>
      <a:srgbClr val="DDEBF7"/>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113F67"/>
    </a:accent1>
    <a:accent2>
      <a:srgbClr val="34699A"/>
    </a:accent2>
    <a:accent3>
      <a:srgbClr val="93BDE2"/>
    </a:accent3>
    <a:accent4>
      <a:srgbClr val="FBE5D6"/>
    </a:accent4>
    <a:accent5>
      <a:srgbClr val="ECF4F3"/>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E2831-EBE6-4BEF-825C-DD00969CEB55}">
  <ds:schemaRefs/>
</ds:datastoreItem>
</file>

<file path=docProps/app.xml><?xml version="1.0" encoding="utf-8"?>
<Properties xmlns="http://schemas.openxmlformats.org/officeDocument/2006/extended-properties" xmlns:vt="http://schemas.openxmlformats.org/officeDocument/2006/docPropsVTypes">
  <Template>Normal</Template>
  <Pages>73</Pages>
  <Words>6787</Words>
  <Characters>38690</Characters>
  <Lines>322</Lines>
  <Paragraphs>90</Paragraphs>
  <TotalTime>1039</TotalTime>
  <ScaleCrop>false</ScaleCrop>
  <LinksUpToDate>false</LinksUpToDate>
  <CharactersWithSpaces>45387</CharactersWithSpaces>
  <Application>WPS Office_11.1.0.11807_F1E327BC-269C-435d-A152-05C5408002CA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2021-01-26T03:52:00Z</dcterms:created>
  <dc:creator>Tian Tan</dc:creator>
  <cp:lastModifiedBy>会发光的橙子</cp:lastModifiedBy>
  <cp:lastPrinted>2021-03-24T07:03:00Z</cp:lastPrinted>
  <dcterms:modified xsi:type="dcterms:W3CDTF">2022-06-30T06:56:18Z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2052-11.1.0.11807</vt:lpwstr>
  </property>
  <property fmtid="{D5CDD505-2E9C-101B-9397-08002B2CF9AE}" pid="3" name="ICV">
    <vt:lpwstr>213B8C23B9524BDBA46E37EDE4A8E140</vt:lpwstr>
  </property>
</Properties>
</file>