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2"/>
        <w:bidi w:val="0"/>
        <w:rPr>
          <w:rFonts w:hint="eastAsia"/>
        </w:rPr>
      </w:pPr>
      <w:bookmarkStart w:id="46" w:name="_GoBack"/>
      <w:bookmarkEnd w:id="46"/>
    </w:p>
    <w:p>
      <w:pPr>
        <w:spacing w:line="800" w:lineRule="exact"/>
        <w:rPr>
          <w:rFonts w:hint="eastAsia" w:ascii="华文行楷" w:hAnsi="华文行楷" w:eastAsia="华文行楷" w:cs="华文行楷"/>
          <w:b/>
          <w:w w:val="80"/>
          <w:sz w:val="84"/>
          <w:szCs w:val="84"/>
        </w:rPr>
      </w:pPr>
    </w:p>
    <w:p>
      <w:pPr>
        <w:spacing w:line="800" w:lineRule="exact"/>
        <w:jc w:val="center"/>
        <w:rPr>
          <w:rFonts w:hint="eastAsia" w:ascii="华文行楷" w:hAnsi="华文行楷" w:eastAsia="华文行楷" w:cs="华文行楷"/>
          <w:b/>
          <w:color w:val="943734"/>
          <w:w w:val="80"/>
          <w:sz w:val="84"/>
          <w:szCs w:val="84"/>
        </w:rPr>
      </w:pPr>
      <w:r>
        <w:rPr>
          <w:rFonts w:hint="eastAsia" w:ascii="华文行楷" w:hAnsi="华文行楷" w:eastAsia="华文行楷" w:cs="华文行楷"/>
          <w:b/>
          <w:color w:val="943734"/>
          <w:w w:val="80"/>
          <w:sz w:val="84"/>
          <w:szCs w:val="84"/>
        </w:rPr>
        <w:t>湖南中医药大学湘杏学院</w:t>
      </w:r>
    </w:p>
    <w:p>
      <w:pPr>
        <w:spacing w:line="500" w:lineRule="exact"/>
        <w:jc w:val="center"/>
        <w:rPr>
          <w:rFonts w:hint="eastAsia" w:ascii="新宋体" w:hAnsi="新宋体" w:eastAsia="新宋体" w:cs="新宋体"/>
          <w:b/>
          <w:color w:val="943734"/>
          <w:sz w:val="24"/>
          <w:szCs w:val="24"/>
        </w:rPr>
      </w:pPr>
      <w:r>
        <w:rPr>
          <w:rFonts w:hint="eastAsia" w:ascii="新宋体" w:hAnsi="新宋体" w:eastAsia="新宋体" w:cs="新宋体"/>
          <w:b/>
          <w:i/>
          <w:iCs/>
          <w:color w:val="943734"/>
          <w:sz w:val="24"/>
          <w:szCs w:val="24"/>
        </w:rPr>
        <w:t>XIANGXING COLLEGE OF HUNAN UNIVERSITY OF CHINESE MEDICINE</w:t>
      </w:r>
    </w:p>
    <w:p>
      <w:pPr>
        <w:rPr>
          <w:rFonts w:hint="eastAsia" w:ascii="华文中宋" w:hAnsi="华文中宋" w:eastAsia="华文中宋" w:cs="华文中宋"/>
          <w:b/>
          <w:sz w:val="48"/>
          <w:szCs w:val="48"/>
        </w:rPr>
      </w:pPr>
    </w:p>
    <w:p>
      <w:pPr>
        <w:jc w:val="center"/>
        <w:rPr>
          <w:rFonts w:hint="eastAsia" w:ascii="华文中宋" w:hAnsi="华文中宋" w:eastAsia="华文中宋" w:cs="华文中宋"/>
          <w:b/>
          <w:color w:val="003366"/>
          <w:sz w:val="52"/>
          <w:szCs w:val="52"/>
        </w:rPr>
      </w:pPr>
      <w:r>
        <w:rPr>
          <w:rFonts w:hint="eastAsia" w:ascii="华文中宋" w:hAnsi="华文中宋" w:eastAsia="华文中宋" w:cs="华文中宋"/>
          <w:b/>
          <w:color w:val="003366"/>
          <w:sz w:val="52"/>
          <w:szCs w:val="52"/>
        </w:rPr>
        <w:t>2021届毕业生就业质量报告</w:t>
      </w:r>
    </w:p>
    <w:p>
      <w:pPr>
        <w:spacing w:before="1248" w:beforeLines="400" w:line="360" w:lineRule="auto"/>
        <w:outlineLvl w:val="0"/>
        <w:rPr>
          <w:rFonts w:hint="eastAsia" w:ascii="黑体" w:eastAsia="黑体"/>
          <w:b/>
          <w:sz w:val="32"/>
          <w:szCs w:val="32"/>
        </w:rPr>
      </w:pPr>
      <w:r>
        <w:rPr>
          <w:rFonts w:hint="eastAsia"/>
        </w:rPr>
        <w:drawing>
          <wp:anchor distT="0" distB="0" distL="114300" distR="114300" simplePos="0" relativeHeight="251659264" behindDoc="0" locked="0" layoutInCell="1" allowOverlap="1">
            <wp:simplePos x="0" y="0"/>
            <wp:positionH relativeFrom="column">
              <wp:posOffset>1760855</wp:posOffset>
            </wp:positionH>
            <wp:positionV relativeFrom="paragraph">
              <wp:posOffset>885190</wp:posOffset>
            </wp:positionV>
            <wp:extent cx="2187575" cy="2187575"/>
            <wp:effectExtent l="0" t="0" r="3175" b="3175"/>
            <wp:wrapNone/>
            <wp:docPr id="1" name="图片 3" descr="复件 湖南中医药大学湘杏学院院徽最终版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descr="复件 湖南中医药大学湘杏学院院徽最终版副本"/>
                    <pic:cNvPicPr>
                      <a:picLocks noChangeAspect="1"/>
                    </pic:cNvPicPr>
                  </pic:nvPicPr>
                  <pic:blipFill>
                    <a:blip r:embed="rId9"/>
                    <a:stretch>
                      <a:fillRect/>
                    </a:stretch>
                  </pic:blipFill>
                  <pic:spPr>
                    <a:xfrm>
                      <a:off x="0" y="0"/>
                      <a:ext cx="2187575" cy="2187575"/>
                    </a:xfrm>
                    <a:prstGeom prst="rect">
                      <a:avLst/>
                    </a:prstGeom>
                    <a:noFill/>
                    <a:ln>
                      <a:noFill/>
                    </a:ln>
                  </pic:spPr>
                </pic:pic>
              </a:graphicData>
            </a:graphic>
          </wp:anchor>
        </w:drawing>
      </w:r>
    </w:p>
    <w:p>
      <w:pPr>
        <w:spacing w:before="1248" w:beforeLines="400" w:line="360" w:lineRule="auto"/>
        <w:outlineLvl w:val="0"/>
        <w:rPr>
          <w:rFonts w:hint="eastAsia" w:ascii="黑体" w:eastAsia="黑体"/>
          <w:b/>
          <w:sz w:val="32"/>
          <w:szCs w:val="32"/>
        </w:rPr>
      </w:pPr>
    </w:p>
    <w:p>
      <w:pPr>
        <w:spacing w:before="1248" w:beforeLines="400" w:line="360" w:lineRule="auto"/>
        <w:outlineLvl w:val="0"/>
        <w:rPr>
          <w:rFonts w:hint="eastAsia" w:ascii="宋体" w:hAnsi="宋体" w:cs="宋体"/>
          <w:b/>
          <w:bCs/>
          <w:sz w:val="36"/>
          <w:szCs w:val="36"/>
        </w:rPr>
      </w:pPr>
    </w:p>
    <w:p>
      <w:pPr>
        <w:rPr>
          <w:rFonts w:hint="eastAsia" w:ascii="华文中宋" w:hAnsi="华文中宋" w:eastAsia="华文中宋" w:cs="华文中宋"/>
          <w:b/>
          <w:color w:val="003366"/>
          <w:sz w:val="52"/>
          <w:szCs w:val="52"/>
        </w:rPr>
      </w:pPr>
      <w:bookmarkStart w:id="0" w:name="_Toc20700"/>
    </w:p>
    <w:p>
      <w:pPr>
        <w:jc w:val="center"/>
        <w:rPr>
          <w:rFonts w:hint="eastAsia" w:ascii="华文中宋" w:hAnsi="华文中宋" w:eastAsia="华文中宋" w:cs="华文中宋"/>
          <w:b/>
          <w:color w:val="003366"/>
          <w:sz w:val="52"/>
          <w:szCs w:val="52"/>
        </w:rPr>
      </w:pPr>
      <w:r>
        <w:rPr>
          <w:rFonts w:hint="eastAsia" w:ascii="华文中宋" w:hAnsi="华文中宋" w:eastAsia="华文中宋" w:cs="华文中宋"/>
          <w:b/>
          <w:color w:val="003366"/>
          <w:sz w:val="52"/>
          <w:szCs w:val="52"/>
        </w:rPr>
        <w:t>2021年12月</w:t>
      </w:r>
      <w:bookmarkEnd w:id="0"/>
    </w:p>
    <w:p>
      <w:pPr>
        <w:ind w:firstLine="420"/>
        <w:rPr>
          <w:rFonts w:hint="eastAsia" w:ascii="宋体" w:hAnsi="宋体" w:cs="宋体"/>
          <w:b/>
          <w:bCs/>
          <w:sz w:val="44"/>
          <w:szCs w:val="24"/>
        </w:rPr>
      </w:pPr>
    </w:p>
    <w:p>
      <w:pPr>
        <w:ind w:firstLine="420"/>
        <w:rPr>
          <w:rFonts w:hint="eastAsia" w:ascii="宋体" w:hAnsi="宋体" w:cs="宋体"/>
          <w:b/>
          <w:bCs/>
          <w:sz w:val="44"/>
          <w:szCs w:val="24"/>
        </w:rPr>
      </w:pPr>
    </w:p>
    <w:p>
      <w:pPr>
        <w:ind w:firstLine="420"/>
        <w:rPr>
          <w:rFonts w:hint="eastAsia" w:ascii="宋体" w:hAnsi="宋体" w:cs="宋体"/>
          <w:b/>
          <w:bCs/>
          <w:sz w:val="44"/>
          <w:szCs w:val="24"/>
        </w:rPr>
        <w:sectPr>
          <w:headerReference r:id="rId4" w:type="default"/>
          <w:pgSz w:w="11906" w:h="16838"/>
          <w:pgMar w:top="1134" w:right="1417" w:bottom="1134" w:left="1417" w:header="851" w:footer="992" w:gutter="0"/>
          <w:pgNumType w:start="0"/>
          <w:cols w:space="720" w:num="1"/>
          <w:titlePg/>
          <w:docGrid w:type="lines" w:linePitch="312" w:charSpace="0"/>
        </w:sectPr>
      </w:pPr>
    </w:p>
    <w:p>
      <w:pPr>
        <w:ind w:firstLine="420"/>
        <w:rPr>
          <w:rFonts w:hint="eastAsia" w:ascii="宋体" w:hAnsi="宋体" w:cs="宋体"/>
          <w:b/>
          <w:bCs/>
          <w:sz w:val="44"/>
          <w:szCs w:val="24"/>
        </w:rPr>
      </w:pPr>
    </w:p>
    <w:p>
      <w:pPr>
        <w:ind w:firstLine="420"/>
        <w:jc w:val="center"/>
        <w:rPr>
          <w:rFonts w:hint="eastAsia" w:ascii="宋体" w:hAnsi="宋体" w:cs="宋体"/>
          <w:b/>
          <w:bCs/>
          <w:sz w:val="44"/>
          <w:szCs w:val="24"/>
        </w:rPr>
      </w:pPr>
      <w:r>
        <w:rPr>
          <w:rFonts w:hint="eastAsia" w:ascii="宋体" w:hAnsi="宋体" w:cs="宋体"/>
          <w:b/>
          <w:bCs/>
          <w:sz w:val="44"/>
          <w:szCs w:val="24"/>
        </w:rPr>
        <w:t>湖南中医药大学湘杏学院简介</w:t>
      </w:r>
    </w:p>
    <w:p>
      <w:pPr>
        <w:ind w:firstLine="420"/>
        <w:rPr>
          <w:rFonts w:hint="eastAsia" w:ascii="宋体" w:hAnsi="宋体" w:cs="宋体"/>
          <w:b/>
          <w:bCs/>
          <w:sz w:val="44"/>
          <w:szCs w:val="24"/>
        </w:rPr>
      </w:pPr>
    </w:p>
    <w:p>
      <w:pPr>
        <w:ind w:firstLine="640" w:firstLineChars="200"/>
        <w:rPr>
          <w:rFonts w:hint="eastAsia" w:ascii="仿宋" w:hAnsi="仿宋" w:eastAsia="仿宋" w:cs="仿宋"/>
          <w:sz w:val="32"/>
          <w:szCs w:val="32"/>
        </w:rPr>
      </w:pPr>
      <w:r>
        <w:rPr>
          <w:rFonts w:hint="eastAsia" w:ascii="仿宋" w:hAnsi="仿宋" w:eastAsia="仿宋" w:cs="仿宋"/>
          <w:sz w:val="32"/>
          <w:szCs w:val="32"/>
        </w:rPr>
        <w:t>湖南中医药大学湘杏学院是湖南省人民政府于2002年6月批准，国家教育部2003年确认，由湖南中医药大学按新机制、新模式举办的全日制本科独立学院，系湖南中医药大学下属二级法人机构。举办高校湖南中医药大学是一所具有80余年办学历史，占地面积1400余亩，拥有25000余名在校生，是湖南省重点建设本科院校，是全国首批设立国家级重点学科的高校，也是首批招收博士研究生、留学生及港澳台学生的中医药院校。学校下设18个学院、16个研究中心（所）、20所附属医院、5个校办合资企业。学校设有26个本科专业，现有博士后科研流动站2个；博士学位授权点27个，硕士学位授权点85个。建有国家重点学科1个，国家中医药管理局重点学科23个，湖南省重点学科10个，其中湖南省优势特色重点学科2个，构建了以中医药学科为主体的三级重点学科体系。</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湘杏学院位于湖南省长沙市雨花区韶山中路113号，交通便捷，环境优美，风景秀丽，共享湖南中医药大学雄厚的师资力量和办学资源，是求学成才的理想之地。学院面向湖南</w:t>
      </w:r>
      <w:r>
        <w:rPr>
          <w:rFonts w:hint="eastAsia" w:ascii="仿宋" w:hAnsi="仿宋" w:eastAsia="仿宋" w:cs="仿宋"/>
          <w:sz w:val="32"/>
          <w:szCs w:val="32"/>
          <w:lang w:eastAsia="zh-CN"/>
        </w:rPr>
        <w:t>、浙江、新疆、福建、安徽、广西、广东、湖北、重庆、江西、河南、山东、四川</w:t>
      </w:r>
      <w:r>
        <w:rPr>
          <w:rFonts w:hint="eastAsia" w:ascii="仿宋" w:hAnsi="仿宋" w:eastAsia="仿宋" w:cs="仿宋"/>
          <w:sz w:val="32"/>
          <w:szCs w:val="32"/>
        </w:rPr>
        <w:t>1</w:t>
      </w:r>
      <w:r>
        <w:rPr>
          <w:rFonts w:hint="default" w:ascii="仿宋" w:hAnsi="仿宋" w:eastAsia="仿宋" w:cs="仿宋"/>
          <w:sz w:val="32"/>
          <w:szCs w:val="32"/>
          <w:lang w:val="en-US"/>
        </w:rPr>
        <w:t>3</w:t>
      </w:r>
      <w:r>
        <w:rPr>
          <w:rFonts w:hint="eastAsia" w:ascii="仿宋" w:hAnsi="仿宋" w:eastAsia="仿宋" w:cs="仿宋"/>
          <w:sz w:val="32"/>
          <w:szCs w:val="32"/>
        </w:rPr>
        <w:t>个生源省（自治区、直辖市）招生，招生计划纳入全日制普通本科高校招生计划。学院现有在校学生</w:t>
      </w:r>
      <w:r>
        <w:rPr>
          <w:rFonts w:hint="default" w:ascii="仿宋" w:hAnsi="仿宋" w:eastAsia="仿宋" w:cs="仿宋"/>
          <w:sz w:val="32"/>
          <w:szCs w:val="32"/>
          <w:lang w:val="en-US"/>
        </w:rPr>
        <w:t>4</w:t>
      </w:r>
      <w:r>
        <w:rPr>
          <w:rFonts w:hint="eastAsia" w:ascii="仿宋" w:hAnsi="仿宋" w:eastAsia="仿宋" w:cs="仿宋"/>
          <w:sz w:val="32"/>
          <w:szCs w:val="32"/>
        </w:rPr>
        <w:t>800余人，1</w:t>
      </w:r>
      <w:r>
        <w:rPr>
          <w:rFonts w:hint="default" w:ascii="仿宋" w:hAnsi="仿宋" w:eastAsia="仿宋" w:cs="仿宋"/>
          <w:sz w:val="32"/>
          <w:szCs w:val="32"/>
          <w:lang w:val="en-US"/>
        </w:rPr>
        <w:t>1</w:t>
      </w:r>
      <w:r>
        <w:rPr>
          <w:rFonts w:hint="eastAsia" w:ascii="仿宋" w:hAnsi="仿宋" w:eastAsia="仿宋" w:cs="仿宋"/>
          <w:sz w:val="32"/>
          <w:szCs w:val="32"/>
        </w:rPr>
        <w:t>个招生专业，包括中医学、中西医临床医学、针灸推拿学、护理学、医学影像技术、康复治疗学、药学、中药学、制药工程、</w:t>
      </w:r>
      <w:r>
        <w:rPr>
          <w:rFonts w:hint="eastAsia" w:ascii="仿宋" w:hAnsi="仿宋" w:eastAsia="仿宋" w:cs="仿宋"/>
          <w:sz w:val="32"/>
          <w:szCs w:val="32"/>
          <w:lang w:eastAsia="zh-CN"/>
        </w:rPr>
        <w:t>应用心理学、</w:t>
      </w:r>
      <w:r>
        <w:rPr>
          <w:rFonts w:hint="eastAsia" w:ascii="仿宋" w:hAnsi="仿宋" w:eastAsia="仿宋" w:cs="仿宋"/>
          <w:sz w:val="32"/>
          <w:szCs w:val="32"/>
        </w:rPr>
        <w:t>市场营销，涵盖医、理、管、工等4大学科门类。</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湘杏学院管理规范，治学严谨，教育教学质量稳步提高，中医药文化特色鲜明，是省内先进的培养中医药人才的本科独立学院。学院以“人本、仁爱、精诚”为理念，以“文明求实、继承创新”为校训，以“医以载道，兼济天下”为办学宗旨，以“质量办学、特色办学、开放办学”为办学思路，以“中医中药为主，多学科协调发展”为学科特色，以“术精仁厚，一专多能”为人才培养目标，致力于培养专业基础扎实、综合素质良好、临床实践能力强的应用型高级人才，为中医药事业的传承与创新及区域经济社会的发展做贡献。</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湘杏学院设有国家奖学金、国家励志奖学金、国家助学金、学院奖学金及各种社会类奖、助学金。新生入学后，经审核办理国家教育部学籍电子注册，在学院规定时间内，修完教育教学计划规定内容，成绩合格者，颁发湖南中医药大学湘杏学院本科学历证书；符合学士学位授予条件的，颁发湖南中医药大学湘杏学院学士学位证书。</w:t>
      </w:r>
    </w:p>
    <w:p>
      <w:pPr>
        <w:spacing w:before="1248" w:beforeLines="400" w:line="360" w:lineRule="auto"/>
        <w:outlineLvl w:val="0"/>
        <w:rPr>
          <w:rFonts w:hint="eastAsia" w:ascii="宋体" w:hAnsi="宋体" w:cs="宋体"/>
          <w:b/>
          <w:bCs/>
          <w:sz w:val="44"/>
          <w:szCs w:val="44"/>
        </w:rPr>
      </w:pPr>
    </w:p>
    <w:p>
      <w:pPr>
        <w:spacing w:before="1248" w:beforeLines="400" w:line="360" w:lineRule="auto"/>
        <w:outlineLvl w:val="0"/>
        <w:rPr>
          <w:rFonts w:hint="eastAsia" w:ascii="宋体" w:hAnsi="宋体" w:cs="宋体"/>
          <w:b/>
          <w:bCs/>
          <w:sz w:val="44"/>
          <w:szCs w:val="44"/>
        </w:rPr>
      </w:pPr>
    </w:p>
    <w:p>
      <w:pPr>
        <w:jc w:val="center"/>
        <w:rPr>
          <w:rFonts w:hint="eastAsia" w:ascii="宋体" w:hAnsi="宋体" w:cs="宋体"/>
          <w:b/>
          <w:bCs/>
          <w:sz w:val="44"/>
          <w:szCs w:val="24"/>
        </w:rPr>
      </w:pPr>
      <w:r>
        <w:rPr>
          <w:rFonts w:hint="eastAsia" w:ascii="宋体" w:hAnsi="宋体" w:cs="宋体"/>
          <w:b/>
          <w:bCs/>
          <w:sz w:val="44"/>
          <w:szCs w:val="24"/>
        </w:rPr>
        <w:t>前    言</w:t>
      </w:r>
    </w:p>
    <w:p>
      <w:pPr>
        <w:jc w:val="center"/>
        <w:rPr>
          <w:rFonts w:hint="eastAsia" w:ascii="宋体" w:hAnsi="宋体" w:cs="宋体"/>
          <w:b/>
          <w:bCs/>
          <w:sz w:val="44"/>
          <w:szCs w:val="24"/>
          <w:lang w:eastAsia="zh-CN"/>
        </w:rPr>
      </w:pPr>
    </w:p>
    <w:p>
      <w:pPr>
        <w:ind w:firstLine="640" w:firstLineChars="200"/>
        <w:rPr>
          <w:rFonts w:hint="eastAsia" w:ascii="仿宋" w:hAnsi="仿宋" w:eastAsia="仿宋" w:cs="仿宋"/>
          <w:sz w:val="32"/>
          <w:szCs w:val="32"/>
        </w:rPr>
      </w:pPr>
      <w:r>
        <w:rPr>
          <w:rFonts w:hint="eastAsia" w:ascii="仿宋" w:hAnsi="仿宋" w:eastAsia="仿宋" w:cs="仿宋"/>
          <w:sz w:val="32"/>
          <w:szCs w:val="32"/>
        </w:rPr>
        <w:t>随着中国高等教育数量的扩张目标的逐步实现，提高教育质量的重要性日益凸显。发布高校毕业生就业质量年度报告，是高等学校建立健全就业状况反馈机制、引导高校优化招生和专业结构、改进人才培养模式、及时回应社会关切的一项重要工作。</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教育部《教育部办公厅关于编制发布高校毕业生就业质量年度报告的通知教学厅函[2013]25号》要求，我院编制和发布《湖南中医药大学湘杏学院2021届毕业生就业质量年度报告》。本报告基于学校统计的全体毕业生的就业数据，再结合毕业时的调研结果，以全面反映毕业生的就业状况，以及毕业生对就业指导工作、学校教育教学的反馈。总的情况如下：</w:t>
      </w:r>
    </w:p>
    <w:p>
      <w:pPr>
        <w:rPr>
          <w:rFonts w:hint="eastAsia" w:ascii="仿宋" w:hAnsi="仿宋" w:eastAsia="仿宋" w:cs="仿宋"/>
          <w:color w:val="FF0000"/>
          <w:sz w:val="32"/>
          <w:szCs w:val="32"/>
          <w:lang w:eastAsia="zh-CN"/>
        </w:rPr>
        <w:sectPr>
          <w:footerReference r:id="rId5" w:type="default"/>
          <w:pgSz w:w="11906" w:h="16838"/>
          <w:pgMar w:top="1134" w:right="1417" w:bottom="1134" w:left="1417" w:header="851" w:footer="992" w:gutter="0"/>
          <w:pgNumType w:start="1"/>
          <w:cols w:space="720" w:num="1"/>
          <w:docGrid w:type="lines" w:linePitch="312" w:charSpace="0"/>
        </w:sectPr>
      </w:pPr>
      <w:r>
        <w:rPr>
          <w:rFonts w:hint="eastAsia" w:ascii="仿宋" w:hAnsi="仿宋" w:eastAsia="仿宋" w:cs="仿宋"/>
          <w:sz w:val="32"/>
          <w:szCs w:val="32"/>
        </w:rPr>
        <w:t>按照教育部公布的就业率计算公式，截止2021年8月31日，经就业审查，我院2021届毕业生的总体就业率为84.04%。2021届毕业生就业地集中在湖南省，就业单位主要集中在医疗卫生单位，占比为19.37%；毕业生就业的行业主要为卫生和社会工作，所占比例为28.99%，这与医学类院校的人才培养方向相符，与我院的专业设置相匹配的。其次为批发和零售业、教育。2021届毕业生中，69.83%的毕业生对已落实的工作感到满意，毕业生的就业满意度整体较高，但仍有30.17%的毕业生对已落实的工作感到不满意，说明这部分毕业生对其已落实的工作与自身就业期望值有一定差距。毕业生对学校的就业指导工作的满意度为90.85%。其中，对“就业信息提供与发布情况”满意度最高，达到了97.78%，对“校园招聘活动”、“就业手续办理”、“职业咨询、辅导”满意度均超过了90%以上。毕业生对学校人才培养的整体状况满意度为90.58%，总体来说，毕业生对母校人才培养偏向比较满意</w:t>
      </w:r>
      <w:r>
        <w:rPr>
          <w:rFonts w:hint="eastAsia" w:ascii="仿宋" w:hAnsi="仿宋" w:eastAsia="仿宋" w:cs="仿宋"/>
          <w:sz w:val="32"/>
          <w:szCs w:val="32"/>
          <w:lang w:eastAsia="zh-CN"/>
        </w:rPr>
        <w:t>。</w:t>
      </w:r>
    </w:p>
    <w:p>
      <w:pPr>
        <w:keepNext w:val="0"/>
        <w:keepLines w:val="0"/>
        <w:widowControl w:val="0"/>
        <w:suppressLineNumbers w:val="0"/>
        <w:spacing w:before="0" w:beforeAutospacing="0" w:after="0" w:afterAutospacing="0" w:line="0" w:lineRule="atLeast"/>
        <w:ind w:left="0" w:right="0"/>
        <w:jc w:val="center"/>
        <w:outlineLvl w:val="0"/>
        <w:rPr>
          <w:rFonts w:hint="eastAsia" w:ascii="宋体" w:hAnsi="宋体" w:eastAsia="宋体" w:cs="宋体"/>
          <w:b/>
          <w:kern w:val="2"/>
          <w:sz w:val="44"/>
          <w:szCs w:val="44"/>
          <w:lang w:val="en-US" w:eastAsia="zh-CN" w:bidi="ar"/>
        </w:rPr>
      </w:pPr>
      <w:bookmarkStart w:id="1" w:name="_Toc27918"/>
      <w:bookmarkStart w:id="2" w:name="_Toc3670"/>
      <w:bookmarkStart w:id="3" w:name="_Toc10925"/>
      <w:r>
        <w:rPr>
          <w:rFonts w:hint="eastAsia" w:ascii="宋体" w:hAnsi="宋体" w:eastAsia="宋体" w:cs="宋体"/>
          <w:b/>
          <w:kern w:val="2"/>
          <w:sz w:val="44"/>
          <w:szCs w:val="44"/>
          <w:lang w:val="en-US" w:eastAsia="zh-CN" w:bidi="ar"/>
        </w:rPr>
        <w:t>第一部分：毕业生就业基本情况</w:t>
      </w:r>
      <w:bookmarkEnd w:id="1"/>
    </w:p>
    <w:p>
      <w:pPr>
        <w:rPr>
          <w:rFonts w:hint="eastAsia" w:ascii="仿宋" w:hAnsi="仿宋" w:eastAsia="仿宋" w:cs="仿宋"/>
          <w:b/>
          <w:bCs/>
          <w:sz w:val="32"/>
          <w:szCs w:val="32"/>
        </w:rPr>
      </w:pPr>
      <w:bookmarkStart w:id="4" w:name="_Toc23671"/>
      <w:bookmarkStart w:id="5" w:name="_Toc18572"/>
      <w:r>
        <w:rPr>
          <w:rFonts w:hint="eastAsia" w:ascii="仿宋" w:hAnsi="仿宋" w:eastAsia="仿宋" w:cs="仿宋"/>
          <w:b/>
          <w:bCs/>
          <w:sz w:val="32"/>
          <w:szCs w:val="32"/>
        </w:rPr>
        <w:t>一、毕业生规模</w:t>
      </w:r>
      <w:bookmarkEnd w:id="4"/>
      <w:bookmarkEnd w:id="5"/>
    </w:p>
    <w:p>
      <w:pPr>
        <w:keepNext w:val="0"/>
        <w:keepLines w:val="0"/>
        <w:pageBreakBefore w:val="0"/>
        <w:widowControl w:val="0"/>
        <w:kinsoku/>
        <w:wordWrap/>
        <w:overflowPunct/>
        <w:topLinePunct w:val="0"/>
        <w:autoSpaceDE/>
        <w:autoSpaceDN/>
        <w:bidi w:val="0"/>
        <w:adjustRightInd/>
        <w:snapToGrid/>
        <w:spacing w:line="0" w:lineRule="atLeast"/>
        <w:ind w:firstLine="640" w:firstLineChars="200"/>
        <w:textAlignment w:val="auto"/>
        <w:rPr>
          <w:rFonts w:hint="eastAsia" w:ascii="宋体" w:hAnsi="宋体" w:cs="宋体"/>
          <w:b/>
          <w:bCs/>
          <w:szCs w:val="21"/>
        </w:rPr>
      </w:pPr>
      <w:r>
        <w:rPr>
          <w:rFonts w:hint="eastAsia" w:ascii="仿宋" w:hAnsi="仿宋" w:eastAsia="仿宋" w:cs="仿宋"/>
          <w:sz w:val="32"/>
          <w:szCs w:val="32"/>
        </w:rPr>
        <w:pict>
          <v:shape id="Object 4" o:spid="_x0000_s1028" o:spt="75" type="#_x0000_t75" style="position:absolute;left:0pt;margin-left:-58.95pt;margin-top:70.35pt;height:279.7pt;width:581pt;mso-wrap-distance-bottom:0pt;mso-wrap-distance-left:9pt;mso-wrap-distance-right:9pt;mso-wrap-distance-top:0pt;z-index:251663360;mso-width-relative:page;mso-height-relative:page;" o:ole="t" filled="f" o:preferrelative="t" stroked="f" coordsize="21600,21600">
            <v:path/>
            <v:fill on="f" focussize="0,0"/>
            <v:stroke on="f"/>
            <v:imagedata r:id="rId11" o:title=""/>
            <o:lock v:ext="edit" aspectratio="t"/>
            <w10:wrap type="square"/>
          </v:shape>
          <o:OLEObject Type="Embed" ProgID="Excel.Chart.8" ShapeID="Object 4" DrawAspect="Content" ObjectID="_1468075725" r:id="rId10">
            <o:LockedField>false</o:LockedField>
          </o:OLEObject>
        </w:pict>
      </w:r>
      <w:r>
        <w:rPr>
          <w:rFonts w:hint="eastAsia" w:ascii="仿宋" w:hAnsi="仿宋" w:eastAsia="仿宋" w:cs="仿宋"/>
          <w:sz w:val="32"/>
          <w:szCs w:val="32"/>
        </w:rPr>
        <w:t>湖南中医药大学湘杏学院2021届毕业生共852人，实际毕业834人，与去年同期相比增加31人（2020届803人），学历层次为本科生。如图1-1所示</w:t>
      </w:r>
      <w:r>
        <w:rPr>
          <w:rFonts w:ascii="仿宋" w:hAnsi="仿宋" w:eastAsia="仿宋" w:cs="仿宋"/>
          <w:sz w:val="32"/>
          <w:szCs w:val="32"/>
        </w:rPr>
        <w:t>。</w:t>
      </w:r>
    </w:p>
    <w:p>
      <w:pPr>
        <w:jc w:val="center"/>
        <w:rPr>
          <w:rFonts w:hint="eastAsia" w:ascii="宋体" w:hAnsi="宋体" w:cs="宋体"/>
          <w:b/>
          <w:bCs/>
          <w:szCs w:val="21"/>
        </w:rPr>
      </w:pPr>
      <w:bookmarkStart w:id="6" w:name="_Toc14467"/>
      <w:bookmarkStart w:id="7" w:name="_Toc11144"/>
      <w:r>
        <w:rPr>
          <w:rFonts w:hint="eastAsia" w:ascii="宋体" w:hAnsi="宋体" w:cs="宋体"/>
          <w:b/>
          <w:bCs/>
          <w:szCs w:val="21"/>
        </w:rPr>
        <w:t>图1-1 20014-2021届毕业生人数及总体趋势</w:t>
      </w:r>
    </w:p>
    <w:p>
      <w:pPr>
        <w:rPr>
          <w:rFonts w:hint="eastAsia" w:ascii="仿宋" w:hAnsi="仿宋" w:eastAsia="仿宋" w:cs="仿宋"/>
          <w:b/>
          <w:bCs/>
          <w:sz w:val="32"/>
          <w:szCs w:val="32"/>
        </w:rPr>
      </w:pPr>
      <w:r>
        <w:rPr>
          <w:rFonts w:hint="eastAsia" w:ascii="仿宋" w:hAnsi="仿宋" w:eastAsia="仿宋" w:cs="仿宋"/>
          <w:b/>
          <w:bCs/>
          <w:sz w:val="32"/>
          <w:szCs w:val="32"/>
        </w:rPr>
        <w:t>二、毕业生的基本情况</w:t>
      </w:r>
      <w:bookmarkEnd w:id="6"/>
      <w:bookmarkEnd w:id="7"/>
    </w:p>
    <w:p>
      <w:pPr>
        <w:rPr>
          <w:rFonts w:hint="eastAsia" w:ascii="仿宋" w:hAnsi="仿宋" w:eastAsia="仿宋" w:cs="仿宋"/>
          <w:b/>
          <w:bCs/>
          <w:sz w:val="32"/>
          <w:szCs w:val="32"/>
        </w:rPr>
      </w:pPr>
      <w:bookmarkStart w:id="8" w:name="_Toc10425"/>
      <w:r>
        <w:rPr>
          <w:rFonts w:hint="eastAsia" w:ascii="仿宋" w:hAnsi="仿宋" w:eastAsia="仿宋" w:cs="仿宋"/>
          <w:b/>
          <w:bCs/>
          <w:sz w:val="32"/>
          <w:szCs w:val="32"/>
        </w:rPr>
        <w:t>1.毕业生的性别分布</w:t>
      </w:r>
      <w:bookmarkEnd w:id="8"/>
    </w:p>
    <w:p>
      <w:pPr>
        <w:pStyle w:val="3"/>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我院2021届毕业生中，男生252人，占毕业生总人数的29.5%；女生600人，占毕业生总人数的70.5%，总体男女性别比为1:2.38。</w:t>
      </w:r>
    </w:p>
    <w:p>
      <w:pPr>
        <w:rPr>
          <w:rFonts w:hint="eastAsia" w:ascii="仿宋" w:hAnsi="仿宋" w:eastAsia="仿宋" w:cs="仿宋"/>
          <w:b/>
          <w:bCs/>
          <w:sz w:val="32"/>
          <w:szCs w:val="32"/>
        </w:rPr>
      </w:pPr>
      <w:bookmarkStart w:id="9" w:name="_Toc374"/>
      <w:r>
        <w:rPr>
          <w:rFonts w:hint="eastAsia" w:ascii="仿宋" w:hAnsi="仿宋" w:eastAsia="仿宋" w:cs="仿宋"/>
          <w:b/>
          <w:bCs/>
          <w:sz w:val="32"/>
          <w:szCs w:val="32"/>
        </w:rPr>
        <w:t>2.毕业生的专业分布情况</w:t>
      </w:r>
      <w:bookmarkEnd w:id="9"/>
    </w:p>
    <w:p>
      <w:pPr>
        <w:pStyle w:val="3"/>
        <w:ind w:left="0" w:leftChars="0" w:firstLine="640" w:firstLineChars="200"/>
        <w:rPr>
          <w:rFonts w:hint="eastAsia" w:ascii="宋体" w:hAnsi="宋体" w:cs="宋体"/>
          <w:b/>
          <w:bCs/>
          <w:szCs w:val="21"/>
        </w:rPr>
      </w:pPr>
      <w:r>
        <w:rPr>
          <w:rFonts w:hint="eastAsia" w:ascii="仿宋" w:hAnsi="仿宋" w:eastAsia="仿宋" w:cs="仿宋"/>
          <w:sz w:val="32"/>
          <w:szCs w:val="32"/>
        </w:rPr>
        <w:t>2021届毕业生专业涉及11个专业，护理学专业人数最多，为289人，占33.9%；其次为中医学109人，占12.7%；中西医临床医学106人，占12.4%；针灸推拿学占9.8%；药学占9.6%；中药学占5.1%；医学影像技术和制药工程4.7%；所占比例较少的专业为应用心理学、市场营销，详见表1-1。</w:t>
      </w:r>
    </w:p>
    <w:tbl>
      <w:tblPr>
        <w:tblStyle w:val="16"/>
        <w:tblW w:w="0" w:type="auto"/>
        <w:jc w:val="center"/>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Layout w:type="fixed"/>
        <w:tblCellMar>
          <w:top w:w="30" w:type="dxa"/>
          <w:left w:w="30" w:type="dxa"/>
          <w:bottom w:w="30" w:type="dxa"/>
          <w:right w:w="30" w:type="dxa"/>
        </w:tblCellMar>
      </w:tblPr>
      <w:tblGrid>
        <w:gridCol w:w="2934"/>
        <w:gridCol w:w="1578"/>
        <w:gridCol w:w="1746"/>
      </w:tblGrid>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shd w:val="clear" w:color="auto" w:fill="BEBEBE"/>
            <w:noWrap w:val="0"/>
            <w:vAlign w:val="center"/>
          </w:tcPr>
          <w:p>
            <w:pPr>
              <w:widowControl/>
              <w:spacing w:after="0"/>
              <w:jc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专业名称</w:t>
            </w:r>
          </w:p>
        </w:tc>
        <w:tc>
          <w:tcPr>
            <w:tcW w:w="1578" w:type="dxa"/>
            <w:tcBorders>
              <w:top w:val="outset" w:color="111111" w:sz="6" w:space="0"/>
              <w:left w:val="outset" w:color="111111" w:sz="6" w:space="0"/>
              <w:bottom w:val="outset" w:color="111111" w:sz="6" w:space="0"/>
              <w:right w:val="outset" w:color="111111" w:sz="6" w:space="0"/>
            </w:tcBorders>
            <w:shd w:val="clear" w:color="auto" w:fill="BEBEBE"/>
            <w:noWrap w:val="0"/>
            <w:vAlign w:val="center"/>
          </w:tcPr>
          <w:p>
            <w:pPr>
              <w:widowControl/>
              <w:spacing w:after="0"/>
              <w:jc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人数</w:t>
            </w:r>
          </w:p>
        </w:tc>
        <w:tc>
          <w:tcPr>
            <w:tcW w:w="1746" w:type="dxa"/>
            <w:tcBorders>
              <w:top w:val="outset" w:color="111111" w:sz="6" w:space="0"/>
              <w:left w:val="outset" w:color="111111" w:sz="6" w:space="0"/>
              <w:bottom w:val="outset" w:color="111111" w:sz="6" w:space="0"/>
              <w:right w:val="outset" w:color="111111" w:sz="6" w:space="0"/>
            </w:tcBorders>
            <w:shd w:val="clear" w:color="auto" w:fill="BEBEBE"/>
            <w:noWrap w:val="0"/>
            <w:vAlign w:val="center"/>
          </w:tcPr>
          <w:p>
            <w:pPr>
              <w:widowControl/>
              <w:spacing w:after="0"/>
              <w:jc w:val="center"/>
              <w:rPr>
                <w:rFonts w:ascii="宋体" w:hAnsi="宋体" w:cs="宋体"/>
                <w:b/>
                <w:bCs/>
                <w:color w:val="000000"/>
                <w:kern w:val="0"/>
                <w:sz w:val="18"/>
                <w:szCs w:val="18"/>
                <w:lang w:bidi="ar"/>
              </w:rPr>
            </w:pPr>
            <w:r>
              <w:rPr>
                <w:rFonts w:hint="eastAsia" w:ascii="宋体" w:hAnsi="宋体" w:cs="宋体"/>
                <w:b/>
                <w:bCs/>
                <w:color w:val="000000"/>
                <w:kern w:val="0"/>
                <w:sz w:val="18"/>
                <w:szCs w:val="18"/>
                <w:lang w:bidi="ar"/>
              </w:rPr>
              <w:t>所占比例</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90"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ascii="宋体" w:hAnsi="宋体" w:cs="宋体"/>
                <w:kern w:val="0"/>
                <w:sz w:val="18"/>
                <w:szCs w:val="18"/>
                <w:lang w:bidi="ar"/>
              </w:rPr>
              <w:t>护理学</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289</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kern w:val="0"/>
                <w:sz w:val="18"/>
                <w:szCs w:val="18"/>
                <w:lang w:bidi="ar"/>
              </w:rPr>
            </w:pPr>
            <w:r>
              <w:rPr>
                <w:rFonts w:hint="eastAsia" w:ascii="宋体" w:hAnsi="宋体" w:cs="宋体"/>
                <w:kern w:val="0"/>
                <w:sz w:val="18"/>
                <w:szCs w:val="18"/>
                <w:lang w:bidi="ar"/>
              </w:rPr>
              <w:t>33.9%</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ascii="宋体" w:hAnsi="宋体" w:cs="宋体"/>
                <w:kern w:val="0"/>
                <w:sz w:val="18"/>
                <w:szCs w:val="18"/>
                <w:lang w:bidi="ar"/>
              </w:rPr>
              <w:t>中医学</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109</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kern w:val="0"/>
                <w:sz w:val="18"/>
                <w:szCs w:val="18"/>
                <w:lang w:bidi="ar"/>
              </w:rPr>
            </w:pPr>
            <w:r>
              <w:rPr>
                <w:rFonts w:hint="eastAsia" w:ascii="宋体" w:hAnsi="宋体" w:cs="宋体"/>
                <w:kern w:val="0"/>
                <w:sz w:val="18"/>
                <w:szCs w:val="18"/>
                <w:lang w:bidi="ar"/>
              </w:rPr>
              <w:t>12.7%</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ascii="宋体" w:hAnsi="宋体" w:cs="宋体"/>
                <w:kern w:val="0"/>
                <w:sz w:val="18"/>
                <w:szCs w:val="18"/>
                <w:lang w:bidi="ar"/>
              </w:rPr>
              <w:t>中西医临床医学</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106</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kern w:val="0"/>
                <w:sz w:val="18"/>
                <w:szCs w:val="18"/>
                <w:lang w:bidi="ar"/>
              </w:rPr>
            </w:pPr>
            <w:r>
              <w:rPr>
                <w:rFonts w:hint="eastAsia" w:ascii="宋体" w:hAnsi="宋体" w:cs="宋体"/>
                <w:kern w:val="0"/>
                <w:sz w:val="18"/>
                <w:szCs w:val="18"/>
                <w:lang w:bidi="ar"/>
              </w:rPr>
              <w:t>12.4%</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kern w:val="0"/>
                <w:sz w:val="18"/>
                <w:szCs w:val="18"/>
                <w:lang w:bidi="ar"/>
              </w:rPr>
            </w:pPr>
            <w:r>
              <w:rPr>
                <w:rFonts w:ascii="宋体" w:hAnsi="宋体" w:cs="宋体"/>
                <w:kern w:val="0"/>
                <w:sz w:val="18"/>
                <w:szCs w:val="18"/>
                <w:lang w:bidi="ar"/>
              </w:rPr>
              <w:t>针灸推拿学</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hint="eastAsia" w:ascii="宋体" w:hAnsi="宋体" w:cs="宋体"/>
                <w:sz w:val="18"/>
                <w:szCs w:val="18"/>
              </w:rPr>
            </w:pPr>
            <w:r>
              <w:rPr>
                <w:rFonts w:hint="eastAsia" w:ascii="宋体" w:hAnsi="宋体" w:cs="宋体"/>
                <w:sz w:val="18"/>
                <w:szCs w:val="18"/>
              </w:rPr>
              <w:t>83</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hint="eastAsia" w:ascii="宋体" w:hAnsi="宋体" w:cs="宋体"/>
                <w:kern w:val="0"/>
                <w:sz w:val="18"/>
                <w:szCs w:val="18"/>
                <w:lang w:bidi="ar"/>
              </w:rPr>
            </w:pPr>
            <w:r>
              <w:rPr>
                <w:rFonts w:hint="eastAsia" w:ascii="宋体" w:hAnsi="宋体" w:cs="宋体"/>
                <w:kern w:val="0"/>
                <w:sz w:val="18"/>
                <w:szCs w:val="18"/>
                <w:lang w:bidi="ar"/>
              </w:rPr>
              <w:t>9.8%</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ascii="宋体" w:hAnsi="宋体" w:cs="宋体"/>
                <w:kern w:val="0"/>
                <w:sz w:val="18"/>
                <w:szCs w:val="18"/>
                <w:lang w:bidi="ar"/>
              </w:rPr>
              <w:t>药学</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81</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kern w:val="0"/>
                <w:sz w:val="18"/>
                <w:szCs w:val="18"/>
                <w:lang w:bidi="ar"/>
              </w:rPr>
            </w:pPr>
            <w:r>
              <w:rPr>
                <w:rFonts w:hint="eastAsia" w:ascii="宋体" w:hAnsi="宋体" w:cs="宋体"/>
                <w:kern w:val="0"/>
                <w:sz w:val="18"/>
                <w:szCs w:val="18"/>
                <w:lang w:bidi="ar"/>
              </w:rPr>
              <w:t>9.6%</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ascii="宋体" w:hAnsi="宋体" w:cs="宋体"/>
                <w:kern w:val="0"/>
                <w:sz w:val="18"/>
                <w:szCs w:val="18"/>
                <w:lang w:bidi="ar"/>
              </w:rPr>
              <w:t>中药学</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43</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kern w:val="0"/>
                <w:sz w:val="18"/>
                <w:szCs w:val="18"/>
                <w:lang w:bidi="ar"/>
              </w:rPr>
            </w:pPr>
            <w:r>
              <w:rPr>
                <w:rFonts w:hint="eastAsia" w:ascii="宋体" w:hAnsi="宋体" w:cs="宋体"/>
                <w:kern w:val="0"/>
                <w:sz w:val="18"/>
                <w:szCs w:val="18"/>
                <w:lang w:bidi="ar"/>
              </w:rPr>
              <w:t>5.1%</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ascii="宋体" w:hAnsi="宋体" w:cs="宋体"/>
                <w:kern w:val="0"/>
                <w:sz w:val="18"/>
                <w:szCs w:val="18"/>
                <w:lang w:bidi="ar"/>
              </w:rPr>
              <w:t>制药工程</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40</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kern w:val="0"/>
                <w:sz w:val="18"/>
                <w:szCs w:val="18"/>
                <w:lang w:bidi="ar"/>
              </w:rPr>
            </w:pPr>
            <w:r>
              <w:rPr>
                <w:rFonts w:hint="eastAsia" w:ascii="宋体" w:hAnsi="宋体" w:cs="宋体"/>
                <w:kern w:val="0"/>
                <w:sz w:val="18"/>
                <w:szCs w:val="18"/>
                <w:lang w:bidi="ar"/>
              </w:rPr>
              <w:t>4.7%</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kern w:val="0"/>
                <w:sz w:val="18"/>
                <w:szCs w:val="18"/>
                <w:lang w:bidi="ar"/>
              </w:rPr>
              <w:t>医学影像技术</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spacing w:after="0"/>
              <w:jc w:val="center"/>
              <w:rPr>
                <w:rFonts w:ascii="宋体" w:hAnsi="宋体" w:cs="宋体"/>
                <w:sz w:val="18"/>
                <w:szCs w:val="18"/>
              </w:rPr>
            </w:pPr>
            <w:r>
              <w:rPr>
                <w:rFonts w:hint="eastAsia" w:ascii="宋体" w:hAnsi="宋体" w:cs="宋体"/>
                <w:sz w:val="18"/>
                <w:szCs w:val="18"/>
              </w:rPr>
              <w:t>40</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spacing w:after="0"/>
              <w:jc w:val="center"/>
              <w:rPr>
                <w:rFonts w:ascii="宋体" w:hAnsi="宋体" w:cs="宋体"/>
                <w:kern w:val="0"/>
                <w:sz w:val="18"/>
                <w:szCs w:val="18"/>
                <w:lang w:bidi="ar"/>
              </w:rPr>
            </w:pPr>
            <w:r>
              <w:rPr>
                <w:rFonts w:hint="eastAsia" w:ascii="宋体" w:hAnsi="宋体" w:cs="宋体"/>
                <w:sz w:val="18"/>
                <w:szCs w:val="18"/>
              </w:rPr>
              <w:t>4.7%</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ascii="宋体" w:hAnsi="宋体" w:cs="宋体"/>
                <w:kern w:val="0"/>
                <w:sz w:val="18"/>
                <w:szCs w:val="18"/>
                <w:lang w:bidi="ar"/>
              </w:rPr>
              <w:t>康复治疗学</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35</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kern w:val="0"/>
                <w:sz w:val="18"/>
                <w:szCs w:val="18"/>
                <w:lang w:bidi="ar"/>
              </w:rPr>
            </w:pPr>
            <w:r>
              <w:rPr>
                <w:rFonts w:hint="eastAsia" w:ascii="宋体" w:hAnsi="宋体" w:cs="宋体"/>
                <w:kern w:val="0"/>
                <w:sz w:val="18"/>
                <w:szCs w:val="18"/>
                <w:lang w:bidi="ar"/>
              </w:rPr>
              <w:t>4.1%</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ascii="宋体" w:hAnsi="宋体" w:cs="宋体"/>
                <w:kern w:val="0"/>
                <w:sz w:val="18"/>
                <w:szCs w:val="18"/>
                <w:lang w:bidi="ar"/>
              </w:rPr>
              <w:t>市场营销</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25</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kern w:val="0"/>
                <w:sz w:val="18"/>
                <w:szCs w:val="18"/>
                <w:lang w:bidi="ar"/>
              </w:rPr>
            </w:pPr>
            <w:r>
              <w:rPr>
                <w:rFonts w:hint="eastAsia" w:ascii="宋体" w:hAnsi="宋体" w:cs="宋体"/>
                <w:kern w:val="0"/>
                <w:sz w:val="18"/>
                <w:szCs w:val="18"/>
                <w:lang w:bidi="ar"/>
              </w:rPr>
              <w:t>2.9%</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47"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ascii="宋体" w:hAnsi="宋体" w:cs="宋体"/>
                <w:kern w:val="0"/>
                <w:sz w:val="18"/>
                <w:szCs w:val="18"/>
                <w:lang w:bidi="ar"/>
              </w:rPr>
              <w:t>应用心理学</w:t>
            </w:r>
          </w:p>
        </w:tc>
        <w:tc>
          <w:tcPr>
            <w:tcW w:w="1578"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1</w:t>
            </w:r>
          </w:p>
        </w:tc>
        <w:tc>
          <w:tcPr>
            <w:tcW w:w="1746"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ascii="宋体" w:hAnsi="宋体" w:cs="宋体"/>
                <w:kern w:val="0"/>
                <w:sz w:val="18"/>
                <w:szCs w:val="18"/>
                <w:lang w:bidi="ar"/>
              </w:rPr>
            </w:pPr>
            <w:r>
              <w:rPr>
                <w:rFonts w:hint="eastAsia" w:ascii="宋体" w:hAnsi="宋体" w:cs="宋体"/>
                <w:kern w:val="0"/>
                <w:sz w:val="18"/>
                <w:szCs w:val="18"/>
                <w:lang w:bidi="ar"/>
              </w:rPr>
              <w:t>0.1%</w:t>
            </w:r>
          </w:p>
        </w:tc>
      </w:tr>
      <w:tr>
        <w:tblPrEx>
          <w:tblBorders>
            <w:top w:val="single" w:color="111111" w:sz="4" w:space="0"/>
            <w:left w:val="single" w:color="111111" w:sz="4" w:space="0"/>
            <w:bottom w:val="single" w:color="111111" w:sz="4" w:space="0"/>
            <w:right w:val="single" w:color="111111" w:sz="4" w:space="0"/>
            <w:insideH w:val="outset" w:color="111111" w:sz="6" w:space="0"/>
            <w:insideV w:val="outset" w:color="111111" w:sz="6" w:space="0"/>
          </w:tblBorders>
          <w:tblCellMar>
            <w:top w:w="30" w:type="dxa"/>
            <w:left w:w="30" w:type="dxa"/>
            <w:bottom w:w="30" w:type="dxa"/>
            <w:right w:w="30" w:type="dxa"/>
          </w:tblCellMar>
        </w:tblPrEx>
        <w:trPr>
          <w:trHeight w:val="361" w:hRule="atLeast"/>
          <w:jc w:val="center"/>
        </w:trPr>
        <w:tc>
          <w:tcPr>
            <w:tcW w:w="2934" w:type="dxa"/>
            <w:tcBorders>
              <w:top w:val="outset" w:color="111111" w:sz="6" w:space="0"/>
              <w:left w:val="outset" w:color="111111" w:sz="6" w:space="0"/>
              <w:bottom w:val="outset" w:color="111111" w:sz="6" w:space="0"/>
              <w:right w:val="outset" w:color="111111" w:sz="6" w:space="0"/>
            </w:tcBorders>
            <w:noWrap w:val="0"/>
            <w:vAlign w:val="center"/>
          </w:tcPr>
          <w:p>
            <w:pPr>
              <w:widowControl/>
              <w:spacing w:after="0"/>
              <w:jc w:val="center"/>
              <w:rPr>
                <w:rFonts w:hint="eastAsia" w:ascii="宋体" w:hAnsi="宋体" w:cs="宋体"/>
                <w:sz w:val="18"/>
                <w:szCs w:val="18"/>
              </w:rPr>
            </w:pPr>
            <w:r>
              <w:rPr>
                <w:rFonts w:hint="eastAsia" w:ascii="宋体" w:hAnsi="宋体" w:cs="宋体"/>
                <w:sz w:val="18"/>
                <w:szCs w:val="18"/>
              </w:rPr>
              <w:t>总计</w:t>
            </w:r>
          </w:p>
        </w:tc>
        <w:tc>
          <w:tcPr>
            <w:tcW w:w="1578" w:type="dxa"/>
            <w:tcBorders>
              <w:top w:val="outset" w:color="111111" w:sz="6" w:space="0"/>
              <w:left w:val="single" w:color="auto" w:sz="0"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852</w:t>
            </w:r>
          </w:p>
        </w:tc>
        <w:tc>
          <w:tcPr>
            <w:tcW w:w="1746" w:type="dxa"/>
            <w:tcBorders>
              <w:top w:val="outset" w:color="111111" w:sz="6" w:space="0"/>
              <w:left w:val="single" w:color="auto" w:sz="0" w:space="0"/>
              <w:bottom w:val="outset" w:color="111111" w:sz="6" w:space="0"/>
              <w:right w:val="outset" w:color="111111" w:sz="6" w:space="0"/>
            </w:tcBorders>
            <w:noWrap w:val="0"/>
            <w:vAlign w:val="center"/>
          </w:tcPr>
          <w:p>
            <w:pPr>
              <w:widowControl/>
              <w:spacing w:after="0"/>
              <w:jc w:val="center"/>
              <w:rPr>
                <w:rFonts w:ascii="宋体" w:hAnsi="宋体" w:cs="宋体"/>
                <w:sz w:val="18"/>
                <w:szCs w:val="18"/>
              </w:rPr>
            </w:pPr>
            <w:r>
              <w:rPr>
                <w:rFonts w:hint="eastAsia" w:ascii="宋体" w:hAnsi="宋体" w:cs="宋体"/>
                <w:sz w:val="18"/>
                <w:szCs w:val="18"/>
              </w:rPr>
              <w:t>100.00%</w:t>
            </w:r>
          </w:p>
        </w:tc>
      </w:tr>
    </w:tbl>
    <w:p>
      <w:pPr>
        <w:jc w:val="center"/>
        <w:rPr>
          <w:rFonts w:hint="eastAsia" w:ascii="仿宋" w:hAnsi="仿宋" w:eastAsia="仿宋" w:cs="仿宋"/>
          <w:b/>
          <w:bCs/>
          <w:sz w:val="32"/>
          <w:szCs w:val="32"/>
        </w:rPr>
      </w:pPr>
      <w:r>
        <w:rPr>
          <w:rFonts w:hint="eastAsia" w:ascii="宋体" w:hAnsi="宋体" w:cs="宋体"/>
          <w:b/>
          <w:bCs/>
          <w:szCs w:val="21"/>
        </w:rPr>
        <w:t>表1-1  2021届毕业生各专业分布</w:t>
      </w:r>
    </w:p>
    <w:p>
      <w:pPr>
        <w:rPr>
          <w:rFonts w:hint="eastAsia" w:ascii="仿宋" w:hAnsi="仿宋" w:eastAsia="仿宋" w:cs="仿宋"/>
          <w:b/>
          <w:bCs/>
          <w:sz w:val="32"/>
          <w:szCs w:val="32"/>
        </w:rPr>
      </w:pPr>
      <w:r>
        <w:rPr>
          <w:rFonts w:hint="eastAsia" w:ascii="仿宋" w:hAnsi="仿宋" w:eastAsia="仿宋" w:cs="仿宋"/>
          <w:b/>
          <w:bCs/>
          <w:sz w:val="32"/>
          <w:szCs w:val="32"/>
        </w:rPr>
        <w:t>3.毕业生的生源地分布</w:t>
      </w:r>
    </w:p>
    <w:p>
      <w:pPr>
        <w:pStyle w:val="3"/>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我院2021届毕业生来源于13个省（直辖市、自治区），分布不广也不均衡，其中本地（湖南省）生源人数为745人，所占比重达87.5%，同比去年有所减少（20届为88.82%）;外地生源主要来自于浙江、新疆、福建、安徽等12个省（直辖市、自治区），其中浙江占1.9%，新疆占1.4%。各省生源地百分比详见表</w:t>
      </w:r>
      <w:r>
        <w:rPr>
          <w:rFonts w:hint="eastAsia" w:ascii="仿宋" w:hAnsi="仿宋" w:eastAsia="仿宋" w:cs="仿宋"/>
          <w:sz w:val="32"/>
          <w:szCs w:val="32"/>
          <w:lang w:val="en-US" w:eastAsia="zh-CN"/>
        </w:rPr>
        <w:t>1-2</w:t>
      </w:r>
      <w:r>
        <w:rPr>
          <w:rFonts w:hint="eastAsia" w:ascii="仿宋" w:hAnsi="仿宋" w:eastAsia="仿宋" w:cs="仿宋"/>
          <w:sz w:val="32"/>
          <w:szCs w:val="32"/>
        </w:rPr>
        <w:t>。</w:t>
      </w:r>
    </w:p>
    <w:tbl>
      <w:tblPr>
        <w:tblStyle w:val="16"/>
        <w:tblW w:w="0" w:type="auto"/>
        <w:jc w:val="center"/>
        <w:tblLayout w:type="fixed"/>
        <w:tblCellMar>
          <w:top w:w="11" w:type="dxa"/>
          <w:left w:w="17" w:type="dxa"/>
          <w:bottom w:w="11" w:type="dxa"/>
          <w:right w:w="17" w:type="dxa"/>
        </w:tblCellMar>
      </w:tblPr>
      <w:tblGrid>
        <w:gridCol w:w="2376"/>
        <w:gridCol w:w="2384"/>
        <w:gridCol w:w="3339"/>
      </w:tblGrid>
      <w:tr>
        <w:tblPrEx>
          <w:tblCellMar>
            <w:top w:w="11" w:type="dxa"/>
            <w:left w:w="17" w:type="dxa"/>
            <w:bottom w:w="11" w:type="dxa"/>
            <w:right w:w="17" w:type="dxa"/>
          </w:tblCellMar>
        </w:tblPrEx>
        <w:trPr>
          <w:trHeight w:val="591" w:hRule="exact"/>
          <w:jc w:val="center"/>
        </w:trPr>
        <w:tc>
          <w:tcPr>
            <w:tcW w:w="2376" w:type="dxa"/>
            <w:tcBorders>
              <w:top w:val="single" w:color="000000" w:sz="18" w:space="0"/>
              <w:left w:val="single" w:color="000000" w:sz="18" w:space="0"/>
              <w:bottom w:val="single" w:color="000000" w:sz="4" w:space="0"/>
              <w:right w:val="single" w:color="000000" w:sz="4" w:space="0"/>
            </w:tcBorders>
            <w:shd w:val="clear" w:color="auto" w:fill="D9D9D9"/>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b/>
                <w:szCs w:val="21"/>
              </w:rPr>
            </w:pPr>
            <w:r>
              <w:rPr>
                <w:rFonts w:hint="eastAsia" w:ascii="宋体" w:hAnsi="宋体" w:cs="宋体"/>
                <w:b/>
                <w:bCs/>
                <w:color w:val="000000"/>
                <w:kern w:val="0"/>
                <w:szCs w:val="21"/>
                <w:lang w:bidi="ar"/>
              </w:rPr>
              <w:t>生源所在地</w:t>
            </w:r>
          </w:p>
        </w:tc>
        <w:tc>
          <w:tcPr>
            <w:tcW w:w="2384" w:type="dxa"/>
            <w:tcBorders>
              <w:top w:val="single" w:color="000000" w:sz="18" w:space="0"/>
              <w:left w:val="single" w:color="000000" w:sz="4" w:space="0"/>
              <w:bottom w:val="single" w:color="000000" w:sz="4" w:space="0"/>
              <w:right w:val="single" w:color="000000" w:sz="4" w:space="0"/>
            </w:tcBorders>
            <w:shd w:val="clear" w:color="auto" w:fill="D9D9D9"/>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b/>
                <w:szCs w:val="21"/>
              </w:rPr>
            </w:pPr>
            <w:r>
              <w:rPr>
                <w:rFonts w:hint="eastAsia" w:ascii="宋体" w:hAnsi="宋体" w:cs="宋体"/>
                <w:b/>
                <w:bCs/>
                <w:color w:val="000000"/>
                <w:kern w:val="0"/>
                <w:szCs w:val="21"/>
                <w:lang w:bidi="ar"/>
              </w:rPr>
              <w:t>人数</w:t>
            </w:r>
          </w:p>
        </w:tc>
        <w:tc>
          <w:tcPr>
            <w:tcW w:w="3339" w:type="dxa"/>
            <w:tcBorders>
              <w:top w:val="single" w:color="000000" w:sz="18" w:space="0"/>
              <w:left w:val="single" w:color="000000" w:sz="4" w:space="0"/>
              <w:bottom w:val="single" w:color="000000" w:sz="4" w:space="0"/>
              <w:right w:val="single" w:color="000000" w:sz="18" w:space="0"/>
            </w:tcBorders>
            <w:shd w:val="clear" w:color="auto" w:fill="D9D9D9"/>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b/>
                <w:szCs w:val="21"/>
              </w:rPr>
            </w:pPr>
            <w:r>
              <w:rPr>
                <w:b/>
                <w:kern w:val="0"/>
                <w:szCs w:val="21"/>
                <w:lang w:bidi="ar"/>
              </w:rPr>
              <w:t>所占比例</w:t>
            </w:r>
            <w:r>
              <w:rPr>
                <w:rFonts w:hint="eastAsia" w:ascii="宋体" w:hAnsi="宋体" w:cs="宋体"/>
                <w:b/>
                <w:kern w:val="0"/>
                <w:szCs w:val="21"/>
                <w:lang w:bidi="ar"/>
              </w:rPr>
              <w:t>（%）</w:t>
            </w:r>
          </w:p>
        </w:tc>
      </w:tr>
      <w:tr>
        <w:tblPrEx>
          <w:tblCellMar>
            <w:top w:w="11" w:type="dxa"/>
            <w:left w:w="17" w:type="dxa"/>
            <w:bottom w:w="11" w:type="dxa"/>
            <w:right w:w="17" w:type="dxa"/>
          </w:tblCellMar>
        </w:tblPrEx>
        <w:trPr>
          <w:trHeight w:val="507"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1"/>
                <w:szCs w:val="21"/>
              </w:rPr>
            </w:pPr>
            <w:r>
              <w:rPr>
                <w:rFonts w:hint="eastAsia" w:ascii="宋体" w:hAnsi="宋体" w:cs="宋体"/>
                <w:color w:val="000000"/>
                <w:kern w:val="0"/>
                <w:sz w:val="21"/>
                <w:szCs w:val="21"/>
                <w:lang w:bidi="ar"/>
              </w:rPr>
              <w:t>湖南</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745</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sz w:val="22"/>
                <w:szCs w:val="22"/>
              </w:rPr>
              <w:t>87.5%</w:t>
            </w:r>
          </w:p>
        </w:tc>
      </w:tr>
      <w:tr>
        <w:tblPrEx>
          <w:tblCellMar>
            <w:top w:w="11" w:type="dxa"/>
            <w:left w:w="17" w:type="dxa"/>
            <w:bottom w:w="11" w:type="dxa"/>
            <w:right w:w="17" w:type="dxa"/>
          </w:tblCellMar>
        </w:tblPrEx>
        <w:trPr>
          <w:trHeight w:val="492"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1"/>
                <w:szCs w:val="21"/>
              </w:rPr>
            </w:pPr>
            <w:r>
              <w:rPr>
                <w:rFonts w:hint="eastAsia" w:ascii="宋体" w:hAnsi="宋体" w:cs="宋体"/>
                <w:color w:val="000000"/>
                <w:kern w:val="0"/>
                <w:sz w:val="21"/>
                <w:szCs w:val="21"/>
                <w:lang w:bidi="ar"/>
              </w:rPr>
              <w:t>浙江</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17</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kern w:val="0"/>
                <w:sz w:val="22"/>
                <w:szCs w:val="22"/>
                <w:lang w:bidi="ar"/>
              </w:rPr>
              <w:t>1.9%</w:t>
            </w:r>
          </w:p>
        </w:tc>
      </w:tr>
      <w:tr>
        <w:tblPrEx>
          <w:tblCellMar>
            <w:top w:w="11" w:type="dxa"/>
            <w:left w:w="17" w:type="dxa"/>
            <w:bottom w:w="11" w:type="dxa"/>
            <w:right w:w="17" w:type="dxa"/>
          </w:tblCellMar>
        </w:tblPrEx>
        <w:trPr>
          <w:trHeight w:val="567"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kern w:val="0"/>
                <w:sz w:val="21"/>
                <w:szCs w:val="21"/>
                <w:lang w:bidi="ar"/>
              </w:rPr>
            </w:pPr>
            <w:r>
              <w:rPr>
                <w:rFonts w:hint="eastAsia" w:ascii="宋体" w:hAnsi="宋体" w:cs="宋体"/>
                <w:color w:val="000000"/>
                <w:kern w:val="0"/>
                <w:sz w:val="21"/>
                <w:szCs w:val="21"/>
                <w:lang w:bidi="ar"/>
              </w:rPr>
              <w:t>新疆</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12</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1.4%</w:t>
            </w:r>
          </w:p>
        </w:tc>
      </w:tr>
      <w:tr>
        <w:tblPrEx>
          <w:tblCellMar>
            <w:top w:w="11" w:type="dxa"/>
            <w:left w:w="17" w:type="dxa"/>
            <w:bottom w:w="11" w:type="dxa"/>
            <w:right w:w="17" w:type="dxa"/>
          </w:tblCellMar>
        </w:tblPrEx>
        <w:trPr>
          <w:trHeight w:val="564"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kern w:val="0"/>
                <w:sz w:val="21"/>
                <w:szCs w:val="21"/>
                <w:lang w:bidi="ar"/>
              </w:rPr>
            </w:pPr>
            <w:r>
              <w:rPr>
                <w:rFonts w:hint="eastAsia" w:ascii="宋体" w:hAnsi="宋体" w:cs="宋体"/>
                <w:color w:val="000000"/>
                <w:kern w:val="0"/>
                <w:sz w:val="21"/>
                <w:szCs w:val="21"/>
                <w:lang w:bidi="ar"/>
              </w:rPr>
              <w:t>福建</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12</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kern w:val="0"/>
                <w:sz w:val="22"/>
                <w:szCs w:val="22"/>
                <w:lang w:bidi="ar"/>
              </w:rPr>
            </w:pPr>
            <w:r>
              <w:rPr>
                <w:rFonts w:hint="eastAsia" w:ascii="宋体" w:hAnsi="宋体" w:cs="宋体"/>
                <w:kern w:val="0"/>
                <w:sz w:val="22"/>
                <w:szCs w:val="22"/>
                <w:lang w:bidi="ar"/>
              </w:rPr>
              <w:t>1.4%</w:t>
            </w:r>
          </w:p>
        </w:tc>
      </w:tr>
      <w:tr>
        <w:tblPrEx>
          <w:tblCellMar>
            <w:top w:w="11" w:type="dxa"/>
            <w:left w:w="17" w:type="dxa"/>
            <w:bottom w:w="11" w:type="dxa"/>
            <w:right w:w="17" w:type="dxa"/>
          </w:tblCellMar>
        </w:tblPrEx>
        <w:trPr>
          <w:trHeight w:val="564"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1"/>
                <w:szCs w:val="21"/>
              </w:rPr>
            </w:pPr>
            <w:r>
              <w:rPr>
                <w:rFonts w:hint="eastAsia" w:ascii="宋体" w:hAnsi="宋体" w:cs="宋体"/>
                <w:color w:val="000000"/>
                <w:kern w:val="0"/>
                <w:sz w:val="21"/>
                <w:szCs w:val="21"/>
                <w:lang w:bidi="ar"/>
              </w:rPr>
              <w:t>安徽</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12</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kern w:val="0"/>
                <w:sz w:val="22"/>
                <w:szCs w:val="22"/>
                <w:lang w:bidi="ar"/>
              </w:rPr>
              <w:t>1.4%</w:t>
            </w:r>
          </w:p>
        </w:tc>
      </w:tr>
      <w:tr>
        <w:tblPrEx>
          <w:tblCellMar>
            <w:top w:w="11" w:type="dxa"/>
            <w:left w:w="17" w:type="dxa"/>
            <w:bottom w:w="11" w:type="dxa"/>
            <w:right w:w="17" w:type="dxa"/>
          </w:tblCellMar>
        </w:tblPrEx>
        <w:trPr>
          <w:trHeight w:val="528"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1"/>
                <w:szCs w:val="21"/>
              </w:rPr>
            </w:pPr>
            <w:r>
              <w:rPr>
                <w:rFonts w:hint="eastAsia" w:ascii="宋体" w:hAnsi="宋体" w:cs="宋体"/>
                <w:color w:val="000000"/>
                <w:kern w:val="0"/>
                <w:sz w:val="21"/>
                <w:szCs w:val="21"/>
                <w:lang w:bidi="ar"/>
              </w:rPr>
              <w:t>广西</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11</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kern w:val="0"/>
                <w:sz w:val="22"/>
                <w:szCs w:val="22"/>
                <w:lang w:bidi="ar"/>
              </w:rPr>
              <w:t>1.3%</w:t>
            </w:r>
          </w:p>
        </w:tc>
      </w:tr>
      <w:tr>
        <w:tblPrEx>
          <w:tblCellMar>
            <w:top w:w="11" w:type="dxa"/>
            <w:left w:w="17" w:type="dxa"/>
            <w:bottom w:w="11" w:type="dxa"/>
            <w:right w:w="17" w:type="dxa"/>
          </w:tblCellMar>
        </w:tblPrEx>
        <w:trPr>
          <w:trHeight w:val="504"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1"/>
                <w:szCs w:val="21"/>
              </w:rPr>
            </w:pPr>
            <w:r>
              <w:rPr>
                <w:rFonts w:hint="eastAsia" w:ascii="宋体" w:hAnsi="宋体" w:cs="宋体"/>
                <w:color w:val="000000"/>
                <w:kern w:val="0"/>
                <w:sz w:val="21"/>
                <w:szCs w:val="21"/>
                <w:lang w:bidi="ar"/>
              </w:rPr>
              <w:t>广东</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10</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kern w:val="0"/>
                <w:sz w:val="22"/>
                <w:szCs w:val="22"/>
                <w:lang w:bidi="ar"/>
              </w:rPr>
              <w:t>1.2%</w:t>
            </w:r>
          </w:p>
        </w:tc>
      </w:tr>
      <w:tr>
        <w:tblPrEx>
          <w:tblCellMar>
            <w:top w:w="11" w:type="dxa"/>
            <w:left w:w="17" w:type="dxa"/>
            <w:bottom w:w="11" w:type="dxa"/>
            <w:right w:w="17" w:type="dxa"/>
          </w:tblCellMar>
        </w:tblPrEx>
        <w:trPr>
          <w:trHeight w:val="516"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1"/>
                <w:szCs w:val="21"/>
              </w:rPr>
            </w:pPr>
            <w:r>
              <w:rPr>
                <w:rFonts w:hint="eastAsia" w:ascii="宋体" w:hAnsi="宋体" w:cs="宋体"/>
                <w:color w:val="000000"/>
                <w:kern w:val="0"/>
                <w:sz w:val="21"/>
                <w:szCs w:val="21"/>
                <w:lang w:bidi="ar"/>
              </w:rPr>
              <w:t>湖北</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10</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kern w:val="0"/>
                <w:sz w:val="22"/>
                <w:szCs w:val="22"/>
                <w:lang w:bidi="ar"/>
              </w:rPr>
              <w:t>1.2%</w:t>
            </w:r>
          </w:p>
        </w:tc>
      </w:tr>
      <w:tr>
        <w:tblPrEx>
          <w:tblCellMar>
            <w:top w:w="11" w:type="dxa"/>
            <w:left w:w="17" w:type="dxa"/>
            <w:bottom w:w="11" w:type="dxa"/>
            <w:right w:w="17" w:type="dxa"/>
          </w:tblCellMar>
        </w:tblPrEx>
        <w:trPr>
          <w:trHeight w:val="516"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1"/>
                <w:szCs w:val="21"/>
              </w:rPr>
            </w:pPr>
            <w:r>
              <w:rPr>
                <w:rFonts w:hint="eastAsia" w:ascii="宋体" w:hAnsi="宋体" w:cs="宋体"/>
                <w:color w:val="000000"/>
                <w:kern w:val="0"/>
                <w:sz w:val="21"/>
                <w:szCs w:val="21"/>
                <w:lang w:bidi="ar"/>
              </w:rPr>
              <w:t>重庆</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9</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kern w:val="0"/>
                <w:sz w:val="22"/>
                <w:szCs w:val="22"/>
                <w:lang w:bidi="ar"/>
              </w:rPr>
              <w:t>1.0%</w:t>
            </w:r>
          </w:p>
        </w:tc>
      </w:tr>
      <w:tr>
        <w:tblPrEx>
          <w:tblCellMar>
            <w:top w:w="11" w:type="dxa"/>
            <w:left w:w="17" w:type="dxa"/>
            <w:bottom w:w="11" w:type="dxa"/>
            <w:right w:w="17" w:type="dxa"/>
          </w:tblCellMar>
        </w:tblPrEx>
        <w:trPr>
          <w:trHeight w:val="502"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1"/>
                <w:szCs w:val="21"/>
              </w:rPr>
            </w:pPr>
            <w:r>
              <w:rPr>
                <w:rFonts w:hint="eastAsia" w:ascii="宋体" w:hAnsi="宋体" w:cs="宋体"/>
                <w:color w:val="000000"/>
                <w:kern w:val="0"/>
                <w:sz w:val="21"/>
                <w:szCs w:val="21"/>
                <w:lang w:bidi="ar"/>
              </w:rPr>
              <w:t>江西</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6</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kern w:val="0"/>
                <w:sz w:val="22"/>
                <w:szCs w:val="22"/>
                <w:lang w:bidi="ar"/>
              </w:rPr>
              <w:t>0.7%</w:t>
            </w:r>
          </w:p>
        </w:tc>
      </w:tr>
      <w:tr>
        <w:tblPrEx>
          <w:tblCellMar>
            <w:top w:w="11" w:type="dxa"/>
            <w:left w:w="17" w:type="dxa"/>
            <w:bottom w:w="11" w:type="dxa"/>
            <w:right w:w="17" w:type="dxa"/>
          </w:tblCellMar>
        </w:tblPrEx>
        <w:trPr>
          <w:trHeight w:val="528"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1"/>
                <w:szCs w:val="21"/>
              </w:rPr>
            </w:pPr>
            <w:r>
              <w:rPr>
                <w:rFonts w:hint="eastAsia" w:ascii="宋体" w:hAnsi="宋体" w:cs="宋体"/>
                <w:color w:val="000000"/>
                <w:kern w:val="0"/>
                <w:sz w:val="21"/>
                <w:szCs w:val="21"/>
                <w:lang w:bidi="ar"/>
              </w:rPr>
              <w:t>河南</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color w:val="000000"/>
                <w:kern w:val="0"/>
                <w:sz w:val="24"/>
                <w:szCs w:val="24"/>
                <w:lang w:bidi="ar"/>
              </w:rPr>
              <w:t>5</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kern w:val="0"/>
                <w:sz w:val="22"/>
                <w:szCs w:val="22"/>
                <w:lang w:bidi="ar"/>
              </w:rPr>
              <w:t>0.6%</w:t>
            </w:r>
          </w:p>
        </w:tc>
      </w:tr>
      <w:tr>
        <w:tblPrEx>
          <w:tblCellMar>
            <w:top w:w="11" w:type="dxa"/>
            <w:left w:w="17" w:type="dxa"/>
            <w:bottom w:w="11" w:type="dxa"/>
            <w:right w:w="17" w:type="dxa"/>
          </w:tblCellMar>
        </w:tblPrEx>
        <w:trPr>
          <w:trHeight w:val="543"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kern w:val="0"/>
                <w:sz w:val="21"/>
                <w:szCs w:val="21"/>
                <w:lang w:bidi="ar"/>
              </w:rPr>
            </w:pPr>
            <w:r>
              <w:rPr>
                <w:rFonts w:hint="eastAsia" w:ascii="宋体" w:hAnsi="宋体" w:cs="宋体"/>
                <w:color w:val="000000"/>
                <w:kern w:val="0"/>
                <w:sz w:val="21"/>
                <w:szCs w:val="21"/>
                <w:lang w:bidi="ar"/>
              </w:rPr>
              <w:t>山东</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color w:val="000000"/>
                <w:kern w:val="0"/>
                <w:sz w:val="24"/>
                <w:szCs w:val="24"/>
                <w:lang w:bidi="ar"/>
              </w:rPr>
              <w:t>2</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kern w:val="0"/>
                <w:sz w:val="22"/>
                <w:szCs w:val="22"/>
                <w:lang w:bidi="ar"/>
              </w:rPr>
            </w:pPr>
            <w:r>
              <w:rPr>
                <w:rFonts w:hint="eastAsia" w:ascii="宋体" w:hAnsi="宋体" w:cs="宋体"/>
                <w:kern w:val="0"/>
                <w:sz w:val="22"/>
                <w:szCs w:val="22"/>
                <w:lang w:bidi="ar"/>
              </w:rPr>
              <w:t>0.3%</w:t>
            </w:r>
          </w:p>
        </w:tc>
      </w:tr>
      <w:tr>
        <w:tblPrEx>
          <w:tblCellMar>
            <w:top w:w="11" w:type="dxa"/>
            <w:left w:w="17" w:type="dxa"/>
            <w:bottom w:w="11" w:type="dxa"/>
            <w:right w:w="17" w:type="dxa"/>
          </w:tblCellMar>
        </w:tblPrEx>
        <w:trPr>
          <w:trHeight w:val="492" w:hRule="exact"/>
          <w:jc w:val="center"/>
        </w:trPr>
        <w:tc>
          <w:tcPr>
            <w:tcW w:w="2376" w:type="dxa"/>
            <w:tcBorders>
              <w:top w:val="single" w:color="000000" w:sz="4" w:space="0"/>
              <w:left w:val="single" w:color="000000" w:sz="18"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kern w:val="0"/>
                <w:sz w:val="21"/>
                <w:szCs w:val="21"/>
                <w:lang w:bidi="ar"/>
              </w:rPr>
            </w:pPr>
            <w:r>
              <w:rPr>
                <w:rFonts w:hint="eastAsia" w:ascii="宋体" w:hAnsi="宋体" w:cs="宋体"/>
                <w:color w:val="000000"/>
                <w:kern w:val="0"/>
                <w:sz w:val="21"/>
                <w:szCs w:val="21"/>
                <w:lang w:bidi="ar"/>
              </w:rPr>
              <w:t>四川</w:t>
            </w:r>
          </w:p>
        </w:tc>
        <w:tc>
          <w:tcPr>
            <w:tcW w:w="2384" w:type="dxa"/>
            <w:tcBorders>
              <w:top w:val="single" w:color="000000" w:sz="4" w:space="0"/>
              <w:left w:val="single" w:color="000000" w:sz="4" w:space="0"/>
              <w:bottom w:val="single" w:color="000000" w:sz="4"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sz w:val="22"/>
                <w:szCs w:val="22"/>
              </w:rPr>
            </w:pPr>
            <w:r>
              <w:rPr>
                <w:rFonts w:hint="eastAsia" w:ascii="宋体" w:hAnsi="宋体" w:cs="宋体"/>
                <w:color w:val="000000"/>
                <w:kern w:val="0"/>
                <w:sz w:val="24"/>
                <w:szCs w:val="24"/>
                <w:lang w:bidi="ar"/>
              </w:rPr>
              <w:t>1</w:t>
            </w:r>
          </w:p>
        </w:tc>
        <w:tc>
          <w:tcPr>
            <w:tcW w:w="3339" w:type="dxa"/>
            <w:tcBorders>
              <w:top w:val="single" w:color="000000" w:sz="4" w:space="0"/>
              <w:left w:val="single" w:color="000000" w:sz="4" w:space="0"/>
              <w:bottom w:val="single" w:color="000000" w:sz="4"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kern w:val="0"/>
                <w:sz w:val="22"/>
                <w:szCs w:val="22"/>
                <w:lang w:bidi="ar"/>
              </w:rPr>
            </w:pPr>
            <w:r>
              <w:rPr>
                <w:rFonts w:hint="eastAsia" w:ascii="宋体" w:hAnsi="宋体" w:cs="宋体"/>
                <w:kern w:val="0"/>
                <w:sz w:val="22"/>
                <w:szCs w:val="22"/>
                <w:lang w:bidi="ar"/>
              </w:rPr>
              <w:t>0.1%</w:t>
            </w:r>
          </w:p>
        </w:tc>
      </w:tr>
      <w:tr>
        <w:tblPrEx>
          <w:tblCellMar>
            <w:top w:w="11" w:type="dxa"/>
            <w:left w:w="17" w:type="dxa"/>
            <w:bottom w:w="11" w:type="dxa"/>
            <w:right w:w="17" w:type="dxa"/>
          </w:tblCellMar>
        </w:tblPrEx>
        <w:trPr>
          <w:trHeight w:val="448" w:hRule="exact"/>
          <w:jc w:val="center"/>
        </w:trPr>
        <w:tc>
          <w:tcPr>
            <w:tcW w:w="2376" w:type="dxa"/>
            <w:tcBorders>
              <w:top w:val="single" w:color="000000" w:sz="4" w:space="0"/>
              <w:left w:val="single" w:color="000000" w:sz="18" w:space="0"/>
              <w:bottom w:val="single" w:color="000000" w:sz="18"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hint="eastAsia" w:ascii="宋体" w:hAnsi="宋体" w:cs="宋体"/>
                <w:b/>
                <w:sz w:val="21"/>
                <w:szCs w:val="21"/>
              </w:rPr>
            </w:pPr>
            <w:r>
              <w:rPr>
                <w:rFonts w:hint="eastAsia" w:ascii="宋体" w:hAnsi="宋体" w:cs="宋体"/>
                <w:b/>
                <w:bCs/>
                <w:kern w:val="0"/>
                <w:sz w:val="21"/>
                <w:szCs w:val="21"/>
                <w:lang w:bidi="ar"/>
              </w:rPr>
              <w:t>合计</w:t>
            </w:r>
          </w:p>
        </w:tc>
        <w:tc>
          <w:tcPr>
            <w:tcW w:w="2384" w:type="dxa"/>
            <w:tcBorders>
              <w:top w:val="single" w:color="000000" w:sz="4" w:space="0"/>
              <w:left w:val="single" w:color="000000" w:sz="4" w:space="0"/>
              <w:bottom w:val="single" w:color="000000" w:sz="18" w:space="0"/>
              <w:right w:val="single" w:color="000000" w:sz="4"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textAlignment w:val="center"/>
              <w:rPr>
                <w:rFonts w:ascii="宋体" w:hAnsi="宋体" w:cs="宋体"/>
                <w:sz w:val="22"/>
                <w:szCs w:val="22"/>
              </w:rPr>
            </w:pPr>
            <w:r>
              <w:rPr>
                <w:rFonts w:hint="eastAsia" w:ascii="宋体" w:hAnsi="宋体" w:cs="宋体"/>
                <w:sz w:val="24"/>
                <w:szCs w:val="24"/>
              </w:rPr>
              <w:t>852</w:t>
            </w:r>
          </w:p>
        </w:tc>
        <w:tc>
          <w:tcPr>
            <w:tcW w:w="3339" w:type="dxa"/>
            <w:tcBorders>
              <w:top w:val="single" w:color="000000" w:sz="4" w:space="0"/>
              <w:left w:val="single" w:color="000000" w:sz="4" w:space="0"/>
              <w:bottom w:val="single" w:color="000000" w:sz="18" w:space="0"/>
              <w:right w:val="single" w:color="000000" w:sz="18" w:space="0"/>
            </w:tcBorders>
            <w:noWrap w:val="0"/>
            <w:vAlign w:val="center"/>
          </w:tcPr>
          <w:p>
            <w:pPr>
              <w:keepNext w:val="0"/>
              <w:keepLines w:val="0"/>
              <w:pageBreakBefore w:val="0"/>
              <w:widowControl/>
              <w:kinsoku/>
              <w:wordWrap/>
              <w:overflowPunct/>
              <w:topLinePunct w:val="0"/>
              <w:autoSpaceDE/>
              <w:autoSpaceDN/>
              <w:bidi w:val="0"/>
              <w:adjustRightInd/>
              <w:snapToGrid w:val="0"/>
              <w:spacing w:after="0" w:line="240" w:lineRule="auto"/>
              <w:jc w:val="center"/>
              <w:rPr>
                <w:rFonts w:hint="eastAsia" w:ascii="宋体" w:hAnsi="宋体" w:cs="宋体"/>
                <w:sz w:val="22"/>
                <w:szCs w:val="22"/>
              </w:rPr>
            </w:pPr>
            <w:r>
              <w:rPr>
                <w:rFonts w:hint="eastAsia" w:ascii="宋体" w:hAnsi="宋体" w:cs="宋体"/>
                <w:sz w:val="22"/>
                <w:szCs w:val="22"/>
              </w:rPr>
              <w:t>100%</w:t>
            </w:r>
          </w:p>
        </w:tc>
      </w:tr>
    </w:tbl>
    <w:p>
      <w:pPr>
        <w:spacing w:line="0" w:lineRule="atLeast"/>
        <w:jc w:val="center"/>
        <w:rPr>
          <w:rFonts w:hint="eastAsia" w:ascii="仿宋" w:hAnsi="仿宋" w:eastAsia="仿宋" w:cs="仿宋"/>
          <w:b/>
          <w:bCs/>
          <w:sz w:val="32"/>
          <w:szCs w:val="32"/>
        </w:rPr>
      </w:pPr>
      <w:r>
        <w:rPr>
          <w:rFonts w:hint="eastAsia" w:ascii="宋体" w:hAnsi="宋体" w:cs="宋体"/>
          <w:b/>
          <w:bCs/>
          <w:szCs w:val="21"/>
        </w:rPr>
        <w:t>表1-2  2021届毕业生的生源地分布</w:t>
      </w:r>
    </w:p>
    <w:p>
      <w:pPr>
        <w:rPr>
          <w:rFonts w:hint="eastAsia" w:ascii="仿宋" w:hAnsi="仿宋" w:eastAsia="仿宋" w:cs="仿宋"/>
          <w:b/>
          <w:bCs/>
          <w:sz w:val="32"/>
          <w:szCs w:val="32"/>
        </w:rPr>
      </w:pPr>
      <w:r>
        <w:rPr>
          <w:rFonts w:hint="eastAsia" w:ascii="仿宋" w:hAnsi="仿宋" w:eastAsia="仿宋" w:cs="仿宋"/>
          <w:b/>
          <w:bCs/>
          <w:sz w:val="32"/>
          <w:szCs w:val="32"/>
        </w:rPr>
        <w:t>三、就业率</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就业率是反映在校大学生就业情况和社会对学校毕业生需求程度的重要指标和参考依据，根据教育部发布的《教育部办公厅关于进一步加强和完善高校毕业生就业状况统计报告工作的通知》，高校毕业生的就业率的计算公式为：毕业生就业率=（已就业毕业生人数÷毕业生总人数）×100%。</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根据《关于调整全国普通高等学校毕业生就业数据库结构及代码标准的通知》[教学司函（2017）1号]，毕业生总人数=（签就业协议书形式就业+签劳动合同形式就业+其他录用形式就业+科研助理+应征义务兵+国家基层项目+地方基层项目+自主创业+自由职业+升学+出国出境）+（待就业+不就业拟升学+其他暂不就业）。已就业毕业生人数=签就业协议书形式就业+签劳动合同形式就业+其他录用形式就业+科研助理+应征义务兵+国家基层项目+地方基层项目+自主创业+自由职业+升学+出国出境。</w:t>
      </w:r>
      <w:bookmarkStart w:id="10" w:name="_Toc30457"/>
      <w:bookmarkStart w:id="11" w:name="_Toc12075"/>
    </w:p>
    <w:p>
      <w:pPr>
        <w:rPr>
          <w:rFonts w:hint="eastAsia" w:ascii="仿宋" w:hAnsi="仿宋" w:eastAsia="仿宋" w:cs="仿宋"/>
          <w:b/>
          <w:bCs/>
          <w:sz w:val="32"/>
          <w:szCs w:val="32"/>
        </w:rPr>
      </w:pPr>
      <w:r>
        <w:rPr>
          <w:rFonts w:hint="eastAsia" w:ascii="仿宋" w:hAnsi="仿宋" w:eastAsia="仿宋" w:cs="仿宋"/>
          <w:b/>
          <w:bCs/>
          <w:sz w:val="32"/>
          <w:szCs w:val="32"/>
        </w:rPr>
        <w:t>（一）毕业生总体及各专业就业率分析</w:t>
      </w:r>
      <w:bookmarkEnd w:id="10"/>
      <w:bookmarkEnd w:id="11"/>
    </w:p>
    <w:p>
      <w:pPr>
        <w:rPr>
          <w:rFonts w:hint="eastAsia" w:ascii="仿宋" w:hAnsi="仿宋" w:eastAsia="仿宋" w:cs="仿宋"/>
          <w:b/>
          <w:bCs/>
          <w:sz w:val="32"/>
          <w:szCs w:val="32"/>
        </w:rPr>
      </w:pPr>
      <w:bookmarkStart w:id="12" w:name="_Toc9717"/>
      <w:r>
        <w:rPr>
          <w:rFonts w:hint="eastAsia" w:ascii="仿宋" w:hAnsi="仿宋" w:eastAsia="仿宋" w:cs="仿宋"/>
          <w:b/>
          <w:bCs/>
          <w:sz w:val="32"/>
          <w:szCs w:val="32"/>
        </w:rPr>
        <w:t>1.毕业生总体就业率分析</w:t>
      </w:r>
      <w:bookmarkEnd w:id="12"/>
    </w:p>
    <w:p>
      <w:pPr>
        <w:ind w:firstLine="640" w:firstLineChars="200"/>
        <w:rPr>
          <w:rFonts w:hint="eastAsia" w:ascii="仿宋" w:hAnsi="仿宋" w:eastAsia="仿宋" w:cs="仿宋"/>
          <w:sz w:val="32"/>
          <w:szCs w:val="32"/>
        </w:rPr>
      </w:pPr>
      <w:bookmarkStart w:id="13" w:name="_Toc13789"/>
      <w:r>
        <w:rPr>
          <w:rFonts w:hint="eastAsia" w:ascii="仿宋" w:hAnsi="仿宋" w:eastAsia="仿宋" w:cs="仿宋"/>
          <w:sz w:val="32"/>
          <w:szCs w:val="32"/>
        </w:rPr>
        <w:t>截止到2021年8月</w:t>
      </w:r>
      <w:r>
        <w:rPr>
          <w:rFonts w:ascii="仿宋" w:hAnsi="仿宋" w:eastAsia="仿宋" w:cs="仿宋"/>
          <w:sz w:val="32"/>
          <w:szCs w:val="32"/>
        </w:rPr>
        <w:t>31</w:t>
      </w:r>
      <w:r>
        <w:rPr>
          <w:rFonts w:hint="eastAsia" w:ascii="仿宋" w:hAnsi="仿宋" w:eastAsia="仿宋" w:cs="仿宋"/>
          <w:sz w:val="32"/>
          <w:szCs w:val="32"/>
        </w:rPr>
        <w:t>日，我院2021届毕业生的总体就业率为84.04%，未就业比率为15.96%。</w:t>
      </w:r>
    </w:p>
    <w:p>
      <w:pPr>
        <w:rPr>
          <w:rFonts w:hint="eastAsia" w:ascii="仿宋" w:hAnsi="仿宋" w:eastAsia="仿宋" w:cs="仿宋"/>
          <w:b/>
          <w:bCs/>
          <w:sz w:val="32"/>
          <w:szCs w:val="32"/>
        </w:rPr>
      </w:pPr>
      <w:r>
        <w:rPr>
          <w:rFonts w:hint="eastAsia" w:ascii="仿宋" w:hAnsi="仿宋" w:eastAsia="仿宋" w:cs="仿宋"/>
          <w:b/>
          <w:bCs/>
          <w:sz w:val="32"/>
          <w:szCs w:val="32"/>
        </w:rPr>
        <w:t>2.各专业就业率分析</w:t>
      </w:r>
      <w:bookmarkEnd w:id="13"/>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医学相关专业如针灸推拿学就业率今年相对较高，达到98.80%；康复治疗学达到94.29%；</w:t>
      </w:r>
      <w:r>
        <w:rPr>
          <w:rFonts w:hint="eastAsia" w:ascii="仿宋" w:hAnsi="仿宋" w:eastAsia="仿宋" w:cs="仿宋"/>
          <w:sz w:val="32"/>
          <w:szCs w:val="32"/>
          <w:lang w:val="en-US" w:eastAsia="zh-CN"/>
        </w:rPr>
        <w:t>中医学达到90.83%；医学影像技术达到90.00%；</w:t>
      </w:r>
      <w:r>
        <w:rPr>
          <w:rFonts w:hint="eastAsia" w:ascii="仿宋" w:hAnsi="仿宋" w:eastAsia="仿宋" w:cs="仿宋"/>
          <w:sz w:val="32"/>
          <w:szCs w:val="32"/>
        </w:rPr>
        <w:t>药学</w:t>
      </w:r>
      <w:r>
        <w:rPr>
          <w:rFonts w:hint="eastAsia" w:ascii="仿宋" w:hAnsi="仿宋" w:eastAsia="仿宋" w:cs="仿宋"/>
          <w:sz w:val="32"/>
          <w:szCs w:val="32"/>
          <w:lang w:val="en-US" w:eastAsia="zh-CN"/>
        </w:rPr>
        <w:t>、中药</w:t>
      </w:r>
      <w:r>
        <w:rPr>
          <w:rFonts w:hint="eastAsia" w:ascii="仿宋" w:hAnsi="仿宋" w:eastAsia="仿宋" w:cs="仿宋"/>
          <w:sz w:val="32"/>
          <w:szCs w:val="32"/>
        </w:rPr>
        <w:t>学</w:t>
      </w:r>
      <w:r>
        <w:rPr>
          <w:rFonts w:hint="eastAsia" w:ascii="仿宋" w:hAnsi="仿宋" w:eastAsia="仿宋" w:cs="仿宋"/>
          <w:sz w:val="32"/>
          <w:szCs w:val="32"/>
          <w:lang w:val="en-US" w:eastAsia="zh-CN"/>
        </w:rPr>
        <w:t>、市场营销学</w:t>
      </w:r>
      <w:r>
        <w:rPr>
          <w:rFonts w:hint="eastAsia" w:ascii="仿宋" w:hAnsi="仿宋" w:eastAsia="仿宋" w:cs="仿宋"/>
          <w:sz w:val="32"/>
          <w:szCs w:val="32"/>
        </w:rPr>
        <w:t>因人数相对较少，导致就业率相对较低</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护理学</w:t>
      </w:r>
      <w:r>
        <w:rPr>
          <w:rFonts w:hint="eastAsia" w:ascii="仿宋" w:hAnsi="仿宋" w:eastAsia="仿宋" w:cs="仿宋"/>
          <w:sz w:val="32"/>
          <w:szCs w:val="32"/>
        </w:rPr>
        <w:t>毕业生就业期望值较高，导致就业率相对较低</w:t>
      </w:r>
      <w:r>
        <w:rPr>
          <w:rFonts w:hint="eastAsia" w:ascii="仿宋" w:hAnsi="仿宋" w:eastAsia="仿宋" w:cs="仿宋"/>
          <w:sz w:val="32"/>
          <w:szCs w:val="32"/>
          <w:lang w:eastAsia="zh-CN"/>
        </w:rPr>
        <w:t>。</w:t>
      </w:r>
      <w:r>
        <w:rPr>
          <w:rFonts w:hint="eastAsia" w:ascii="仿宋" w:hAnsi="仿宋" w:eastAsia="仿宋" w:cs="仿宋"/>
          <w:sz w:val="32"/>
          <w:szCs w:val="32"/>
          <w:lang w:val="en-US" w:eastAsia="zh-CN"/>
        </w:rPr>
        <w:t>各专业</w:t>
      </w:r>
      <w:r>
        <w:rPr>
          <w:rFonts w:hint="eastAsia" w:ascii="仿宋" w:hAnsi="仿宋" w:eastAsia="仿宋" w:cs="仿宋"/>
          <w:sz w:val="32"/>
          <w:szCs w:val="32"/>
        </w:rPr>
        <w:t>就业率</w:t>
      </w:r>
      <w:r>
        <w:rPr>
          <w:rFonts w:hint="eastAsia" w:ascii="仿宋" w:hAnsi="仿宋" w:eastAsia="仿宋" w:cs="仿宋"/>
          <w:sz w:val="32"/>
          <w:szCs w:val="32"/>
          <w:lang w:val="en-US" w:eastAsia="zh-CN"/>
        </w:rPr>
        <w:t>如图1-2所示。</w:t>
      </w:r>
    </w:p>
    <w:p>
      <w:pPr>
        <w:jc w:val="center"/>
        <w:rPr>
          <w:rFonts w:hint="eastAsia" w:ascii="宋体" w:hAnsi="宋体" w:cs="宋体"/>
          <w:b/>
          <w:bCs/>
          <w:szCs w:val="21"/>
        </w:rPr>
      </w:pPr>
      <w:r>
        <w:rPr>
          <w:rFonts w:hint="eastAsia" w:ascii="仿宋" w:hAnsi="仿宋" w:eastAsia="仿宋" w:cs="仿宋"/>
          <w:sz w:val="32"/>
          <w:szCs w:val="32"/>
        </w:rPr>
        <w:pict>
          <v:shape id="Object 5" o:spid="_x0000_s1029" o:spt="75" type="#_x0000_t75" style="position:absolute;left:0pt;margin-left:-5.8pt;margin-top:5.2pt;height:165.25pt;width:486.1pt;mso-wrap-distance-bottom:0pt;mso-wrap-distance-left:9pt;mso-wrap-distance-right:9pt;mso-wrap-distance-top:0pt;z-index:251660288;mso-width-relative:page;mso-height-relative:page;" o:ole="t" filled="f" o:preferrelative="t" stroked="f" coordsize="21600,21600">
            <v:path/>
            <v:fill on="f" focussize="0,0"/>
            <v:stroke on="f"/>
            <v:imagedata r:id="rId13" o:title=""/>
            <o:lock v:ext="edit" aspectratio="t"/>
            <w10:wrap type="square"/>
          </v:shape>
          <o:OLEObject Type="Embed" ProgID="Excel.Chart.8" ShapeID="Object 5" DrawAspect="Content" ObjectID="_1468075726" r:id="rId12">
            <o:LockedField>false</o:LockedField>
          </o:OLEObject>
        </w:pict>
      </w:r>
      <w:r>
        <w:rPr>
          <w:rFonts w:hint="eastAsia" w:ascii="宋体" w:hAnsi="宋体" w:cs="宋体"/>
          <w:b/>
          <w:bCs/>
          <w:szCs w:val="21"/>
        </w:rPr>
        <w:t>图1-</w:t>
      </w:r>
      <w:r>
        <w:rPr>
          <w:rFonts w:hint="eastAsia" w:ascii="宋体" w:hAnsi="宋体" w:cs="宋体"/>
          <w:b/>
          <w:bCs/>
          <w:szCs w:val="21"/>
          <w:lang w:val="en-US" w:eastAsia="zh-CN"/>
        </w:rPr>
        <w:t>2</w:t>
      </w:r>
      <w:r>
        <w:rPr>
          <w:rFonts w:hint="eastAsia" w:ascii="宋体" w:hAnsi="宋体" w:cs="宋体"/>
          <w:b/>
          <w:bCs/>
          <w:szCs w:val="21"/>
        </w:rPr>
        <w:t xml:space="preserve">  2021届毕业生各专业就业率分布</w:t>
      </w:r>
      <w:bookmarkStart w:id="14" w:name="_Toc31603"/>
      <w:bookmarkStart w:id="15" w:name="_Toc13440"/>
    </w:p>
    <w:p>
      <w:pPr>
        <w:rPr>
          <w:rFonts w:hint="eastAsia" w:ascii="仿宋" w:hAnsi="仿宋" w:eastAsia="仿宋" w:cs="仿宋"/>
          <w:b/>
          <w:bCs/>
          <w:sz w:val="32"/>
          <w:szCs w:val="32"/>
        </w:rPr>
      </w:pPr>
    </w:p>
    <w:p>
      <w:pPr>
        <w:rPr>
          <w:rFonts w:hint="eastAsia" w:ascii="仿宋" w:hAnsi="仿宋" w:eastAsia="仿宋" w:cs="仿宋"/>
          <w:b/>
          <w:bCs/>
          <w:sz w:val="32"/>
          <w:szCs w:val="32"/>
        </w:rPr>
      </w:pPr>
      <w:r>
        <w:rPr>
          <w:rFonts w:hint="eastAsia" w:ascii="仿宋" w:hAnsi="仿宋" w:eastAsia="仿宋" w:cs="仿宋"/>
          <w:b/>
          <w:bCs/>
          <w:sz w:val="32"/>
          <w:szCs w:val="32"/>
        </w:rPr>
        <w:t>（二）不同特征群体毕业生的就业率比较分析</w:t>
      </w:r>
      <w:bookmarkEnd w:id="14"/>
      <w:bookmarkEnd w:id="15"/>
    </w:p>
    <w:p>
      <w:pPr>
        <w:rPr>
          <w:rFonts w:hint="eastAsia" w:ascii="仿宋" w:hAnsi="仿宋" w:eastAsia="仿宋" w:cs="仿宋"/>
          <w:b/>
          <w:bCs/>
          <w:sz w:val="32"/>
          <w:szCs w:val="32"/>
        </w:rPr>
      </w:pPr>
      <w:bookmarkStart w:id="16" w:name="_Toc24247"/>
      <w:r>
        <w:rPr>
          <w:rFonts w:hint="eastAsia" w:ascii="仿宋" w:hAnsi="仿宋" w:eastAsia="仿宋" w:cs="仿宋"/>
          <w:b/>
          <w:bCs/>
          <w:sz w:val="32"/>
          <w:szCs w:val="32"/>
        </w:rPr>
        <w:t>1.男/女毕业生专业就业率对比分析</w:t>
      </w:r>
      <w:bookmarkEnd w:id="16"/>
    </w:p>
    <w:p>
      <w:pPr>
        <w:pStyle w:val="3"/>
        <w:ind w:left="0" w:leftChars="0"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我院2021届毕业生中，女生就业率总体高于男生就业率，女生就业率为84.17%，男生为83.73%。各专业男女生就业率具体分布如下图所示，应用心理学、生物工程、制药工程、中医学、针灸推拿学、中西医临床医学、中药学、护理学专业女生就业率高于男生，而药学、康复治疗、药物制剂、市场营销专业就业率男生高于女生。</w:t>
      </w:r>
      <w:r>
        <w:rPr>
          <w:rFonts w:hint="eastAsia" w:ascii="仿宋" w:hAnsi="仿宋" w:eastAsia="仿宋" w:cs="仿宋"/>
          <w:sz w:val="32"/>
          <w:szCs w:val="32"/>
          <w:lang w:val="en-US" w:eastAsia="zh-CN"/>
        </w:rPr>
        <w:t>如图1-3所示。</w:t>
      </w:r>
    </w:p>
    <w:p>
      <w:pPr>
        <w:jc w:val="center"/>
        <w:rPr>
          <w:rFonts w:hint="eastAsia" w:ascii="宋体" w:hAnsi="宋体" w:cs="宋体"/>
          <w:b/>
          <w:bCs/>
          <w:szCs w:val="21"/>
        </w:rPr>
      </w:pPr>
      <w:r>
        <w:rPr>
          <w:rFonts w:hint="eastAsia" w:eastAsia="仿宋"/>
          <w:lang w:eastAsia="zh-CN"/>
        </w:rPr>
        <w:object>
          <v:shape id="_x0000_i1025" o:spt="75" type="#_x0000_t75" style="height:242.4pt;width:462pt;" o:ole="t" filled="f" o:preferrelative="t" stroked="f" coordsize="21600,21600">
            <v:path/>
            <v:fill on="f" focussize="0,0"/>
            <v:stroke on="f"/>
            <v:imagedata r:id="rId15" o:title=""/>
            <o:lock v:ext="edit" aspectratio="t"/>
            <w10:wrap type="none"/>
            <w10:anchorlock/>
          </v:shape>
          <o:OLEObject Type="Embed" ProgID="Excel.Chart.8" ShapeID="_x0000_i1025" DrawAspect="Content" ObjectID="_1468075727" r:id="rId14">
            <o:LockedField>false</o:LockedField>
          </o:OLEObject>
        </w:object>
      </w:r>
      <w:r>
        <w:rPr>
          <w:rFonts w:hint="eastAsia" w:ascii="宋体" w:hAnsi="宋体" w:cs="宋体"/>
          <w:b/>
          <w:bCs/>
          <w:szCs w:val="21"/>
        </w:rPr>
        <w:t>图1-</w:t>
      </w:r>
      <w:r>
        <w:rPr>
          <w:rFonts w:hint="eastAsia" w:ascii="宋体" w:hAnsi="宋体" w:cs="宋体"/>
          <w:b/>
          <w:bCs/>
          <w:szCs w:val="21"/>
          <w:lang w:val="en-US" w:eastAsia="zh-CN"/>
        </w:rPr>
        <w:t>3</w:t>
      </w:r>
      <w:r>
        <w:rPr>
          <w:rFonts w:hint="eastAsia" w:ascii="宋体" w:hAnsi="宋体" w:cs="宋体"/>
          <w:b/>
          <w:bCs/>
          <w:szCs w:val="21"/>
        </w:rPr>
        <w:t xml:space="preserve">  2021届毕业生各专业就业率对比</w:t>
      </w:r>
    </w:p>
    <w:p>
      <w:pPr>
        <w:rPr>
          <w:rFonts w:hint="eastAsia" w:ascii="仿宋" w:hAnsi="仿宋" w:eastAsia="仿宋" w:cs="仿宋"/>
          <w:b/>
          <w:bCs/>
          <w:sz w:val="32"/>
          <w:szCs w:val="32"/>
        </w:rPr>
      </w:pPr>
      <w:bookmarkStart w:id="17" w:name="_Toc6688"/>
      <w:r>
        <w:rPr>
          <w:rFonts w:hint="eastAsia" w:ascii="仿宋" w:hAnsi="仿宋" w:eastAsia="仿宋" w:cs="仿宋"/>
          <w:b/>
          <w:bCs/>
          <w:sz w:val="32"/>
          <w:szCs w:val="32"/>
        </w:rPr>
        <w:t>2.本/外地生源毕业生的就业率对比分析</w:t>
      </w:r>
      <w:bookmarkEnd w:id="17"/>
    </w:p>
    <w:p>
      <w:pPr>
        <w:ind w:firstLine="640" w:firstLineChars="200"/>
        <w:rPr>
          <w:rFonts w:hint="eastAsia" w:ascii="仿宋" w:hAnsi="仿宋" w:eastAsia="仿宋" w:cs="仿宋"/>
          <w:sz w:val="32"/>
          <w:szCs w:val="32"/>
        </w:rPr>
      </w:pPr>
      <w:r>
        <w:rPr>
          <w:rFonts w:hint="eastAsia" w:ascii="仿宋" w:hAnsi="仿宋" w:eastAsia="仿宋" w:cs="仿宋"/>
          <w:sz w:val="32"/>
          <w:szCs w:val="32"/>
        </w:rPr>
        <w:t>我院2021届毕业生中，毕业总人数852人，实际毕业人数834人。本地（湖南省）生源毕业生的就业率为82.95%同比2020届上升了1.95%，外地生源毕业生的就业率为91.59%。其中，外地生源按照生源地统计就业人数及具体百分比，详见下表1-</w:t>
      </w:r>
      <w:r>
        <w:rPr>
          <w:rFonts w:hint="eastAsia" w:ascii="仿宋" w:hAnsi="仿宋" w:eastAsia="仿宋" w:cs="仿宋"/>
          <w:sz w:val="32"/>
          <w:szCs w:val="32"/>
          <w:lang w:val="en-US" w:eastAsia="zh-CN"/>
        </w:rPr>
        <w:t>3</w:t>
      </w:r>
      <w:r>
        <w:rPr>
          <w:rFonts w:hint="eastAsia" w:ascii="仿宋" w:hAnsi="仿宋" w:eastAsia="仿宋" w:cs="仿宋"/>
          <w:sz w:val="32"/>
          <w:szCs w:val="32"/>
        </w:rPr>
        <w:t>。</w:t>
      </w:r>
    </w:p>
    <w:tbl>
      <w:tblPr>
        <w:tblStyle w:val="16"/>
        <w:tblW w:w="0" w:type="auto"/>
        <w:jc w:val="center"/>
        <w:tblLayout w:type="fixed"/>
        <w:tblCellMar>
          <w:top w:w="15" w:type="dxa"/>
          <w:left w:w="15" w:type="dxa"/>
          <w:bottom w:w="15" w:type="dxa"/>
          <w:right w:w="15" w:type="dxa"/>
        </w:tblCellMar>
      </w:tblPr>
      <w:tblGrid>
        <w:gridCol w:w="1350"/>
        <w:gridCol w:w="2878"/>
        <w:gridCol w:w="1746"/>
        <w:gridCol w:w="1623"/>
      </w:tblGrid>
      <w:tr>
        <w:tblPrEx>
          <w:tblCellMar>
            <w:top w:w="15" w:type="dxa"/>
            <w:left w:w="15" w:type="dxa"/>
            <w:bottom w:w="15" w:type="dxa"/>
            <w:right w:w="15" w:type="dxa"/>
          </w:tblCellMar>
        </w:tblPrEx>
        <w:trPr>
          <w:trHeight w:val="416" w:hRule="atLeast"/>
          <w:jc w:val="center"/>
        </w:trPr>
        <w:tc>
          <w:tcPr>
            <w:tcW w:w="1350" w:type="dxa"/>
            <w:tcBorders>
              <w:bottom w:val="single" w:color="000000" w:sz="18" w:space="0"/>
            </w:tcBorders>
            <w:noWrap w:val="0"/>
            <w:vAlign w:val="center"/>
          </w:tcPr>
          <w:p>
            <w:pPr>
              <w:widowControl/>
              <w:spacing w:after="0"/>
              <w:jc w:val="center"/>
              <w:textAlignment w:val="center"/>
              <w:rPr>
                <w:rFonts w:hint="eastAsia" w:ascii="宋体" w:hAnsi="宋体" w:cs="宋体"/>
                <w:sz w:val="24"/>
                <w:szCs w:val="24"/>
              </w:rPr>
            </w:pPr>
            <w:bookmarkStart w:id="18" w:name="_Toc29802"/>
            <w:r>
              <w:rPr>
                <w:rFonts w:hint="eastAsia" w:ascii="宋体" w:hAnsi="宋体" w:cs="宋体"/>
                <w:kern w:val="0"/>
                <w:sz w:val="24"/>
                <w:szCs w:val="24"/>
                <w:lang w:bidi="ar"/>
              </w:rPr>
              <w:t>生源省份</w:t>
            </w:r>
          </w:p>
        </w:tc>
        <w:tc>
          <w:tcPr>
            <w:tcW w:w="2878" w:type="dxa"/>
            <w:tcBorders>
              <w:bottom w:val="single" w:color="000000" w:sz="18" w:space="0"/>
            </w:tcBorders>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实际毕业总人数</w:t>
            </w:r>
          </w:p>
        </w:tc>
        <w:tc>
          <w:tcPr>
            <w:tcW w:w="1746" w:type="dxa"/>
            <w:tcBorders>
              <w:bottom w:val="single" w:color="000000" w:sz="18" w:space="0"/>
            </w:tcBorders>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就业人数</w:t>
            </w:r>
          </w:p>
        </w:tc>
        <w:tc>
          <w:tcPr>
            <w:tcW w:w="1623" w:type="dxa"/>
            <w:tcBorders>
              <w:bottom w:val="single" w:color="000000" w:sz="18" w:space="0"/>
            </w:tcBorders>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就业率</w:t>
            </w:r>
          </w:p>
        </w:tc>
      </w:tr>
      <w:tr>
        <w:tblPrEx>
          <w:tblCellMar>
            <w:top w:w="15" w:type="dxa"/>
            <w:left w:w="15" w:type="dxa"/>
            <w:bottom w:w="15" w:type="dxa"/>
            <w:right w:w="15" w:type="dxa"/>
          </w:tblCellMar>
        </w:tblPrEx>
        <w:trPr>
          <w:trHeight w:val="516" w:hRule="atLeast"/>
          <w:jc w:val="center"/>
        </w:trPr>
        <w:tc>
          <w:tcPr>
            <w:tcW w:w="1350"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湖南</w:t>
            </w:r>
          </w:p>
        </w:tc>
        <w:tc>
          <w:tcPr>
            <w:tcW w:w="2878" w:type="dxa"/>
            <w:noWrap w:val="0"/>
            <w:vAlign w:val="center"/>
          </w:tcPr>
          <w:p>
            <w:pPr>
              <w:widowControl/>
              <w:spacing w:after="0"/>
              <w:jc w:val="center"/>
              <w:textAlignment w:val="center"/>
              <w:rPr>
                <w:rFonts w:ascii="宋体" w:hAnsi="宋体" w:cs="宋体"/>
                <w:sz w:val="24"/>
                <w:szCs w:val="24"/>
              </w:rPr>
            </w:pPr>
            <w:r>
              <w:rPr>
                <w:rFonts w:hint="eastAsia" w:ascii="宋体" w:hAnsi="宋体" w:cs="宋体"/>
                <w:kern w:val="0"/>
                <w:sz w:val="24"/>
                <w:szCs w:val="24"/>
                <w:lang w:bidi="ar"/>
              </w:rPr>
              <w:t>745</w:t>
            </w:r>
          </w:p>
        </w:tc>
        <w:tc>
          <w:tcPr>
            <w:tcW w:w="1746"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618</w:t>
            </w:r>
          </w:p>
        </w:tc>
        <w:tc>
          <w:tcPr>
            <w:tcW w:w="1623"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82.95%</w:t>
            </w:r>
          </w:p>
        </w:tc>
      </w:tr>
      <w:tr>
        <w:tblPrEx>
          <w:tblCellMar>
            <w:top w:w="15" w:type="dxa"/>
            <w:left w:w="15" w:type="dxa"/>
            <w:bottom w:w="15" w:type="dxa"/>
            <w:right w:w="15" w:type="dxa"/>
          </w:tblCellMar>
        </w:tblPrEx>
        <w:trPr>
          <w:trHeight w:val="416" w:hRule="atLeast"/>
          <w:jc w:val="center"/>
        </w:trPr>
        <w:tc>
          <w:tcPr>
            <w:tcW w:w="1350"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广东</w:t>
            </w:r>
          </w:p>
        </w:tc>
        <w:tc>
          <w:tcPr>
            <w:tcW w:w="2878"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10</w:t>
            </w:r>
          </w:p>
        </w:tc>
        <w:tc>
          <w:tcPr>
            <w:tcW w:w="1746"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10</w:t>
            </w:r>
          </w:p>
        </w:tc>
        <w:tc>
          <w:tcPr>
            <w:tcW w:w="1623"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100.00%</w:t>
            </w:r>
          </w:p>
        </w:tc>
      </w:tr>
      <w:tr>
        <w:tblPrEx>
          <w:tblCellMar>
            <w:top w:w="15" w:type="dxa"/>
            <w:left w:w="15" w:type="dxa"/>
            <w:bottom w:w="15" w:type="dxa"/>
            <w:right w:w="15" w:type="dxa"/>
          </w:tblCellMar>
        </w:tblPrEx>
        <w:trPr>
          <w:trHeight w:val="416" w:hRule="atLeast"/>
          <w:jc w:val="center"/>
        </w:trPr>
        <w:tc>
          <w:tcPr>
            <w:tcW w:w="1350"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新疆</w:t>
            </w:r>
          </w:p>
        </w:tc>
        <w:tc>
          <w:tcPr>
            <w:tcW w:w="2878"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12</w:t>
            </w:r>
          </w:p>
        </w:tc>
        <w:tc>
          <w:tcPr>
            <w:tcW w:w="1746"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10</w:t>
            </w:r>
          </w:p>
        </w:tc>
        <w:tc>
          <w:tcPr>
            <w:tcW w:w="1623"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83.33%</w:t>
            </w:r>
          </w:p>
        </w:tc>
      </w:tr>
      <w:tr>
        <w:tblPrEx>
          <w:tblCellMar>
            <w:top w:w="15" w:type="dxa"/>
            <w:left w:w="15" w:type="dxa"/>
            <w:bottom w:w="15" w:type="dxa"/>
            <w:right w:w="15" w:type="dxa"/>
          </w:tblCellMar>
        </w:tblPrEx>
        <w:trPr>
          <w:trHeight w:val="416" w:hRule="atLeast"/>
          <w:jc w:val="center"/>
        </w:trPr>
        <w:tc>
          <w:tcPr>
            <w:tcW w:w="1350"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浙江</w:t>
            </w:r>
          </w:p>
        </w:tc>
        <w:tc>
          <w:tcPr>
            <w:tcW w:w="2878"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17</w:t>
            </w:r>
          </w:p>
        </w:tc>
        <w:tc>
          <w:tcPr>
            <w:tcW w:w="1746"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16</w:t>
            </w:r>
          </w:p>
        </w:tc>
        <w:tc>
          <w:tcPr>
            <w:tcW w:w="1623"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94.12%</w:t>
            </w:r>
          </w:p>
        </w:tc>
      </w:tr>
      <w:tr>
        <w:tblPrEx>
          <w:tblCellMar>
            <w:top w:w="15" w:type="dxa"/>
            <w:left w:w="15" w:type="dxa"/>
            <w:bottom w:w="15" w:type="dxa"/>
            <w:right w:w="15" w:type="dxa"/>
          </w:tblCellMar>
        </w:tblPrEx>
        <w:trPr>
          <w:trHeight w:val="416" w:hRule="atLeast"/>
          <w:jc w:val="center"/>
        </w:trPr>
        <w:tc>
          <w:tcPr>
            <w:tcW w:w="1350"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广西</w:t>
            </w:r>
          </w:p>
        </w:tc>
        <w:tc>
          <w:tcPr>
            <w:tcW w:w="2878"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11</w:t>
            </w:r>
          </w:p>
        </w:tc>
        <w:tc>
          <w:tcPr>
            <w:tcW w:w="1746"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9</w:t>
            </w:r>
          </w:p>
        </w:tc>
        <w:tc>
          <w:tcPr>
            <w:tcW w:w="1623"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81.82%</w:t>
            </w:r>
          </w:p>
        </w:tc>
      </w:tr>
      <w:tr>
        <w:tblPrEx>
          <w:tblCellMar>
            <w:top w:w="15" w:type="dxa"/>
            <w:left w:w="15" w:type="dxa"/>
            <w:bottom w:w="15" w:type="dxa"/>
            <w:right w:w="15" w:type="dxa"/>
          </w:tblCellMar>
        </w:tblPrEx>
        <w:trPr>
          <w:trHeight w:val="416" w:hRule="atLeast"/>
          <w:jc w:val="center"/>
        </w:trPr>
        <w:tc>
          <w:tcPr>
            <w:tcW w:w="1350"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福建</w:t>
            </w:r>
          </w:p>
        </w:tc>
        <w:tc>
          <w:tcPr>
            <w:tcW w:w="2878"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12</w:t>
            </w:r>
          </w:p>
        </w:tc>
        <w:tc>
          <w:tcPr>
            <w:tcW w:w="1746"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11</w:t>
            </w:r>
          </w:p>
        </w:tc>
        <w:tc>
          <w:tcPr>
            <w:tcW w:w="1623"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91.67%</w:t>
            </w:r>
          </w:p>
        </w:tc>
      </w:tr>
      <w:tr>
        <w:tblPrEx>
          <w:tblCellMar>
            <w:top w:w="15" w:type="dxa"/>
            <w:left w:w="15" w:type="dxa"/>
            <w:bottom w:w="15" w:type="dxa"/>
            <w:right w:w="15" w:type="dxa"/>
          </w:tblCellMar>
        </w:tblPrEx>
        <w:trPr>
          <w:trHeight w:val="416" w:hRule="atLeast"/>
          <w:jc w:val="center"/>
        </w:trPr>
        <w:tc>
          <w:tcPr>
            <w:tcW w:w="1350"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江西</w:t>
            </w:r>
          </w:p>
        </w:tc>
        <w:tc>
          <w:tcPr>
            <w:tcW w:w="2878"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6</w:t>
            </w:r>
          </w:p>
        </w:tc>
        <w:tc>
          <w:tcPr>
            <w:tcW w:w="1746"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6</w:t>
            </w:r>
          </w:p>
        </w:tc>
        <w:tc>
          <w:tcPr>
            <w:tcW w:w="1623"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100.00%</w:t>
            </w:r>
          </w:p>
        </w:tc>
      </w:tr>
      <w:tr>
        <w:tblPrEx>
          <w:tblCellMar>
            <w:top w:w="15" w:type="dxa"/>
            <w:left w:w="15" w:type="dxa"/>
            <w:bottom w:w="15" w:type="dxa"/>
            <w:right w:w="15" w:type="dxa"/>
          </w:tblCellMar>
        </w:tblPrEx>
        <w:trPr>
          <w:trHeight w:val="416" w:hRule="atLeast"/>
          <w:jc w:val="center"/>
        </w:trPr>
        <w:tc>
          <w:tcPr>
            <w:tcW w:w="1350"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安徽</w:t>
            </w:r>
          </w:p>
        </w:tc>
        <w:tc>
          <w:tcPr>
            <w:tcW w:w="2878"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12</w:t>
            </w:r>
          </w:p>
        </w:tc>
        <w:tc>
          <w:tcPr>
            <w:tcW w:w="1746"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11</w:t>
            </w:r>
          </w:p>
        </w:tc>
        <w:tc>
          <w:tcPr>
            <w:tcW w:w="1623"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91.67%</w:t>
            </w:r>
          </w:p>
        </w:tc>
      </w:tr>
      <w:tr>
        <w:tblPrEx>
          <w:tblCellMar>
            <w:top w:w="15" w:type="dxa"/>
            <w:left w:w="15" w:type="dxa"/>
            <w:bottom w:w="15" w:type="dxa"/>
            <w:right w:w="15" w:type="dxa"/>
          </w:tblCellMar>
        </w:tblPrEx>
        <w:trPr>
          <w:trHeight w:val="416" w:hRule="atLeast"/>
          <w:jc w:val="center"/>
        </w:trPr>
        <w:tc>
          <w:tcPr>
            <w:tcW w:w="1350"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湖北</w:t>
            </w:r>
          </w:p>
        </w:tc>
        <w:tc>
          <w:tcPr>
            <w:tcW w:w="2878"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10</w:t>
            </w:r>
          </w:p>
        </w:tc>
        <w:tc>
          <w:tcPr>
            <w:tcW w:w="1746" w:type="dxa"/>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10</w:t>
            </w:r>
          </w:p>
        </w:tc>
        <w:tc>
          <w:tcPr>
            <w:tcW w:w="1623" w:type="dxa"/>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100.00%</w:t>
            </w:r>
          </w:p>
        </w:tc>
      </w:tr>
      <w:tr>
        <w:tblPrEx>
          <w:tblCellMar>
            <w:top w:w="15" w:type="dxa"/>
            <w:left w:w="15" w:type="dxa"/>
            <w:bottom w:w="15" w:type="dxa"/>
            <w:right w:w="15" w:type="dxa"/>
          </w:tblCellMar>
        </w:tblPrEx>
        <w:trPr>
          <w:trHeight w:val="416" w:hRule="atLeast"/>
          <w:jc w:val="center"/>
        </w:trPr>
        <w:tc>
          <w:tcPr>
            <w:tcW w:w="1350" w:type="dxa"/>
            <w:tcBorders>
              <w:bottom w:val="nil"/>
            </w:tcBorders>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重庆</w:t>
            </w:r>
          </w:p>
        </w:tc>
        <w:tc>
          <w:tcPr>
            <w:tcW w:w="2878" w:type="dxa"/>
            <w:tcBorders>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9</w:t>
            </w:r>
          </w:p>
        </w:tc>
        <w:tc>
          <w:tcPr>
            <w:tcW w:w="1746" w:type="dxa"/>
            <w:tcBorders>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9</w:t>
            </w:r>
          </w:p>
        </w:tc>
        <w:tc>
          <w:tcPr>
            <w:tcW w:w="1623" w:type="dxa"/>
            <w:tcBorders>
              <w:bottom w:val="nil"/>
            </w:tcBorders>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100.00%</w:t>
            </w:r>
          </w:p>
        </w:tc>
      </w:tr>
      <w:tr>
        <w:tblPrEx>
          <w:tblCellMar>
            <w:top w:w="15" w:type="dxa"/>
            <w:left w:w="15" w:type="dxa"/>
            <w:bottom w:w="15" w:type="dxa"/>
            <w:right w:w="15" w:type="dxa"/>
          </w:tblCellMar>
        </w:tblPrEx>
        <w:trPr>
          <w:trHeight w:val="416" w:hRule="atLeast"/>
          <w:jc w:val="center"/>
        </w:trPr>
        <w:tc>
          <w:tcPr>
            <w:tcW w:w="1350"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四川</w:t>
            </w:r>
          </w:p>
        </w:tc>
        <w:tc>
          <w:tcPr>
            <w:tcW w:w="2878"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w:t>
            </w:r>
          </w:p>
        </w:tc>
        <w:tc>
          <w:tcPr>
            <w:tcW w:w="1746"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0</w:t>
            </w:r>
          </w:p>
        </w:tc>
        <w:tc>
          <w:tcPr>
            <w:tcW w:w="1623" w:type="dxa"/>
            <w:tcBorders>
              <w:top w:val="nil"/>
              <w:bottom w:val="nil"/>
            </w:tcBorders>
            <w:noWrap w:val="0"/>
            <w:vAlign w:val="center"/>
          </w:tcPr>
          <w:p>
            <w:pPr>
              <w:widowControl/>
              <w:spacing w:after="0"/>
              <w:jc w:val="center"/>
              <w:textAlignment w:val="center"/>
              <w:rPr>
                <w:rFonts w:hint="eastAsia" w:ascii="宋体" w:hAnsi="宋体" w:cs="宋体"/>
                <w:sz w:val="24"/>
                <w:szCs w:val="24"/>
              </w:rPr>
            </w:pPr>
            <w:r>
              <w:rPr>
                <w:rFonts w:hint="eastAsia" w:ascii="宋体" w:hAnsi="宋体" w:cs="宋体"/>
                <w:kern w:val="0"/>
                <w:sz w:val="24"/>
                <w:szCs w:val="24"/>
                <w:lang w:bidi="ar"/>
              </w:rPr>
              <w:t>0.00%</w:t>
            </w:r>
          </w:p>
        </w:tc>
      </w:tr>
      <w:tr>
        <w:tblPrEx>
          <w:tblCellMar>
            <w:top w:w="15" w:type="dxa"/>
            <w:left w:w="15" w:type="dxa"/>
            <w:bottom w:w="15" w:type="dxa"/>
            <w:right w:w="15" w:type="dxa"/>
          </w:tblCellMar>
        </w:tblPrEx>
        <w:trPr>
          <w:trHeight w:val="416" w:hRule="atLeast"/>
          <w:jc w:val="center"/>
        </w:trPr>
        <w:tc>
          <w:tcPr>
            <w:tcW w:w="1350"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河南</w:t>
            </w:r>
          </w:p>
        </w:tc>
        <w:tc>
          <w:tcPr>
            <w:tcW w:w="2878"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5</w:t>
            </w:r>
          </w:p>
        </w:tc>
        <w:tc>
          <w:tcPr>
            <w:tcW w:w="1746"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5</w:t>
            </w:r>
          </w:p>
        </w:tc>
        <w:tc>
          <w:tcPr>
            <w:tcW w:w="1623" w:type="dxa"/>
            <w:tcBorders>
              <w:top w:val="nil"/>
              <w:bottom w:val="nil"/>
            </w:tcBorders>
            <w:noWrap w:val="0"/>
            <w:vAlign w:val="center"/>
          </w:tcPr>
          <w:p>
            <w:pPr>
              <w:widowControl/>
              <w:spacing w:after="0"/>
              <w:jc w:val="center"/>
              <w:textAlignment w:val="center"/>
              <w:rPr>
                <w:rFonts w:ascii="宋体" w:hAnsi="宋体" w:cs="宋体"/>
                <w:kern w:val="0"/>
                <w:sz w:val="24"/>
                <w:szCs w:val="24"/>
                <w:lang w:bidi="ar"/>
              </w:rPr>
            </w:pPr>
            <w:r>
              <w:rPr>
                <w:rFonts w:hint="eastAsia" w:ascii="宋体" w:hAnsi="宋体" w:cs="宋体"/>
                <w:kern w:val="0"/>
                <w:sz w:val="24"/>
                <w:szCs w:val="24"/>
                <w:lang w:bidi="ar"/>
              </w:rPr>
              <w:t>100.00%</w:t>
            </w:r>
          </w:p>
        </w:tc>
      </w:tr>
      <w:tr>
        <w:tblPrEx>
          <w:tblCellMar>
            <w:top w:w="15" w:type="dxa"/>
            <w:left w:w="15" w:type="dxa"/>
            <w:bottom w:w="15" w:type="dxa"/>
            <w:right w:w="15" w:type="dxa"/>
          </w:tblCellMar>
        </w:tblPrEx>
        <w:trPr>
          <w:trHeight w:val="416" w:hRule="atLeast"/>
          <w:jc w:val="center"/>
        </w:trPr>
        <w:tc>
          <w:tcPr>
            <w:tcW w:w="1350"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山东</w:t>
            </w:r>
          </w:p>
        </w:tc>
        <w:tc>
          <w:tcPr>
            <w:tcW w:w="2878"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2</w:t>
            </w:r>
          </w:p>
        </w:tc>
        <w:tc>
          <w:tcPr>
            <w:tcW w:w="1746"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1</w:t>
            </w:r>
          </w:p>
        </w:tc>
        <w:tc>
          <w:tcPr>
            <w:tcW w:w="1623" w:type="dxa"/>
            <w:tcBorders>
              <w:top w:val="nil"/>
              <w:bottom w:val="nil"/>
            </w:tcBorders>
            <w:noWrap w:val="0"/>
            <w:vAlign w:val="center"/>
          </w:tcPr>
          <w:p>
            <w:pPr>
              <w:widowControl/>
              <w:spacing w:after="0"/>
              <w:jc w:val="center"/>
              <w:textAlignment w:val="center"/>
              <w:rPr>
                <w:rFonts w:ascii="宋体" w:hAnsi="宋体" w:cs="宋体"/>
                <w:kern w:val="0"/>
                <w:sz w:val="24"/>
                <w:szCs w:val="24"/>
                <w:lang w:bidi="ar"/>
              </w:rPr>
            </w:pPr>
            <w:r>
              <w:rPr>
                <w:rFonts w:hint="eastAsia" w:ascii="宋体" w:hAnsi="宋体" w:cs="宋体"/>
                <w:kern w:val="0"/>
                <w:sz w:val="24"/>
                <w:szCs w:val="24"/>
                <w:lang w:bidi="ar"/>
              </w:rPr>
              <w:t>50.00%</w:t>
            </w:r>
          </w:p>
        </w:tc>
      </w:tr>
      <w:tr>
        <w:tblPrEx>
          <w:tblCellMar>
            <w:top w:w="15" w:type="dxa"/>
            <w:left w:w="15" w:type="dxa"/>
            <w:bottom w:w="15" w:type="dxa"/>
            <w:right w:w="15" w:type="dxa"/>
          </w:tblCellMar>
        </w:tblPrEx>
        <w:trPr>
          <w:trHeight w:val="416" w:hRule="atLeast"/>
          <w:jc w:val="center"/>
        </w:trPr>
        <w:tc>
          <w:tcPr>
            <w:tcW w:w="1350" w:type="dxa"/>
            <w:tcBorders>
              <w:top w:val="nil"/>
              <w:bottom w:val="nil"/>
            </w:tcBorders>
            <w:noWrap w:val="0"/>
            <w:vAlign w:val="center"/>
          </w:tcPr>
          <w:p>
            <w:pPr>
              <w:widowControl/>
              <w:spacing w:after="0"/>
              <w:jc w:val="center"/>
              <w:textAlignment w:val="center"/>
              <w:rPr>
                <w:rFonts w:ascii="宋体" w:hAnsi="宋体" w:cs="宋体"/>
                <w:b/>
                <w:bCs/>
                <w:kern w:val="0"/>
                <w:sz w:val="24"/>
                <w:szCs w:val="24"/>
                <w:lang w:bidi="ar"/>
              </w:rPr>
            </w:pPr>
            <w:r>
              <w:rPr>
                <w:rFonts w:hint="eastAsia" w:ascii="宋体" w:hAnsi="宋体" w:cs="宋体"/>
                <w:b/>
                <w:bCs/>
                <w:kern w:val="0"/>
                <w:sz w:val="24"/>
                <w:szCs w:val="24"/>
                <w:lang w:bidi="ar"/>
              </w:rPr>
              <w:t>合计</w:t>
            </w:r>
          </w:p>
        </w:tc>
        <w:tc>
          <w:tcPr>
            <w:tcW w:w="2878"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852</w:t>
            </w:r>
          </w:p>
        </w:tc>
        <w:tc>
          <w:tcPr>
            <w:tcW w:w="1746" w:type="dxa"/>
            <w:tcBorders>
              <w:top w:val="nil"/>
              <w:bottom w:val="nil"/>
            </w:tcBorders>
            <w:noWrap w:val="0"/>
            <w:vAlign w:val="center"/>
          </w:tcPr>
          <w:p>
            <w:pPr>
              <w:widowControl/>
              <w:spacing w:after="0"/>
              <w:jc w:val="center"/>
              <w:textAlignment w:val="center"/>
              <w:rPr>
                <w:rFonts w:ascii="宋体" w:hAnsi="宋体" w:cs="宋体"/>
                <w:sz w:val="24"/>
                <w:szCs w:val="24"/>
              </w:rPr>
            </w:pPr>
            <w:r>
              <w:rPr>
                <w:rFonts w:hint="eastAsia" w:ascii="宋体" w:hAnsi="宋体" w:cs="宋体"/>
                <w:sz w:val="24"/>
                <w:szCs w:val="24"/>
              </w:rPr>
              <w:t>716</w:t>
            </w:r>
          </w:p>
        </w:tc>
        <w:tc>
          <w:tcPr>
            <w:tcW w:w="1623" w:type="dxa"/>
            <w:tcBorders>
              <w:top w:val="nil"/>
              <w:bottom w:val="nil"/>
            </w:tcBorders>
            <w:noWrap w:val="0"/>
            <w:vAlign w:val="center"/>
          </w:tcPr>
          <w:p>
            <w:pPr>
              <w:widowControl/>
              <w:spacing w:after="0"/>
              <w:jc w:val="center"/>
              <w:textAlignment w:val="center"/>
              <w:rPr>
                <w:rFonts w:ascii="宋体" w:hAnsi="宋体" w:cs="宋体"/>
                <w:kern w:val="0"/>
                <w:sz w:val="24"/>
                <w:szCs w:val="24"/>
                <w:lang w:bidi="ar"/>
              </w:rPr>
            </w:pPr>
            <w:r>
              <w:rPr>
                <w:rFonts w:hint="eastAsia" w:ascii="宋体" w:hAnsi="宋体" w:cs="宋体"/>
                <w:kern w:val="0"/>
                <w:sz w:val="24"/>
                <w:szCs w:val="24"/>
                <w:lang w:bidi="ar"/>
              </w:rPr>
              <w:t>74.97%</w:t>
            </w:r>
          </w:p>
        </w:tc>
      </w:tr>
    </w:tbl>
    <w:p>
      <w:pPr>
        <w:spacing w:line="360" w:lineRule="auto"/>
        <w:jc w:val="center"/>
        <w:rPr>
          <w:rFonts w:hint="eastAsia" w:ascii="仿宋" w:hAnsi="仿宋" w:eastAsia="仿宋" w:cs="仿宋"/>
          <w:b/>
          <w:bCs/>
          <w:sz w:val="32"/>
          <w:szCs w:val="32"/>
        </w:rPr>
      </w:pPr>
      <w:r>
        <w:rPr>
          <w:rFonts w:hint="eastAsia" w:ascii="宋体" w:hAnsi="宋体" w:cs="宋体"/>
          <w:b/>
          <w:bCs/>
          <w:szCs w:val="21"/>
        </w:rPr>
        <w:t>表1-</w:t>
      </w:r>
      <w:r>
        <w:rPr>
          <w:rFonts w:hint="eastAsia" w:ascii="宋体" w:hAnsi="宋体" w:cs="宋体"/>
          <w:b/>
          <w:bCs/>
          <w:szCs w:val="21"/>
          <w:lang w:val="en-US" w:eastAsia="zh-CN"/>
        </w:rPr>
        <w:t>3</w:t>
      </w:r>
      <w:r>
        <w:rPr>
          <w:rFonts w:hint="eastAsia" w:ascii="宋体" w:hAnsi="宋体" w:cs="宋体"/>
          <w:b/>
          <w:bCs/>
          <w:szCs w:val="21"/>
        </w:rPr>
        <w:t xml:space="preserve">  2021届毕业生本/外地生源毕业生的就业率分布</w:t>
      </w:r>
    </w:p>
    <w:p>
      <w:pPr>
        <w:rPr>
          <w:rFonts w:hint="eastAsia" w:ascii="仿宋" w:hAnsi="仿宋" w:eastAsia="仿宋" w:cs="仿宋"/>
          <w:b/>
          <w:bCs/>
          <w:sz w:val="32"/>
          <w:szCs w:val="32"/>
        </w:rPr>
      </w:pPr>
      <w:r>
        <w:rPr>
          <w:rFonts w:hint="eastAsia" w:ascii="仿宋" w:hAnsi="仿宋" w:eastAsia="仿宋" w:cs="仿宋"/>
          <w:b/>
          <w:bCs/>
          <w:sz w:val="32"/>
          <w:szCs w:val="32"/>
        </w:rPr>
        <w:t>3.少数民族群体的就业率对比分析</w:t>
      </w:r>
      <w:bookmarkEnd w:id="18"/>
    </w:p>
    <w:p>
      <w:pPr>
        <w:ind w:firstLine="640" w:firstLineChars="200"/>
        <w:rPr>
          <w:rFonts w:ascii="仿宋" w:hAnsi="仿宋" w:eastAsia="仿宋" w:cs="仿宋"/>
          <w:sz w:val="32"/>
          <w:szCs w:val="32"/>
        </w:rPr>
      </w:pPr>
      <w:r>
        <w:rPr>
          <w:rFonts w:hint="eastAsia" w:ascii="仿宋" w:hAnsi="仿宋" w:eastAsia="仿宋" w:cs="仿宋"/>
          <w:sz w:val="32"/>
          <w:szCs w:val="32"/>
        </w:rPr>
        <w:t>截止2021年8月3</w:t>
      </w:r>
      <w:r>
        <w:rPr>
          <w:rFonts w:ascii="仿宋" w:hAnsi="仿宋" w:eastAsia="仿宋" w:cs="仿宋"/>
          <w:sz w:val="32"/>
          <w:szCs w:val="32"/>
        </w:rPr>
        <w:t>1</w:t>
      </w:r>
      <w:r>
        <w:rPr>
          <w:rFonts w:hint="eastAsia" w:ascii="仿宋" w:hAnsi="仿宋" w:eastAsia="仿宋" w:cs="仿宋"/>
          <w:sz w:val="32"/>
          <w:szCs w:val="32"/>
        </w:rPr>
        <w:t>日，我院2021届毕业生中少数民族人数为70人，就业人数59人，少数民族毕业生的就业率为84.29%。</w:t>
      </w:r>
    </w:p>
    <w:p>
      <w:pPr>
        <w:rPr>
          <w:rFonts w:hint="eastAsia" w:ascii="仿宋" w:hAnsi="仿宋" w:eastAsia="仿宋" w:cs="仿宋"/>
          <w:b/>
          <w:bCs/>
          <w:sz w:val="32"/>
          <w:szCs w:val="32"/>
        </w:rPr>
      </w:pPr>
      <w:bookmarkStart w:id="19" w:name="_Toc20466"/>
      <w:r>
        <w:rPr>
          <w:rFonts w:hint="eastAsia" w:ascii="仿宋" w:hAnsi="仿宋" w:eastAsia="仿宋" w:cs="仿宋"/>
          <w:b/>
          <w:bCs/>
          <w:sz w:val="32"/>
          <w:szCs w:val="32"/>
        </w:rPr>
        <w:t>4.不同户口类别毕业生就业率对比分析</w:t>
      </w:r>
      <w:bookmarkEnd w:id="19"/>
    </w:p>
    <w:p>
      <w:pPr>
        <w:pStyle w:val="3"/>
        <w:ind w:left="0" w:leftChars="0" w:firstLine="640" w:firstLineChars="200"/>
        <w:rPr>
          <w:rFonts w:hint="eastAsia" w:ascii="仿宋" w:hAnsi="仿宋" w:eastAsia="仿宋" w:cs="仿宋"/>
          <w:sz w:val="32"/>
          <w:szCs w:val="32"/>
        </w:rPr>
      </w:pPr>
      <w:r>
        <w:rPr>
          <w:rFonts w:hint="eastAsia" w:ascii="仿宋" w:hAnsi="仿宋" w:eastAsia="仿宋" w:cs="仿宋"/>
          <w:sz w:val="32"/>
          <w:szCs w:val="32"/>
        </w:rPr>
        <w:t>我院2021届毕业生中城镇户口毕业生284人，就业人数为230人，占城镇户口毕业生总人数的80.99%。农村户口毕业生568人，就业人数为486人，占农村户口毕业生总人数的85.56%。</w:t>
      </w:r>
    </w:p>
    <w:p>
      <w:pPr>
        <w:rPr>
          <w:rFonts w:hint="eastAsia" w:ascii="仿宋" w:hAnsi="仿宋" w:eastAsia="仿宋" w:cs="仿宋"/>
          <w:b/>
          <w:bCs/>
          <w:sz w:val="32"/>
          <w:szCs w:val="32"/>
        </w:rPr>
      </w:pPr>
      <w:r>
        <w:rPr>
          <w:rFonts w:hint="eastAsia" w:ascii="仿宋" w:hAnsi="仿宋" w:eastAsia="仿宋" w:cs="仿宋"/>
          <w:b/>
          <w:bCs/>
          <w:sz w:val="32"/>
          <w:szCs w:val="32"/>
        </w:rPr>
        <w:t>四、毕业生毕业流向</w:t>
      </w:r>
    </w:p>
    <w:p>
      <w:pPr>
        <w:rPr>
          <w:rFonts w:hint="eastAsia" w:ascii="仿宋" w:hAnsi="仿宋" w:eastAsia="仿宋" w:cs="仿宋"/>
          <w:b/>
          <w:bCs/>
          <w:sz w:val="32"/>
          <w:szCs w:val="32"/>
        </w:rPr>
      </w:pPr>
      <w:bookmarkStart w:id="20" w:name="_Toc26491"/>
      <w:bookmarkStart w:id="21" w:name="_Toc14072"/>
      <w:r>
        <w:rPr>
          <w:rFonts w:hint="eastAsia" w:ascii="仿宋" w:hAnsi="仿宋" w:eastAsia="仿宋" w:cs="仿宋"/>
          <w:b/>
          <w:bCs/>
          <w:sz w:val="32"/>
          <w:szCs w:val="32"/>
        </w:rPr>
        <w:t>（一）毕业生总体的毕业流向分析</w:t>
      </w:r>
      <w:bookmarkEnd w:id="20"/>
      <w:bookmarkEnd w:id="21"/>
    </w:p>
    <w:p>
      <w:pPr>
        <w:ind w:firstLine="640" w:firstLineChars="200"/>
        <w:rPr>
          <w:rFonts w:hint="eastAsia" w:ascii="仿宋" w:hAnsi="仿宋" w:eastAsia="仿宋" w:cs="仿宋"/>
          <w:sz w:val="32"/>
          <w:szCs w:val="32"/>
        </w:rPr>
      </w:pPr>
      <w:bookmarkStart w:id="22" w:name="_Toc32147"/>
      <w:bookmarkStart w:id="23" w:name="_Toc8106"/>
      <w:r>
        <w:rPr>
          <w:rFonts w:hint="eastAsia" w:ascii="仿宋" w:hAnsi="仿宋" w:eastAsia="仿宋" w:cs="仿宋"/>
          <w:sz w:val="32"/>
          <w:szCs w:val="32"/>
        </w:rPr>
        <w:t>截止到2021年8月31日，根据全院毕业生上报的就业材料数据统计，毕业生毕业去向包括签就业形式就业、签劳动合同形式就业、其他录用形式就业、待就业、不就业拟升学、其他暂不就业、自主创业、升学及出国出境。</w:t>
      </w:r>
    </w:p>
    <w:p>
      <w:pPr>
        <w:rPr>
          <w:rFonts w:hint="eastAsia" w:ascii="仿宋" w:hAnsi="仿宋" w:eastAsia="仿宋" w:cs="仿宋"/>
          <w:b/>
          <w:bCs/>
          <w:sz w:val="32"/>
          <w:szCs w:val="32"/>
        </w:rPr>
      </w:pPr>
      <w:bookmarkStart w:id="24" w:name="_Toc2048"/>
      <w:r>
        <w:rPr>
          <w:rFonts w:hint="eastAsia" w:ascii="仿宋" w:hAnsi="仿宋" w:eastAsia="仿宋" w:cs="仿宋"/>
          <w:b/>
          <w:bCs/>
          <w:sz w:val="32"/>
          <w:szCs w:val="32"/>
        </w:rPr>
        <w:t>1.毕业生总体的毕业流向</w:t>
      </w:r>
      <w:bookmarkEnd w:id="24"/>
    </w:p>
    <w:p>
      <w:pPr>
        <w:ind w:firstLine="640" w:firstLineChars="200"/>
        <w:rPr>
          <w:rFonts w:hint="eastAsia" w:ascii="仿宋" w:hAnsi="仿宋" w:eastAsia="仿宋" w:cs="仿宋"/>
          <w:sz w:val="32"/>
          <w:szCs w:val="32"/>
        </w:rPr>
      </w:pPr>
      <w:r>
        <w:rPr>
          <w:rFonts w:hint="eastAsia" w:ascii="仿宋" w:hAnsi="仿宋" w:eastAsia="仿宋" w:cs="仿宋"/>
          <w:sz w:val="32"/>
          <w:szCs w:val="32"/>
        </w:rPr>
        <w:t>按照就业类别将毕业生总体毕业流向划分升学、单位就业（签就业形式就业、签劳动合同形式就业、其他录用形式就业、国家/地方基层项目）、自主创业、应征义务兵。截止2021年8月31日，我院852名毕业生中国内升学85人（9.98%）、待就业136人（15.96%）、其他录用形式就业458人（53.76%）、签就业协议就业98人（11.50%）、劳动协议形式就业75人（</w:t>
      </w:r>
      <w:bookmarkStart w:id="25" w:name="OLE_LINK1"/>
      <w:r>
        <w:rPr>
          <w:rFonts w:hint="eastAsia" w:ascii="仿宋" w:hAnsi="仿宋" w:eastAsia="仿宋" w:cs="仿宋"/>
          <w:sz w:val="32"/>
          <w:szCs w:val="32"/>
        </w:rPr>
        <w:t>8.80%</w:t>
      </w:r>
      <w:bookmarkEnd w:id="25"/>
      <w:r>
        <w:rPr>
          <w:rFonts w:hint="eastAsia" w:ascii="仿宋" w:hAnsi="仿宋" w:eastAsia="仿宋" w:cs="仿宋"/>
          <w:sz w:val="32"/>
          <w:szCs w:val="32"/>
        </w:rPr>
        <w:t>）如图1-</w:t>
      </w:r>
      <w:r>
        <w:rPr>
          <w:rFonts w:hint="eastAsia" w:ascii="仿宋" w:hAnsi="仿宋" w:eastAsia="仿宋" w:cs="仿宋"/>
          <w:sz w:val="32"/>
          <w:szCs w:val="32"/>
          <w:lang w:val="en-US" w:eastAsia="zh-CN"/>
        </w:rPr>
        <w:t>4所示</w:t>
      </w:r>
      <w:r>
        <w:rPr>
          <w:rFonts w:hint="eastAsia" w:ascii="仿宋" w:hAnsi="仿宋" w:eastAsia="仿宋" w:cs="仿宋"/>
          <w:sz w:val="32"/>
          <w:szCs w:val="32"/>
        </w:rPr>
        <w:t>。</w:t>
      </w:r>
    </w:p>
    <w:p>
      <w:pPr>
        <w:jc w:val="center"/>
        <w:rPr>
          <w:rFonts w:hint="eastAsia" w:ascii="仿宋" w:hAnsi="仿宋" w:eastAsia="仿宋" w:cs="仿宋"/>
          <w:sz w:val="32"/>
          <w:szCs w:val="32"/>
        </w:rPr>
      </w:pPr>
      <w:r>
        <w:rPr>
          <w:rFonts w:hint="eastAsia" w:ascii="仿宋" w:hAnsi="仿宋" w:eastAsia="仿宋" w:cs="仿宋"/>
          <w:sz w:val="32"/>
          <w:szCs w:val="32"/>
        </w:rPr>
        <w:object>
          <v:shape id="_x0000_i1052" o:spt="75" type="#_x0000_t75" style="height:215.95pt;width:373.9pt;" o:ole="t" filled="f" o:preferrelative="t" stroked="f" coordsize="21600,21600">
            <v:path/>
            <v:fill on="f" focussize="0,0"/>
            <v:stroke on="f"/>
            <v:imagedata r:id="rId17" o:title=""/>
            <o:lock v:ext="edit" aspectratio="t"/>
            <w10:wrap type="none"/>
            <w10:anchorlock/>
          </v:shape>
          <o:OLEObject Type="Embed" ProgID="Excel.Chart.8" ShapeID="_x0000_i1052" DrawAspect="Content" ObjectID="_1468075728" r:id="rId16">
            <o:LockedField>false</o:LockedField>
          </o:OLEObject>
        </w:object>
      </w:r>
    </w:p>
    <w:p>
      <w:pPr>
        <w:pBdr>
          <w:top w:val="none" w:color="auto" w:sz="0" w:space="1"/>
          <w:left w:val="none" w:color="auto" w:sz="0" w:space="4"/>
          <w:bottom w:val="none" w:color="auto" w:sz="0" w:space="1"/>
          <w:right w:val="none" w:color="auto" w:sz="0" w:space="4"/>
        </w:pBdr>
        <w:jc w:val="center"/>
        <w:rPr>
          <w:rFonts w:hint="eastAsia" w:ascii="宋体" w:hAnsi="宋体" w:cs="宋体"/>
          <w:b/>
          <w:bCs/>
          <w:szCs w:val="21"/>
        </w:rPr>
      </w:pPr>
      <w:r>
        <w:rPr>
          <w:rFonts w:hint="eastAsia" w:ascii="宋体" w:hAnsi="宋体" w:cs="宋体"/>
          <w:b/>
          <w:bCs/>
          <w:szCs w:val="21"/>
        </w:rPr>
        <w:t>图1-</w:t>
      </w:r>
      <w:r>
        <w:rPr>
          <w:rFonts w:hint="eastAsia" w:ascii="宋体" w:hAnsi="宋体" w:cs="宋体"/>
          <w:b/>
          <w:bCs/>
          <w:szCs w:val="21"/>
          <w:lang w:val="en-US" w:eastAsia="zh-CN"/>
        </w:rPr>
        <w:t>4</w:t>
      </w:r>
      <w:r>
        <w:rPr>
          <w:rFonts w:hint="eastAsia" w:ascii="宋体" w:hAnsi="宋体" w:cs="宋体"/>
          <w:b/>
          <w:bCs/>
          <w:szCs w:val="21"/>
        </w:rPr>
        <w:t xml:space="preserve"> 2021届毕业生就业类别流向分布</w:t>
      </w:r>
    </w:p>
    <w:p>
      <w:pPr>
        <w:pBdr>
          <w:top w:val="none" w:color="auto" w:sz="0" w:space="1"/>
          <w:left w:val="none" w:color="auto" w:sz="0" w:space="4"/>
          <w:bottom w:val="none" w:color="auto" w:sz="0" w:space="1"/>
          <w:right w:val="none" w:color="auto" w:sz="0" w:space="4"/>
        </w:pBdr>
        <w:rPr>
          <w:rFonts w:hint="eastAsia" w:ascii="宋体" w:hAnsi="宋体" w:cs="宋体"/>
          <w:b/>
          <w:bCs/>
          <w:szCs w:val="21"/>
        </w:rPr>
      </w:pPr>
    </w:p>
    <w:p>
      <w:pPr>
        <w:rPr>
          <w:rFonts w:hint="eastAsia" w:ascii="仿宋" w:hAnsi="仿宋" w:eastAsia="仿宋" w:cs="仿宋"/>
          <w:b/>
          <w:bCs/>
          <w:sz w:val="32"/>
          <w:szCs w:val="32"/>
        </w:rPr>
      </w:pPr>
      <w:bookmarkStart w:id="26" w:name="_Toc5386"/>
      <w:r>
        <w:rPr>
          <w:rFonts w:hint="eastAsia" w:ascii="仿宋" w:hAnsi="仿宋" w:eastAsia="仿宋" w:cs="仿宋"/>
          <w:b/>
          <w:bCs/>
          <w:sz w:val="32"/>
          <w:szCs w:val="32"/>
        </w:rPr>
        <w:t>2.毕业生派遣就业情况</w:t>
      </w:r>
      <w:bookmarkEnd w:id="26"/>
    </w:p>
    <w:p>
      <w:pPr>
        <w:ind w:firstLine="640" w:firstLineChars="200"/>
        <w:rPr>
          <w:rFonts w:hint="eastAsia" w:ascii="仿宋" w:hAnsi="仿宋" w:eastAsia="仿宋" w:cs="仿宋"/>
          <w:sz w:val="32"/>
          <w:szCs w:val="32"/>
        </w:rPr>
      </w:pPr>
      <w:r>
        <w:rPr>
          <w:rFonts w:hint="eastAsia" w:ascii="仿宋" w:hAnsi="仿宋" w:eastAsia="仿宋" w:cs="仿宋"/>
          <w:sz w:val="32"/>
          <w:szCs w:val="32"/>
        </w:rPr>
        <w:t>2021届毕业生正式签订就业协议书和劳动合同的有173人，占单位就业人数（631人）的27.42%，占总毕业生人数（852人）的20.31%。</w:t>
      </w:r>
    </w:p>
    <w:p>
      <w:pPr>
        <w:rPr>
          <w:rFonts w:hint="eastAsia" w:ascii="仿宋" w:hAnsi="仿宋" w:eastAsia="仿宋" w:cs="仿宋"/>
          <w:b/>
          <w:bCs/>
          <w:sz w:val="32"/>
          <w:szCs w:val="32"/>
        </w:rPr>
      </w:pPr>
      <w:bookmarkStart w:id="27" w:name="_Toc2753"/>
      <w:r>
        <w:rPr>
          <w:rFonts w:hint="eastAsia" w:ascii="仿宋" w:hAnsi="仿宋" w:eastAsia="仿宋" w:cs="仿宋"/>
          <w:b/>
          <w:bCs/>
          <w:sz w:val="32"/>
          <w:szCs w:val="32"/>
        </w:rPr>
        <w:t>3.毕业生升学情况</w:t>
      </w:r>
      <w:bookmarkEnd w:id="27"/>
      <w:r>
        <w:rPr>
          <w:rFonts w:hint="eastAsia" w:ascii="仿宋" w:hAnsi="仿宋" w:eastAsia="仿宋" w:cs="仿宋"/>
          <w:b/>
          <w:bCs/>
          <w:sz w:val="32"/>
          <w:szCs w:val="32"/>
        </w:rPr>
        <w:tab/>
      </w:r>
    </w:p>
    <w:p>
      <w:pPr>
        <w:ind w:firstLine="640" w:firstLineChars="200"/>
        <w:rPr>
          <w:rFonts w:hint="eastAsia" w:ascii="仿宋" w:hAnsi="仿宋" w:eastAsia="仿宋" w:cs="仿宋"/>
          <w:sz w:val="32"/>
          <w:szCs w:val="32"/>
        </w:rPr>
      </w:pPr>
      <w:r>
        <w:rPr>
          <w:rFonts w:hint="eastAsia" w:ascii="仿宋" w:hAnsi="仿宋" w:eastAsia="仿宋" w:cs="仿宋"/>
          <w:sz w:val="32"/>
          <w:szCs w:val="32"/>
        </w:rPr>
        <w:t>我院2021届毕业生中毕业去向为升学的有85人，占我院2021届毕业生的总人数的9.98%。中西医临床医学、中医学，针灸推拿学等临床专业因本科就业相对较难，考研人数相对较多，而药类相关专业、康复治疗学等专业本科生就业相对乐观，考研人数较少</w:t>
      </w:r>
      <w:r>
        <w:rPr>
          <w:rFonts w:hint="eastAsia" w:ascii="仿宋" w:hAnsi="仿宋" w:eastAsia="仿宋" w:cs="仿宋"/>
          <w:sz w:val="32"/>
          <w:szCs w:val="32"/>
          <w:lang w:eastAsia="zh-CN"/>
        </w:rPr>
        <w:t>。</w:t>
      </w:r>
      <w:r>
        <w:rPr>
          <w:rFonts w:hint="eastAsia" w:ascii="仿宋" w:hAnsi="仿宋" w:eastAsia="仿宋" w:cs="仿宋"/>
          <w:sz w:val="32"/>
          <w:szCs w:val="32"/>
        </w:rPr>
        <w:t>具体专业考研情况如图1-</w:t>
      </w:r>
      <w:r>
        <w:rPr>
          <w:rFonts w:hint="eastAsia" w:ascii="仿宋" w:hAnsi="仿宋" w:eastAsia="仿宋" w:cs="仿宋"/>
          <w:sz w:val="32"/>
          <w:szCs w:val="32"/>
          <w:lang w:val="en-US" w:eastAsia="zh-CN"/>
        </w:rPr>
        <w:t>5所示</w:t>
      </w:r>
      <w:r>
        <w:rPr>
          <w:rFonts w:hint="eastAsia" w:ascii="仿宋" w:hAnsi="仿宋" w:eastAsia="仿宋" w:cs="仿宋"/>
          <w:sz w:val="32"/>
          <w:szCs w:val="32"/>
        </w:rPr>
        <w:t>。</w:t>
      </w:r>
    </w:p>
    <w:p>
      <w:pPr>
        <w:jc w:val="center"/>
        <w:rPr>
          <w:rFonts w:hint="eastAsia" w:ascii="宋体" w:hAnsi="宋体" w:cs="宋体"/>
          <w:b/>
          <w:bCs/>
          <w:szCs w:val="21"/>
        </w:rPr>
      </w:pPr>
      <w:r>
        <w:rPr>
          <w:rFonts w:hint="eastAsia" w:ascii="仿宋" w:hAnsi="仿宋" w:eastAsia="仿宋" w:cs="仿宋"/>
          <w:sz w:val="32"/>
          <w:szCs w:val="32"/>
        </w:rPr>
        <w:object>
          <v:shape id="_x0000_i1035" o:spt="75" type="#_x0000_t75" style="height:244.8pt;width:424.2pt;" o:ole="t" filled="f" o:preferrelative="t" stroked="f" coordsize="21600,21600">
            <v:path/>
            <v:fill on="f" focussize="0,0"/>
            <v:stroke on="f"/>
            <v:imagedata r:id="rId19" o:title=""/>
            <o:lock v:ext="edit" aspectratio="t"/>
            <w10:wrap type="none"/>
            <w10:anchorlock/>
          </v:shape>
          <o:OLEObject Type="Embed" ProgID="Excel.Chart.8" ShapeID="_x0000_i1035" DrawAspect="Content" ObjectID="_1468075729" r:id="rId18">
            <o:LockedField>false</o:LockedField>
          </o:OLEObject>
        </w:object>
      </w:r>
    </w:p>
    <w:p>
      <w:pPr>
        <w:pBdr>
          <w:top w:val="none" w:color="auto" w:sz="0" w:space="1"/>
          <w:left w:val="none" w:color="auto" w:sz="0" w:space="4"/>
          <w:bottom w:val="none" w:color="auto" w:sz="0" w:space="1"/>
          <w:right w:val="none" w:color="auto" w:sz="0" w:space="4"/>
        </w:pBdr>
        <w:jc w:val="center"/>
        <w:rPr>
          <w:rFonts w:hint="eastAsia" w:ascii="宋体" w:hAnsi="宋体" w:cs="宋体"/>
          <w:b/>
          <w:bCs/>
          <w:szCs w:val="21"/>
        </w:rPr>
      </w:pPr>
      <w:r>
        <w:rPr>
          <w:rFonts w:hint="eastAsia" w:ascii="宋体" w:hAnsi="宋体" w:cs="宋体"/>
          <w:b/>
          <w:bCs/>
          <w:szCs w:val="21"/>
        </w:rPr>
        <w:t>图1-</w:t>
      </w:r>
      <w:r>
        <w:rPr>
          <w:rFonts w:hint="eastAsia" w:ascii="宋体" w:hAnsi="宋体" w:cs="宋体"/>
          <w:b/>
          <w:bCs/>
          <w:szCs w:val="21"/>
          <w:lang w:val="en-US" w:eastAsia="zh-CN"/>
        </w:rPr>
        <w:t>5</w:t>
      </w:r>
      <w:r>
        <w:rPr>
          <w:rFonts w:hint="eastAsia" w:ascii="宋体" w:hAnsi="宋体" w:cs="宋体"/>
          <w:b/>
          <w:bCs/>
          <w:szCs w:val="21"/>
        </w:rPr>
        <w:t xml:space="preserve">  2021届毕业生专业考研情况</w:t>
      </w:r>
      <w:bookmarkStart w:id="28" w:name="_Toc13705"/>
      <w:bookmarkEnd w:id="28"/>
    </w:p>
    <w:p>
      <w:pPr>
        <w:rPr>
          <w:rFonts w:hint="eastAsia" w:ascii="仿宋" w:hAnsi="仿宋" w:eastAsia="仿宋" w:cs="仿宋"/>
          <w:b/>
          <w:bCs/>
          <w:sz w:val="32"/>
          <w:szCs w:val="32"/>
        </w:rPr>
      </w:pPr>
      <w:bookmarkStart w:id="29" w:name="_Toc10774"/>
      <w:r>
        <w:rPr>
          <w:rFonts w:hint="eastAsia" w:ascii="仿宋" w:hAnsi="仿宋" w:eastAsia="仿宋" w:cs="仿宋"/>
          <w:b/>
          <w:bCs/>
          <w:sz w:val="32"/>
          <w:szCs w:val="32"/>
        </w:rPr>
        <w:t>4.毕业生灵活就业情况</w:t>
      </w:r>
      <w:bookmarkEnd w:id="29"/>
    </w:p>
    <w:p>
      <w:pPr>
        <w:ind w:firstLine="640" w:firstLineChars="200"/>
        <w:rPr>
          <w:rFonts w:hint="eastAsia" w:ascii="仿宋" w:hAnsi="仿宋" w:eastAsia="仿宋" w:cs="仿宋"/>
          <w:sz w:val="32"/>
          <w:szCs w:val="32"/>
        </w:rPr>
      </w:pPr>
      <w:r>
        <w:rPr>
          <w:rFonts w:hint="eastAsia" w:ascii="仿宋" w:hAnsi="仿宋" w:eastAsia="仿宋" w:cs="仿宋"/>
          <w:sz w:val="32"/>
          <w:szCs w:val="32"/>
        </w:rPr>
        <w:t>灵活就业为已就业但未办理报到证到单位的就业情况。我院2021届毕业生灵活就业为574人，占毕业生总数的67.37%。其中正式签订就业协议书和劳动合同的灵活就业人数为116人，占灵活就业人数的20.21%，其他形式就业（主要是用人单位开具相关就业证明）458人，占灵活就业人数的79.79%。</w:t>
      </w:r>
    </w:p>
    <w:p>
      <w:pPr>
        <w:numPr>
          <w:ilvl w:val="0"/>
          <w:numId w:val="1"/>
        </w:numPr>
        <w:rPr>
          <w:rFonts w:hint="eastAsia" w:ascii="仿宋" w:hAnsi="仿宋" w:eastAsia="仿宋" w:cs="仿宋"/>
          <w:b/>
          <w:bCs/>
          <w:sz w:val="32"/>
          <w:szCs w:val="32"/>
        </w:rPr>
      </w:pPr>
      <w:bookmarkStart w:id="30" w:name="_Toc25522"/>
      <w:r>
        <w:rPr>
          <w:rFonts w:hint="eastAsia" w:ascii="仿宋" w:hAnsi="仿宋" w:eastAsia="仿宋" w:cs="仿宋"/>
          <w:b/>
          <w:bCs/>
          <w:sz w:val="32"/>
          <w:szCs w:val="32"/>
        </w:rPr>
        <w:t>毕业生未就业情况</w:t>
      </w:r>
      <w:bookmarkEnd w:id="30"/>
    </w:p>
    <w:p>
      <w:pPr>
        <w:ind w:firstLine="640" w:firstLineChars="200"/>
        <w:rPr>
          <w:rFonts w:hint="eastAsia" w:ascii="仿宋" w:hAnsi="仿宋" w:eastAsia="仿宋" w:cs="仿宋"/>
          <w:sz w:val="32"/>
          <w:szCs w:val="32"/>
        </w:rPr>
      </w:pPr>
      <w:r>
        <w:rPr>
          <w:rFonts w:hint="eastAsia" w:ascii="仿宋" w:hAnsi="仿宋" w:eastAsia="仿宋" w:cs="仿宋"/>
          <w:sz w:val="32"/>
          <w:szCs w:val="32"/>
        </w:rPr>
        <w:t>未就业包括“不就业拟升学”、“其他暂不就业”、“待就业”三种毕业去向，截止到2021年8月31日，我院2021届毕业生中未就业人数共计136人，占毕业生比例15.96%。</w:t>
      </w:r>
    </w:p>
    <w:p>
      <w:pPr>
        <w:rPr>
          <w:rFonts w:hint="eastAsia" w:ascii="仿宋" w:hAnsi="仿宋" w:eastAsia="仿宋" w:cs="仿宋"/>
          <w:b/>
          <w:bCs/>
          <w:sz w:val="32"/>
          <w:szCs w:val="32"/>
        </w:rPr>
      </w:pPr>
      <w:bookmarkStart w:id="31" w:name="_Toc20295"/>
      <w:r>
        <w:rPr>
          <w:rFonts w:hint="eastAsia" w:ascii="仿宋" w:hAnsi="仿宋" w:eastAsia="仿宋" w:cs="仿宋"/>
          <w:b/>
          <w:bCs/>
          <w:sz w:val="32"/>
          <w:szCs w:val="32"/>
        </w:rPr>
        <w:t>（二）不同特征群体毕业生毕业流向分析</w:t>
      </w:r>
      <w:bookmarkEnd w:id="31"/>
    </w:p>
    <w:p>
      <w:pPr>
        <w:rPr>
          <w:rFonts w:hint="eastAsia" w:ascii="仿宋" w:hAnsi="仿宋" w:eastAsia="仿宋" w:cs="仿宋"/>
          <w:b/>
          <w:bCs/>
          <w:sz w:val="32"/>
          <w:szCs w:val="32"/>
        </w:rPr>
      </w:pPr>
      <w:bookmarkStart w:id="32" w:name="_Toc6494"/>
      <w:r>
        <w:rPr>
          <w:rFonts w:hint="eastAsia" w:ascii="仿宋" w:hAnsi="仿宋" w:eastAsia="仿宋" w:cs="仿宋"/>
          <w:b/>
          <w:bCs/>
          <w:sz w:val="32"/>
          <w:szCs w:val="32"/>
        </w:rPr>
        <w:t>1.男/女毕业生的毕业流向分析</w:t>
      </w:r>
      <w:bookmarkEnd w:id="32"/>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2021届毕业生852人中，男生252人，女生600人，毕业生男女性别比为1:2.38，女生的单位就业、待就业、升学比例略都高于男生。</w:t>
      </w:r>
      <w:r>
        <w:rPr>
          <w:rFonts w:hint="eastAsia" w:ascii="仿宋" w:hAnsi="仿宋" w:eastAsia="仿宋" w:cs="仿宋"/>
          <w:sz w:val="32"/>
          <w:szCs w:val="32"/>
          <w:lang w:val="en-US" w:eastAsia="zh-CN"/>
        </w:rPr>
        <w:t>如图1-6所示。</w:t>
      </w:r>
    </w:p>
    <w:p>
      <w:pPr>
        <w:ind w:firstLine="640" w:firstLineChars="200"/>
        <w:rPr>
          <w:rFonts w:hint="eastAsia" w:ascii="仿宋" w:hAnsi="仿宋" w:eastAsia="仿宋" w:cs="仿宋"/>
          <w:sz w:val="32"/>
          <w:szCs w:val="32"/>
        </w:rPr>
      </w:pPr>
      <w:r>
        <w:rPr>
          <w:rFonts w:hint="eastAsia" w:ascii="仿宋" w:hAnsi="仿宋" w:eastAsia="仿宋" w:cs="仿宋"/>
          <w:sz w:val="32"/>
          <w:szCs w:val="32"/>
        </w:rPr>
        <w:object>
          <v:shape id="_x0000_i1037" o:spt="75" type="#_x0000_t75" style="height:242.4pt;width:367.2pt;" o:ole="t" filled="f" o:preferrelative="t" stroked="f" coordsize="21600,21600">
            <v:path/>
            <v:fill on="f" focussize="0,0"/>
            <v:stroke on="f"/>
            <v:imagedata r:id="rId21" o:title=""/>
            <o:lock v:ext="edit" aspectratio="t"/>
            <w10:wrap type="none"/>
            <w10:anchorlock/>
          </v:shape>
          <o:OLEObject Type="Embed" ProgID="Excel.Chart.8" ShapeID="_x0000_i1037" DrawAspect="Content" ObjectID="_1468075730" r:id="rId20">
            <o:LockedField>false</o:LockedField>
          </o:OLEObject>
        </w:object>
      </w:r>
    </w:p>
    <w:p>
      <w:pPr>
        <w:pBdr>
          <w:top w:val="none" w:color="auto" w:sz="0" w:space="1"/>
          <w:left w:val="none" w:color="auto" w:sz="0" w:space="4"/>
          <w:bottom w:val="none" w:color="auto" w:sz="0" w:space="1"/>
          <w:right w:val="none" w:color="auto" w:sz="0" w:space="4"/>
        </w:pBdr>
        <w:spacing w:before="156" w:beforeLines="50" w:after="156" w:afterLines="50" w:line="360" w:lineRule="auto"/>
        <w:ind w:firstLine="420" w:firstLineChars="200"/>
        <w:jc w:val="center"/>
        <w:rPr>
          <w:rFonts w:hint="eastAsia" w:ascii="宋体" w:hAnsi="宋体" w:cs="宋体"/>
          <w:b/>
          <w:bCs/>
          <w:szCs w:val="21"/>
        </w:rPr>
      </w:pPr>
      <w:r>
        <w:rPr>
          <w:rFonts w:hint="eastAsia" w:ascii="宋体" w:hAnsi="宋体" w:cs="宋体"/>
          <w:b/>
          <w:bCs/>
          <w:szCs w:val="21"/>
        </w:rPr>
        <w:t>图1-</w:t>
      </w:r>
      <w:r>
        <w:rPr>
          <w:rFonts w:hint="eastAsia" w:ascii="宋体" w:hAnsi="宋体" w:cs="宋体"/>
          <w:b/>
          <w:bCs/>
          <w:szCs w:val="21"/>
          <w:lang w:val="en-US" w:eastAsia="zh-CN"/>
        </w:rPr>
        <w:t>6</w:t>
      </w:r>
      <w:r>
        <w:rPr>
          <w:rFonts w:hint="eastAsia" w:ascii="宋体" w:hAnsi="宋体" w:cs="宋体"/>
          <w:b/>
          <w:bCs/>
          <w:szCs w:val="21"/>
        </w:rPr>
        <w:t xml:space="preserve">  2021届不同性别毕业生的毕业流向</w:t>
      </w:r>
      <w:bookmarkStart w:id="33" w:name="_Toc22590"/>
    </w:p>
    <w:p>
      <w:pPr>
        <w:pBdr>
          <w:top w:val="none" w:color="auto" w:sz="0" w:space="1"/>
          <w:left w:val="none" w:color="auto" w:sz="0" w:space="4"/>
          <w:bottom w:val="none" w:color="auto" w:sz="0" w:space="1"/>
          <w:right w:val="none" w:color="auto" w:sz="0" w:space="4"/>
        </w:pBdr>
        <w:spacing w:before="156" w:beforeLines="50" w:after="156" w:afterLines="50" w:line="360" w:lineRule="auto"/>
        <w:ind w:firstLine="643" w:firstLineChars="200"/>
        <w:jc w:val="both"/>
        <w:rPr>
          <w:rFonts w:hint="eastAsia" w:ascii="仿宋" w:hAnsi="仿宋" w:eastAsia="仿宋" w:cs="仿宋"/>
          <w:b/>
          <w:bCs/>
          <w:sz w:val="32"/>
          <w:szCs w:val="32"/>
        </w:rPr>
      </w:pPr>
      <w:r>
        <w:rPr>
          <w:rFonts w:hint="eastAsia" w:ascii="仿宋" w:hAnsi="仿宋" w:eastAsia="仿宋" w:cs="仿宋"/>
          <w:b/>
          <w:bCs/>
          <w:sz w:val="32"/>
          <w:szCs w:val="32"/>
        </w:rPr>
        <w:t>2.本/外地生源毕业生的毕业流向分析</w:t>
      </w:r>
      <w:bookmarkEnd w:id="33"/>
    </w:p>
    <w:p>
      <w:pPr>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2021届毕业生升学总人数为85人（湖南省内生源64人，省外生源21人）。其中，湖南省内生源毕业生人数为745人，升学率为8.60%；湖南省外生源毕业生人数为107人，升学率为19.63%。</w:t>
      </w:r>
      <w:r>
        <w:rPr>
          <w:rFonts w:hint="eastAsia" w:ascii="仿宋" w:hAnsi="仿宋" w:eastAsia="仿宋" w:cs="仿宋"/>
          <w:sz w:val="32"/>
          <w:szCs w:val="32"/>
          <w:lang w:val="en-US" w:eastAsia="zh-CN"/>
        </w:rPr>
        <w:t>如图1-7所示。</w:t>
      </w:r>
    </w:p>
    <w:p>
      <w:pPr>
        <w:ind w:firstLine="420" w:firstLineChars="200"/>
        <w:jc w:val="center"/>
        <w:rPr>
          <w:rFonts w:hint="eastAsia" w:ascii="宋体" w:hAnsi="宋体" w:cs="宋体"/>
          <w:b/>
          <w:bCs/>
          <w:sz w:val="21"/>
          <w:szCs w:val="21"/>
        </w:rPr>
      </w:pPr>
      <w:r>
        <w:rPr>
          <w:rFonts w:hint="eastAsia" w:ascii="仿宋" w:hAnsi="仿宋" w:eastAsia="仿宋" w:cs="仿宋"/>
          <w:sz w:val="21"/>
          <w:szCs w:val="21"/>
        </w:rPr>
        <w:pict>
          <v:shape id="Object 7" o:spid="_x0000_s1031" o:spt="75" type="#_x0000_t75" style="position:absolute;left:0pt;margin-left:18.15pt;margin-top:6.9pt;height:184.7pt;width:440.25pt;mso-wrap-distance-bottom:0pt;mso-wrap-distance-left:9pt;mso-wrap-distance-right:9pt;mso-wrap-distance-top:0pt;z-index:251661312;mso-width-relative:page;mso-height-relative:page;" o:ole="t" filled="f" o:preferrelative="t" stroked="f" coordsize="21600,21600">
            <v:path/>
            <v:fill on="f" focussize="0,0"/>
            <v:stroke on="f"/>
            <v:imagedata r:id="rId23" o:title=""/>
            <o:lock v:ext="edit" aspectratio="t"/>
            <w10:wrap type="square"/>
          </v:shape>
          <o:OLEObject Type="Embed" ProgID="Excel.Chart.8" ShapeID="Object 7" DrawAspect="Content" ObjectID="_1468075731" r:id="rId22">
            <o:LockedField>false</o:LockedField>
          </o:OLEObject>
        </w:pict>
      </w:r>
      <w:r>
        <w:rPr>
          <w:rFonts w:hint="eastAsia" w:ascii="宋体" w:hAnsi="宋体" w:cs="宋体"/>
          <w:b/>
          <w:bCs/>
          <w:sz w:val="21"/>
          <w:szCs w:val="21"/>
        </w:rPr>
        <w:t>图1-</w:t>
      </w:r>
      <w:r>
        <w:rPr>
          <w:rFonts w:hint="eastAsia" w:ascii="宋体" w:hAnsi="宋体" w:cs="宋体"/>
          <w:b/>
          <w:bCs/>
          <w:sz w:val="21"/>
          <w:szCs w:val="21"/>
          <w:lang w:val="en-US" w:eastAsia="zh-CN"/>
        </w:rPr>
        <w:t>7</w:t>
      </w:r>
      <w:r>
        <w:rPr>
          <w:rFonts w:hint="eastAsia" w:ascii="宋体" w:hAnsi="宋体" w:cs="宋体"/>
          <w:b/>
          <w:bCs/>
          <w:sz w:val="21"/>
          <w:szCs w:val="21"/>
        </w:rPr>
        <w:t xml:space="preserve">  2021届本/外地生源毕业生的毕业流向</w:t>
      </w:r>
      <w:bookmarkStart w:id="34" w:name="_Toc8951"/>
    </w:p>
    <w:p>
      <w:pPr>
        <w:rPr>
          <w:rFonts w:hint="eastAsia" w:ascii="仿宋" w:hAnsi="仿宋" w:eastAsia="仿宋" w:cs="仿宋"/>
          <w:b/>
          <w:bCs/>
          <w:sz w:val="32"/>
          <w:szCs w:val="32"/>
        </w:rPr>
      </w:pPr>
      <w:r>
        <w:rPr>
          <w:rFonts w:hint="eastAsia" w:ascii="仿宋" w:hAnsi="仿宋" w:eastAsia="仿宋" w:cs="仿宋"/>
          <w:b/>
          <w:bCs/>
          <w:sz w:val="32"/>
          <w:szCs w:val="32"/>
        </w:rPr>
        <w:t>3.少数民族群体的毕业流向分析</w:t>
      </w:r>
      <w:bookmarkEnd w:id="34"/>
    </w:p>
    <w:p>
      <w:pPr>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我院2021届毕业生中少数民族人数为70人，就业人数59人，未就业11人，少数民族毕业生的就业率为84.29%，升学率为1.43%。</w:t>
      </w:r>
      <w:r>
        <w:rPr>
          <w:rFonts w:hint="eastAsia" w:ascii="仿宋" w:hAnsi="仿宋" w:eastAsia="仿宋" w:cs="仿宋"/>
          <w:sz w:val="32"/>
          <w:szCs w:val="32"/>
          <w:lang w:val="en-US" w:eastAsia="zh-CN"/>
        </w:rPr>
        <w:t>如图1-8所示。</w:t>
      </w:r>
    </w:p>
    <w:p>
      <w:pPr>
        <w:pBdr>
          <w:top w:val="none" w:color="auto" w:sz="0" w:space="1"/>
          <w:left w:val="none" w:color="auto" w:sz="0" w:space="4"/>
          <w:bottom w:val="none" w:color="auto" w:sz="0" w:space="1"/>
          <w:right w:val="none" w:color="auto" w:sz="0" w:space="4"/>
        </w:pBdr>
        <w:spacing w:line="480" w:lineRule="auto"/>
        <w:jc w:val="center"/>
        <w:rPr>
          <w:rFonts w:hint="eastAsia" w:ascii="宋体" w:hAnsi="宋体" w:cs="宋体"/>
          <w:b/>
          <w:bCs/>
          <w:sz w:val="44"/>
          <w:szCs w:val="44"/>
        </w:rPr>
      </w:pPr>
      <w:r>
        <w:rPr>
          <w:rFonts w:hint="eastAsia"/>
          <w:b/>
          <w:bCs/>
          <w:szCs w:val="21"/>
        </w:rPr>
        <w:pict>
          <v:shape id="Object 14" o:spid="_x0000_s1038" o:spt="75" type="#_x0000_t75" style="position:absolute;left:0pt;margin-left:18pt;margin-top:4.25pt;height:199.95pt;width:444.55pt;mso-wrap-distance-bottom:0pt;mso-wrap-distance-left:9pt;mso-wrap-distance-right:9pt;mso-wrap-distance-top:0pt;z-index:251662336;mso-width-relative:page;mso-height-relative:page;" o:ole="t" filled="f" o:preferrelative="t" stroked="f" coordsize="21600,21600">
            <v:path/>
            <v:fill on="f" focussize="0,0"/>
            <v:stroke on="f"/>
            <v:imagedata r:id="rId25" o:title=""/>
            <o:lock v:ext="edit" aspectratio="t"/>
            <w10:wrap type="square"/>
          </v:shape>
          <o:OLEObject Type="Embed" ProgID="Excel.Chart.8" ShapeID="Object 14" DrawAspect="Content" ObjectID="_1468075732" r:id="rId24">
            <o:LockedField>false</o:LockedField>
          </o:OLEObject>
        </w:pict>
      </w:r>
      <w:r>
        <w:rPr>
          <w:rFonts w:hint="eastAsia"/>
          <w:b/>
          <w:bCs/>
          <w:szCs w:val="21"/>
        </w:rPr>
        <w:t>图1-</w:t>
      </w:r>
      <w:r>
        <w:rPr>
          <w:rFonts w:hint="eastAsia"/>
          <w:b/>
          <w:bCs/>
          <w:szCs w:val="21"/>
          <w:lang w:val="en-US" w:eastAsia="zh-CN"/>
        </w:rPr>
        <w:t>8</w:t>
      </w:r>
      <w:r>
        <w:rPr>
          <w:rFonts w:hint="eastAsia"/>
          <w:b/>
          <w:bCs/>
          <w:szCs w:val="21"/>
        </w:rPr>
        <w:t xml:space="preserve"> 2021届少数民族毕业生的毕业流向</w:t>
      </w:r>
      <w:bookmarkEnd w:id="22"/>
      <w:bookmarkEnd w:id="23"/>
    </w:p>
    <w:p>
      <w:pPr>
        <w:keepNext w:val="0"/>
        <w:keepLines w:val="0"/>
        <w:widowControl w:val="0"/>
        <w:suppressLineNumbers w:val="0"/>
        <w:spacing w:before="0" w:beforeAutospacing="0" w:after="0" w:afterAutospacing="0" w:line="0" w:lineRule="atLeast"/>
        <w:ind w:left="0" w:right="0"/>
        <w:jc w:val="center"/>
        <w:outlineLvl w:val="0"/>
        <w:rPr>
          <w:rFonts w:hint="eastAsia" w:ascii="宋体" w:hAnsi="宋体" w:eastAsia="宋体" w:cs="宋体"/>
          <w:b/>
          <w:kern w:val="2"/>
          <w:sz w:val="44"/>
          <w:szCs w:val="44"/>
          <w:lang w:val="en-US" w:eastAsia="zh-CN" w:bidi="ar"/>
        </w:rPr>
      </w:pPr>
      <w:r>
        <w:rPr>
          <w:rFonts w:hint="eastAsia" w:ascii="宋体" w:hAnsi="宋体" w:eastAsia="宋体" w:cs="宋体"/>
          <w:b/>
          <w:kern w:val="2"/>
          <w:sz w:val="44"/>
          <w:szCs w:val="44"/>
          <w:lang w:val="en-US" w:eastAsia="zh-CN" w:bidi="ar"/>
        </w:rPr>
        <w:t>第二部分：就业工作相关分析</w:t>
      </w:r>
    </w:p>
    <w:p>
      <w:pPr>
        <w:pStyle w:val="3"/>
        <w:ind w:left="0" w:leftChars="0" w:firstLine="640" w:firstLineChars="200"/>
        <w:rPr>
          <w:rFonts w:hint="eastAsia"/>
        </w:rPr>
      </w:pPr>
      <w:r>
        <w:rPr>
          <w:rFonts w:hint="eastAsia" w:ascii="仿宋" w:hAnsi="仿宋" w:eastAsia="仿宋" w:cs="仿宋"/>
          <w:sz w:val="32"/>
          <w:szCs w:val="32"/>
        </w:rPr>
        <w:t>为了更加全面地分析研究2021届毕业生就业情况，对2021届毕业生毕业离校时至毕业离校后2个月内的就业状况进行了调查，内容主要包括：毕业生就业状况、对母校就业指导服务的评价、对人才培养的评价等模块。调查从2021年7月15日开始，持续到9月15日，历时2个月，共收到有效问卷</w:t>
      </w:r>
      <w:r>
        <w:rPr>
          <w:rFonts w:ascii="仿宋" w:hAnsi="仿宋" w:eastAsia="仿宋" w:cs="仿宋"/>
          <w:sz w:val="32"/>
          <w:szCs w:val="32"/>
        </w:rPr>
        <w:t>770</w:t>
      </w:r>
      <w:r>
        <w:rPr>
          <w:rFonts w:hint="eastAsia" w:ascii="仿宋" w:hAnsi="仿宋" w:eastAsia="仿宋" w:cs="仿宋"/>
          <w:sz w:val="32"/>
          <w:szCs w:val="32"/>
        </w:rPr>
        <w:t>份，回收率达100%。其中男生占有效样本的</w:t>
      </w:r>
      <w:r>
        <w:rPr>
          <w:rFonts w:hint="eastAsia" w:ascii="仿宋" w:hAnsi="仿宋" w:eastAsia="仿宋" w:cs="仿宋"/>
          <w:color w:val="000000"/>
          <w:sz w:val="32"/>
          <w:szCs w:val="32"/>
        </w:rPr>
        <w:t>30.40%，女生占69.60%。</w:t>
      </w:r>
      <w:r>
        <w:rPr>
          <w:rFonts w:hint="eastAsia" w:ascii="仿宋" w:hAnsi="仿宋" w:eastAsia="仿宋" w:cs="仿宋"/>
          <w:sz w:val="32"/>
          <w:szCs w:val="32"/>
        </w:rPr>
        <w:t>参与调研的毕业生覆盖了我院2021届毕业生所有专业。具体样本，如下表所示：</w:t>
      </w:r>
    </w:p>
    <w:tbl>
      <w:tblPr>
        <w:tblStyle w:val="16"/>
        <w:tblW w:w="8892" w:type="dxa"/>
        <w:jc w:val="center"/>
        <w:tblLayout w:type="fixed"/>
        <w:tblCellMar>
          <w:top w:w="15" w:type="dxa"/>
          <w:left w:w="15" w:type="dxa"/>
          <w:bottom w:w="15" w:type="dxa"/>
          <w:right w:w="15" w:type="dxa"/>
        </w:tblCellMar>
      </w:tblPr>
      <w:tblGrid>
        <w:gridCol w:w="15"/>
        <w:gridCol w:w="1427"/>
        <w:gridCol w:w="15"/>
        <w:gridCol w:w="1442"/>
        <w:gridCol w:w="1649"/>
        <w:gridCol w:w="15"/>
        <w:gridCol w:w="1442"/>
        <w:gridCol w:w="1430"/>
        <w:gridCol w:w="15"/>
        <w:gridCol w:w="1427"/>
        <w:gridCol w:w="15"/>
      </w:tblGrid>
      <w:tr>
        <w:tblPrEx>
          <w:tblCellMar>
            <w:top w:w="15" w:type="dxa"/>
            <w:left w:w="15" w:type="dxa"/>
            <w:bottom w:w="15" w:type="dxa"/>
            <w:right w:w="15" w:type="dxa"/>
          </w:tblCellMar>
        </w:tblPrEx>
        <w:trPr>
          <w:gridAfter w:val="1"/>
          <w:wBefore w:w="0" w:type="dxa"/>
          <w:wAfter w:w="15" w:type="dxa"/>
          <w:trHeight w:val="509" w:hRule="exact"/>
          <w:jc w:val="center"/>
        </w:trPr>
        <w:tc>
          <w:tcPr>
            <w:tcW w:w="1442" w:type="dxa"/>
            <w:gridSpan w:val="2"/>
            <w:tcBorders>
              <w:top w:val="single" w:color="000000" w:sz="12" w:space="0"/>
              <w:bottom w:val="single" w:color="000000" w:sz="12" w:space="0"/>
            </w:tcBorders>
            <w:shd w:val="clear" w:color="auto" w:fill="FFFFFF"/>
            <w:noWrap w:val="0"/>
            <w:vAlign w:val="center"/>
          </w:tcPr>
          <w:p>
            <w:pPr>
              <w:widowControl/>
              <w:spacing w:after="0"/>
              <w:jc w:val="center"/>
              <w:textAlignment w:val="center"/>
              <w:rPr>
                <w:rFonts w:hint="eastAsia" w:ascii="宋体" w:hAnsi="宋体" w:cs="宋体"/>
                <w:szCs w:val="21"/>
              </w:rPr>
            </w:pPr>
            <w:r>
              <w:rPr>
                <w:rFonts w:hint="eastAsia" w:ascii="宋体" w:hAnsi="宋体" w:cs="宋体"/>
                <w:kern w:val="0"/>
                <w:szCs w:val="21"/>
                <w:lang w:bidi="ar"/>
              </w:rPr>
              <w:t>专业名称</w:t>
            </w:r>
          </w:p>
        </w:tc>
        <w:tc>
          <w:tcPr>
            <w:tcW w:w="3106" w:type="dxa"/>
            <w:gridSpan w:val="3"/>
            <w:tcBorders>
              <w:top w:val="single" w:color="000000" w:sz="12" w:space="0"/>
              <w:bottom w:val="single" w:color="000000" w:sz="12" w:space="0"/>
            </w:tcBorders>
            <w:shd w:val="clear" w:color="auto" w:fill="FFFFFF"/>
            <w:noWrap w:val="0"/>
            <w:vAlign w:val="center"/>
          </w:tcPr>
          <w:p>
            <w:pPr>
              <w:widowControl/>
              <w:spacing w:after="0"/>
              <w:jc w:val="center"/>
              <w:textAlignment w:val="center"/>
              <w:rPr>
                <w:rFonts w:hint="eastAsia" w:ascii="宋体" w:hAnsi="宋体" w:cs="宋体"/>
                <w:szCs w:val="21"/>
              </w:rPr>
            </w:pPr>
            <w:r>
              <w:rPr>
                <w:rFonts w:hint="eastAsia" w:ascii="宋体" w:hAnsi="宋体" w:cs="宋体"/>
                <w:kern w:val="0"/>
                <w:szCs w:val="21"/>
                <w:lang w:bidi="ar"/>
              </w:rPr>
              <w:t>毕业生人数及所占比例</w:t>
            </w:r>
          </w:p>
        </w:tc>
        <w:tc>
          <w:tcPr>
            <w:tcW w:w="2887" w:type="dxa"/>
            <w:gridSpan w:val="3"/>
            <w:tcBorders>
              <w:top w:val="single" w:color="000000" w:sz="12" w:space="0"/>
              <w:bottom w:val="single" w:color="000000" w:sz="12" w:space="0"/>
            </w:tcBorders>
            <w:shd w:val="clear" w:color="auto" w:fill="FFFFFF"/>
            <w:noWrap w:val="0"/>
            <w:vAlign w:val="center"/>
          </w:tcPr>
          <w:p>
            <w:pPr>
              <w:widowControl/>
              <w:spacing w:after="0"/>
              <w:jc w:val="center"/>
              <w:textAlignment w:val="center"/>
              <w:rPr>
                <w:rFonts w:hint="eastAsia" w:ascii="宋体" w:hAnsi="宋体" w:cs="宋体"/>
                <w:szCs w:val="21"/>
              </w:rPr>
            </w:pPr>
            <w:r>
              <w:rPr>
                <w:rFonts w:hint="eastAsia" w:ascii="宋体" w:hAnsi="宋体" w:cs="宋体"/>
                <w:kern w:val="0"/>
                <w:szCs w:val="21"/>
                <w:lang w:bidi="ar"/>
              </w:rPr>
              <w:t>有效样本数及所占比例</w:t>
            </w:r>
          </w:p>
        </w:tc>
        <w:tc>
          <w:tcPr>
            <w:tcW w:w="1442" w:type="dxa"/>
            <w:gridSpan w:val="2"/>
            <w:tcBorders>
              <w:top w:val="single" w:color="000000" w:sz="12" w:space="0"/>
              <w:bottom w:val="single" w:color="000000" w:sz="12" w:space="0"/>
            </w:tcBorders>
            <w:shd w:val="clear" w:color="auto" w:fill="FFFFFF"/>
            <w:noWrap w:val="0"/>
            <w:vAlign w:val="center"/>
          </w:tcPr>
          <w:p>
            <w:pPr>
              <w:widowControl/>
              <w:spacing w:after="0"/>
              <w:jc w:val="center"/>
              <w:textAlignment w:val="center"/>
              <w:rPr>
                <w:rFonts w:hint="eastAsia" w:ascii="宋体" w:hAnsi="宋体" w:cs="宋体"/>
                <w:szCs w:val="21"/>
              </w:rPr>
            </w:pPr>
            <w:r>
              <w:rPr>
                <w:rFonts w:hint="eastAsia" w:ascii="宋体" w:hAnsi="宋体" w:cs="宋体"/>
                <w:kern w:val="0"/>
                <w:szCs w:val="21"/>
                <w:lang w:bidi="ar"/>
              </w:rPr>
              <w:t>有效样本占本专业毕业生比例</w:t>
            </w:r>
          </w:p>
        </w:tc>
      </w:tr>
      <w:tr>
        <w:tblPrEx>
          <w:tblCellMar>
            <w:top w:w="0" w:type="dxa"/>
            <w:left w:w="108" w:type="dxa"/>
            <w:bottom w:w="0" w:type="dxa"/>
            <w:right w:w="108" w:type="dxa"/>
          </w:tblCellMar>
        </w:tblPrEx>
        <w:trPr>
          <w:gridBefore w:val="1"/>
          <w:wBefore w:w="15" w:type="dxa"/>
          <w:wAfter w:w="0" w:type="dxa"/>
          <w:trHeight w:val="389"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ascii="宋体" w:hAnsi="宋体" w:cs="宋体"/>
                <w:sz w:val="20"/>
                <w:szCs w:val="21"/>
              </w:rPr>
            </w:pPr>
            <w:r>
              <w:rPr>
                <w:rFonts w:hint="eastAsia" w:ascii="黑体" w:hAnsi="宋体" w:eastAsia="黑体" w:cs="黑体"/>
                <w:kern w:val="0"/>
                <w:szCs w:val="21"/>
              </w:rPr>
              <w:t>针灸推拿学</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83</w:t>
            </w:r>
          </w:p>
        </w:tc>
        <w:tc>
          <w:tcPr>
            <w:tcW w:w="1664"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9.74%</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82</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9.62%</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98.79%</w:t>
            </w:r>
          </w:p>
        </w:tc>
      </w:tr>
      <w:tr>
        <w:tblPrEx>
          <w:tblCellMar>
            <w:top w:w="0" w:type="dxa"/>
            <w:left w:w="108" w:type="dxa"/>
            <w:bottom w:w="0" w:type="dxa"/>
            <w:right w:w="108" w:type="dxa"/>
          </w:tblCellMar>
        </w:tblPrEx>
        <w:trPr>
          <w:gridBefore w:val="1"/>
          <w:wBefore w:w="15" w:type="dxa"/>
          <w:wAfter w:w="0" w:type="dxa"/>
          <w:trHeight w:val="389"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sz w:val="20"/>
                <w:szCs w:val="21"/>
              </w:rPr>
            </w:pPr>
            <w:r>
              <w:rPr>
                <w:rFonts w:hint="eastAsia" w:ascii="黑体" w:hAnsi="宋体" w:eastAsia="黑体" w:cs="黑体"/>
                <w:kern w:val="0"/>
                <w:szCs w:val="21"/>
              </w:rPr>
              <w:t>康复治疗学</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35</w:t>
            </w:r>
          </w:p>
        </w:tc>
        <w:tc>
          <w:tcPr>
            <w:tcW w:w="1664" w:type="dxa"/>
            <w:gridSpan w:val="2"/>
            <w:shd w:val="clear" w:color="auto" w:fill="FFFFFF"/>
            <w:noWrap w:val="0"/>
            <w:tcMar>
              <w:top w:w="15" w:type="dxa"/>
              <w:left w:w="15" w:type="dxa"/>
              <w:bottom w:w="15" w:type="dxa"/>
              <w:right w:w="15" w:type="dxa"/>
            </w:tcMar>
            <w:vAlign w:val="center"/>
          </w:tcPr>
          <w:p>
            <w:pPr>
              <w:widowControl/>
              <w:spacing w:after="0"/>
              <w:ind w:firstLine="550" w:firstLineChars="250"/>
              <w:jc w:val="both"/>
              <w:textAlignment w:val="center"/>
              <w:rPr>
                <w:rFonts w:hint="eastAsia" w:ascii="宋体" w:hAnsi="宋体" w:cs="宋体"/>
                <w:color w:val="000000"/>
                <w:sz w:val="20"/>
                <w:szCs w:val="21"/>
              </w:rPr>
            </w:pPr>
            <w:r>
              <w:rPr>
                <w:rFonts w:hint="eastAsia" w:ascii="宋体" w:hAnsi="宋体" w:cs="宋体"/>
                <w:color w:val="000000"/>
                <w:kern w:val="0"/>
                <w:sz w:val="22"/>
                <w:szCs w:val="22"/>
              </w:rPr>
              <w:t>4.10%</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33</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3.87%</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94.28%</w:t>
            </w:r>
          </w:p>
        </w:tc>
      </w:tr>
      <w:tr>
        <w:tblPrEx>
          <w:tblCellMar>
            <w:top w:w="0" w:type="dxa"/>
            <w:left w:w="108" w:type="dxa"/>
            <w:bottom w:w="0" w:type="dxa"/>
            <w:right w:w="108" w:type="dxa"/>
          </w:tblCellMar>
        </w:tblPrEx>
        <w:trPr>
          <w:gridBefore w:val="1"/>
          <w:wBefore w:w="15" w:type="dxa"/>
          <w:wAfter w:w="0" w:type="dxa"/>
          <w:trHeight w:val="389"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sz w:val="20"/>
                <w:szCs w:val="21"/>
              </w:rPr>
            </w:pPr>
            <w:r>
              <w:rPr>
                <w:rFonts w:hint="eastAsia" w:ascii="黑体" w:hAnsi="宋体" w:eastAsia="黑体" w:cs="黑体"/>
                <w:kern w:val="0"/>
                <w:szCs w:val="21"/>
              </w:rPr>
              <w:t>医学影像技术</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40</w:t>
            </w:r>
          </w:p>
        </w:tc>
        <w:tc>
          <w:tcPr>
            <w:tcW w:w="1664"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4.50%</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36</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4.23%</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90%</w:t>
            </w:r>
          </w:p>
        </w:tc>
      </w:tr>
      <w:tr>
        <w:tblPrEx>
          <w:tblCellMar>
            <w:top w:w="0" w:type="dxa"/>
            <w:left w:w="108" w:type="dxa"/>
            <w:bottom w:w="0" w:type="dxa"/>
            <w:right w:w="108" w:type="dxa"/>
          </w:tblCellMar>
        </w:tblPrEx>
        <w:trPr>
          <w:gridBefore w:val="1"/>
          <w:wBefore w:w="15" w:type="dxa"/>
          <w:wAfter w:w="0" w:type="dxa"/>
          <w:trHeight w:val="389"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sz w:val="20"/>
                <w:szCs w:val="21"/>
              </w:rPr>
            </w:pPr>
            <w:r>
              <w:rPr>
                <w:rFonts w:hint="eastAsia" w:ascii="黑体" w:hAnsi="宋体" w:eastAsia="黑体" w:cs="黑体"/>
                <w:kern w:val="0"/>
                <w:szCs w:val="21"/>
              </w:rPr>
              <w:t>中医学</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109</w:t>
            </w:r>
          </w:p>
        </w:tc>
        <w:tc>
          <w:tcPr>
            <w:tcW w:w="1664"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12.80%</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szCs w:val="21"/>
              </w:rPr>
              <w:t>104</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12.20%</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90.82%</w:t>
            </w:r>
          </w:p>
        </w:tc>
      </w:tr>
      <w:tr>
        <w:tblPrEx>
          <w:tblCellMar>
            <w:top w:w="0" w:type="dxa"/>
            <w:left w:w="108" w:type="dxa"/>
            <w:bottom w:w="0" w:type="dxa"/>
            <w:right w:w="108" w:type="dxa"/>
          </w:tblCellMar>
        </w:tblPrEx>
        <w:trPr>
          <w:gridBefore w:val="1"/>
          <w:wBefore w:w="15" w:type="dxa"/>
          <w:wAfter w:w="0" w:type="dxa"/>
          <w:trHeight w:val="414"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sz w:val="20"/>
                <w:szCs w:val="21"/>
              </w:rPr>
            </w:pPr>
            <w:r>
              <w:rPr>
                <w:rFonts w:hint="eastAsia" w:ascii="黑体" w:hAnsi="宋体" w:eastAsia="黑体" w:cs="黑体"/>
                <w:kern w:val="0"/>
                <w:szCs w:val="21"/>
              </w:rPr>
              <w:t>中药学</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43</w:t>
            </w:r>
          </w:p>
        </w:tc>
        <w:tc>
          <w:tcPr>
            <w:tcW w:w="1664"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5.05%</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szCs w:val="21"/>
              </w:rPr>
              <w:t>35</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4.11%</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81.39%</w:t>
            </w:r>
          </w:p>
        </w:tc>
      </w:tr>
      <w:tr>
        <w:tblPrEx>
          <w:tblCellMar>
            <w:top w:w="0" w:type="dxa"/>
            <w:left w:w="108" w:type="dxa"/>
            <w:bottom w:w="0" w:type="dxa"/>
            <w:right w:w="108" w:type="dxa"/>
          </w:tblCellMar>
        </w:tblPrEx>
        <w:trPr>
          <w:gridBefore w:val="1"/>
          <w:wBefore w:w="15" w:type="dxa"/>
          <w:wAfter w:w="0" w:type="dxa"/>
          <w:trHeight w:val="331"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sz w:val="20"/>
                <w:szCs w:val="21"/>
              </w:rPr>
            </w:pPr>
            <w:r>
              <w:rPr>
                <w:rFonts w:hint="eastAsia" w:ascii="黑体" w:hAnsi="宋体" w:eastAsia="黑体" w:cs="黑体"/>
                <w:kern w:val="0"/>
                <w:szCs w:val="21"/>
              </w:rPr>
              <w:t>中西医临床医学</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106</w:t>
            </w:r>
          </w:p>
        </w:tc>
        <w:tc>
          <w:tcPr>
            <w:tcW w:w="1664"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12.44%</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szCs w:val="21"/>
              </w:rPr>
              <w:t>98</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11.50%</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92.45%</w:t>
            </w:r>
          </w:p>
        </w:tc>
      </w:tr>
      <w:tr>
        <w:tblPrEx>
          <w:tblCellMar>
            <w:top w:w="0" w:type="dxa"/>
            <w:left w:w="108" w:type="dxa"/>
            <w:bottom w:w="0" w:type="dxa"/>
            <w:right w:w="108" w:type="dxa"/>
          </w:tblCellMar>
        </w:tblPrEx>
        <w:trPr>
          <w:gridBefore w:val="1"/>
          <w:wBefore w:w="15" w:type="dxa"/>
          <w:wAfter w:w="0" w:type="dxa"/>
          <w:trHeight w:val="389"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sz w:val="20"/>
                <w:szCs w:val="21"/>
              </w:rPr>
            </w:pPr>
            <w:r>
              <w:rPr>
                <w:rFonts w:hint="eastAsia" w:ascii="黑体" w:hAnsi="宋体" w:eastAsia="黑体" w:cs="黑体"/>
                <w:kern w:val="0"/>
                <w:szCs w:val="21"/>
              </w:rPr>
              <w:t>药学</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81</w:t>
            </w:r>
          </w:p>
        </w:tc>
        <w:tc>
          <w:tcPr>
            <w:tcW w:w="1664"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9.50%</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szCs w:val="21"/>
              </w:rPr>
              <w:t>65</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7.63%</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80.24%</w:t>
            </w:r>
          </w:p>
        </w:tc>
      </w:tr>
      <w:tr>
        <w:tblPrEx>
          <w:tblCellMar>
            <w:top w:w="0" w:type="dxa"/>
            <w:left w:w="108" w:type="dxa"/>
            <w:bottom w:w="0" w:type="dxa"/>
            <w:right w:w="108" w:type="dxa"/>
          </w:tblCellMar>
        </w:tblPrEx>
        <w:trPr>
          <w:gridBefore w:val="1"/>
          <w:wBefore w:w="15" w:type="dxa"/>
          <w:wAfter w:w="0" w:type="dxa"/>
          <w:trHeight w:val="389"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kern w:val="0"/>
                <w:sz w:val="20"/>
                <w:szCs w:val="21"/>
              </w:rPr>
            </w:pPr>
            <w:r>
              <w:rPr>
                <w:rFonts w:hint="eastAsia" w:ascii="黑体" w:hAnsi="宋体" w:eastAsia="黑体" w:cs="黑体"/>
                <w:kern w:val="0"/>
                <w:szCs w:val="21"/>
              </w:rPr>
              <w:t>制药工程</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kern w:val="0"/>
                <w:sz w:val="22"/>
                <w:szCs w:val="22"/>
              </w:rPr>
            </w:pPr>
            <w:r>
              <w:rPr>
                <w:rFonts w:hint="eastAsia" w:ascii="宋体" w:hAnsi="宋体" w:cs="宋体"/>
                <w:color w:val="000000"/>
                <w:kern w:val="0"/>
                <w:sz w:val="22"/>
                <w:szCs w:val="22"/>
              </w:rPr>
              <w:t>40</w:t>
            </w:r>
          </w:p>
        </w:tc>
        <w:tc>
          <w:tcPr>
            <w:tcW w:w="1664"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kern w:val="0"/>
                <w:sz w:val="20"/>
                <w:szCs w:val="21"/>
              </w:rPr>
            </w:pPr>
            <w:r>
              <w:rPr>
                <w:rFonts w:hint="eastAsia" w:ascii="宋体" w:hAnsi="宋体" w:cs="宋体"/>
                <w:color w:val="000000"/>
                <w:kern w:val="0"/>
                <w:sz w:val="22"/>
                <w:szCs w:val="22"/>
              </w:rPr>
              <w:t>4.69%</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kern w:val="0"/>
                <w:sz w:val="20"/>
                <w:szCs w:val="21"/>
              </w:rPr>
            </w:pPr>
            <w:r>
              <w:rPr>
                <w:rFonts w:hint="eastAsia" w:ascii="宋体" w:hAnsi="宋体" w:cs="宋体"/>
                <w:color w:val="000000"/>
                <w:kern w:val="0"/>
                <w:szCs w:val="21"/>
              </w:rPr>
              <w:t>35</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kern w:val="0"/>
                <w:sz w:val="20"/>
                <w:szCs w:val="21"/>
              </w:rPr>
            </w:pPr>
            <w:r>
              <w:rPr>
                <w:rFonts w:hint="eastAsia" w:ascii="宋体" w:hAnsi="宋体" w:cs="宋体"/>
                <w:color w:val="000000"/>
                <w:kern w:val="0"/>
                <w:sz w:val="22"/>
                <w:szCs w:val="22"/>
              </w:rPr>
              <w:t>4.11%</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kern w:val="0"/>
                <w:sz w:val="20"/>
                <w:szCs w:val="21"/>
              </w:rPr>
            </w:pPr>
            <w:r>
              <w:rPr>
                <w:rFonts w:hint="eastAsia" w:ascii="宋体" w:hAnsi="宋体" w:cs="黑体"/>
                <w:color w:val="000000"/>
                <w:kern w:val="0"/>
                <w:szCs w:val="21"/>
              </w:rPr>
              <w:t>87.5%</w:t>
            </w:r>
          </w:p>
        </w:tc>
      </w:tr>
      <w:tr>
        <w:tblPrEx>
          <w:tblCellMar>
            <w:top w:w="0" w:type="dxa"/>
            <w:left w:w="108" w:type="dxa"/>
            <w:bottom w:w="0" w:type="dxa"/>
            <w:right w:w="108" w:type="dxa"/>
          </w:tblCellMar>
        </w:tblPrEx>
        <w:trPr>
          <w:gridBefore w:val="1"/>
          <w:wBefore w:w="15" w:type="dxa"/>
          <w:wAfter w:w="0" w:type="dxa"/>
          <w:trHeight w:val="389"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sz w:val="20"/>
                <w:szCs w:val="21"/>
              </w:rPr>
            </w:pPr>
            <w:r>
              <w:rPr>
                <w:rFonts w:hint="eastAsia" w:ascii="黑体" w:hAnsi="宋体" w:eastAsia="黑体" w:cs="黑体"/>
                <w:kern w:val="0"/>
                <w:szCs w:val="21"/>
              </w:rPr>
              <w:t>护理学</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289</w:t>
            </w:r>
          </w:p>
        </w:tc>
        <w:tc>
          <w:tcPr>
            <w:tcW w:w="1664"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33.93%</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szCs w:val="21"/>
              </w:rPr>
              <w:t>261</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30.63%</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90.31%</w:t>
            </w:r>
          </w:p>
        </w:tc>
      </w:tr>
      <w:tr>
        <w:tblPrEx>
          <w:tblCellMar>
            <w:top w:w="0" w:type="dxa"/>
            <w:left w:w="108" w:type="dxa"/>
            <w:bottom w:w="0" w:type="dxa"/>
            <w:right w:w="108" w:type="dxa"/>
          </w:tblCellMar>
        </w:tblPrEx>
        <w:trPr>
          <w:gridBefore w:val="1"/>
          <w:wBefore w:w="15" w:type="dxa"/>
          <w:wAfter w:w="0" w:type="dxa"/>
          <w:trHeight w:val="389"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sz w:val="20"/>
                <w:szCs w:val="21"/>
              </w:rPr>
            </w:pPr>
            <w:r>
              <w:rPr>
                <w:rFonts w:hint="eastAsia" w:ascii="黑体" w:hAnsi="宋体" w:eastAsia="黑体" w:cs="黑体"/>
                <w:kern w:val="0"/>
                <w:szCs w:val="21"/>
              </w:rPr>
              <w:t>市场营销</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25</w:t>
            </w:r>
          </w:p>
        </w:tc>
        <w:tc>
          <w:tcPr>
            <w:tcW w:w="1664"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2.93%</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21</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2.47%</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84%</w:t>
            </w:r>
          </w:p>
        </w:tc>
      </w:tr>
      <w:tr>
        <w:tblPrEx>
          <w:tblCellMar>
            <w:top w:w="0" w:type="dxa"/>
            <w:left w:w="108" w:type="dxa"/>
            <w:bottom w:w="0" w:type="dxa"/>
            <w:right w:w="108" w:type="dxa"/>
          </w:tblCellMar>
        </w:tblPrEx>
        <w:trPr>
          <w:gridBefore w:val="1"/>
          <w:wBefore w:w="15" w:type="dxa"/>
          <w:wAfter w:w="0" w:type="dxa"/>
          <w:trHeight w:val="389"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sz w:val="20"/>
                <w:szCs w:val="21"/>
              </w:rPr>
            </w:pPr>
            <w:r>
              <w:rPr>
                <w:rFonts w:hint="eastAsia" w:ascii="黑体" w:hAnsi="宋体" w:eastAsia="黑体" w:cs="黑体"/>
                <w:kern w:val="0"/>
                <w:szCs w:val="21"/>
              </w:rPr>
              <w:t>应用心理学</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1</w:t>
            </w:r>
          </w:p>
        </w:tc>
        <w:tc>
          <w:tcPr>
            <w:tcW w:w="1664"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0.12%</w:t>
            </w:r>
          </w:p>
        </w:tc>
        <w:tc>
          <w:tcPr>
            <w:tcW w:w="1442" w:type="dxa"/>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szCs w:val="21"/>
              </w:rPr>
              <w:t>0</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kern w:val="0"/>
                <w:sz w:val="22"/>
                <w:szCs w:val="22"/>
              </w:rPr>
              <w:t>0%                                                                                               %</w:t>
            </w:r>
          </w:p>
        </w:tc>
        <w:tc>
          <w:tcPr>
            <w:tcW w:w="1442"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黑体"/>
                <w:color w:val="000000"/>
                <w:kern w:val="0"/>
                <w:szCs w:val="21"/>
              </w:rPr>
              <w:t>0%</w:t>
            </w:r>
          </w:p>
        </w:tc>
      </w:tr>
      <w:tr>
        <w:tblPrEx>
          <w:tblCellMar>
            <w:top w:w="0" w:type="dxa"/>
            <w:left w:w="108" w:type="dxa"/>
            <w:bottom w:w="0" w:type="dxa"/>
            <w:right w:w="108" w:type="dxa"/>
          </w:tblCellMar>
        </w:tblPrEx>
        <w:trPr>
          <w:gridBefore w:val="1"/>
          <w:wBefore w:w="15" w:type="dxa"/>
          <w:wAfter w:w="0" w:type="dxa"/>
          <w:trHeight w:val="513" w:hRule="exact"/>
          <w:jc w:val="center"/>
        </w:trPr>
        <w:tc>
          <w:tcPr>
            <w:tcW w:w="1442"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sz w:val="20"/>
                <w:szCs w:val="21"/>
              </w:rPr>
            </w:pPr>
            <w:r>
              <w:rPr>
                <w:rFonts w:hint="eastAsia" w:ascii="宋体" w:hAnsi="宋体" w:cs="宋体"/>
                <w:szCs w:val="21"/>
              </w:rPr>
              <w:t>总数</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852</w:t>
            </w:r>
          </w:p>
        </w:tc>
        <w:tc>
          <w:tcPr>
            <w:tcW w:w="1664" w:type="dxa"/>
            <w:gridSpan w:val="2"/>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kern w:val="0"/>
                <w:sz w:val="22"/>
                <w:szCs w:val="22"/>
              </w:rPr>
              <w:t>100.00%</w:t>
            </w:r>
          </w:p>
        </w:tc>
        <w:tc>
          <w:tcPr>
            <w:tcW w:w="1442" w:type="dxa"/>
            <w:shd w:val="clear" w:color="auto" w:fill="auto"/>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r>
              <w:rPr>
                <w:rFonts w:hint="eastAsia" w:ascii="宋体" w:hAnsi="宋体" w:cs="宋体"/>
                <w:color w:val="000000"/>
                <w:sz w:val="22"/>
                <w:szCs w:val="22"/>
              </w:rPr>
              <w:t>770</w:t>
            </w:r>
          </w:p>
        </w:tc>
        <w:tc>
          <w:tcPr>
            <w:tcW w:w="1445" w:type="dxa"/>
            <w:gridSpan w:val="2"/>
            <w:shd w:val="clear" w:color="auto" w:fill="FFFFFF"/>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0"/>
                <w:szCs w:val="21"/>
              </w:rPr>
            </w:pPr>
            <w:r>
              <w:rPr>
                <w:rFonts w:hint="eastAsia" w:ascii="宋体" w:hAnsi="宋体" w:cs="宋体"/>
                <w:color w:val="000000"/>
                <w:szCs w:val="21"/>
              </w:rPr>
              <w:t>90.37%</w:t>
            </w:r>
          </w:p>
        </w:tc>
        <w:tc>
          <w:tcPr>
            <w:tcW w:w="1442" w:type="dxa"/>
            <w:gridSpan w:val="2"/>
            <w:noWrap w:val="0"/>
            <w:tcMar>
              <w:top w:w="15" w:type="dxa"/>
              <w:left w:w="15" w:type="dxa"/>
              <w:bottom w:w="15" w:type="dxa"/>
              <w:right w:w="15" w:type="dxa"/>
            </w:tcMar>
            <w:vAlign w:val="center"/>
          </w:tcPr>
          <w:p>
            <w:pPr>
              <w:widowControl/>
              <w:spacing w:after="0"/>
              <w:jc w:val="center"/>
              <w:textAlignment w:val="center"/>
              <w:rPr>
                <w:rFonts w:hint="eastAsia" w:ascii="宋体" w:hAnsi="宋体" w:cs="宋体"/>
                <w:color w:val="000000"/>
                <w:sz w:val="22"/>
                <w:szCs w:val="22"/>
              </w:rPr>
            </w:pPr>
          </w:p>
        </w:tc>
      </w:tr>
    </w:tbl>
    <w:p>
      <w:pPr>
        <w:pBdr>
          <w:top w:val="none" w:color="auto" w:sz="0" w:space="1"/>
          <w:left w:val="none" w:color="auto" w:sz="0" w:space="4"/>
          <w:bottom w:val="none" w:color="auto" w:sz="0" w:space="1"/>
          <w:right w:val="none" w:color="auto" w:sz="0" w:space="4"/>
        </w:pBdr>
        <w:spacing w:line="360" w:lineRule="auto"/>
        <w:jc w:val="center"/>
        <w:rPr>
          <w:rFonts w:hint="eastAsia" w:ascii="仿宋" w:hAnsi="仿宋" w:eastAsia="仿宋" w:cs="仿宋"/>
          <w:sz w:val="32"/>
          <w:szCs w:val="32"/>
        </w:rPr>
      </w:pPr>
      <w:r>
        <w:rPr>
          <w:rFonts w:hint="eastAsia"/>
          <w:b/>
          <w:bCs/>
          <w:szCs w:val="21"/>
        </w:rPr>
        <w:t>表2-1 2021届毕业生参与调研比率</w:t>
      </w:r>
    </w:p>
    <w:p>
      <w:pPr>
        <w:pBdr>
          <w:top w:val="none" w:color="auto" w:sz="0" w:space="1"/>
          <w:left w:val="none" w:color="auto" w:sz="0" w:space="4"/>
          <w:bottom w:val="none" w:color="auto" w:sz="0" w:space="1"/>
          <w:right w:val="none" w:color="auto" w:sz="0" w:space="4"/>
        </w:pBd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从上表可知，调查回收样本的专业分布与我院2021届毕业生专业分布大体接近。根据统计学原理，在社会调查中，当调查样本的集合特征接近于总体的集合特征，样本就有代表性。因此，此次调查的样本能够更好地代表我院2021届毕业生的情况。</w:t>
      </w:r>
    </w:p>
    <w:p>
      <w:pPr>
        <w:rPr>
          <w:rFonts w:hint="eastAsia" w:ascii="仿宋" w:hAnsi="仿宋" w:eastAsia="仿宋" w:cs="仿宋"/>
          <w:b/>
          <w:bCs/>
          <w:sz w:val="32"/>
          <w:szCs w:val="32"/>
        </w:rPr>
      </w:pPr>
      <w:bookmarkStart w:id="35" w:name="_Toc14287"/>
      <w:r>
        <w:rPr>
          <w:rFonts w:hint="eastAsia" w:ascii="仿宋" w:hAnsi="仿宋" w:eastAsia="仿宋" w:cs="仿宋"/>
          <w:b/>
          <w:bCs/>
          <w:sz w:val="32"/>
          <w:szCs w:val="32"/>
        </w:rPr>
        <w:t>一、相关满意度分析</w:t>
      </w:r>
      <w:bookmarkEnd w:id="35"/>
      <w:bookmarkStart w:id="36" w:name="_Toc5250"/>
    </w:p>
    <w:p>
      <w:pPr>
        <w:rPr>
          <w:rFonts w:hint="eastAsia" w:ascii="仿宋" w:hAnsi="仿宋" w:eastAsia="仿宋" w:cs="仿宋"/>
          <w:b/>
          <w:bCs/>
          <w:sz w:val="32"/>
          <w:szCs w:val="32"/>
        </w:rPr>
      </w:pPr>
      <w:r>
        <w:rPr>
          <w:rFonts w:hint="eastAsia" w:ascii="仿宋" w:hAnsi="仿宋" w:eastAsia="仿宋" w:cs="仿宋"/>
          <w:b/>
          <w:bCs/>
          <w:sz w:val="32"/>
          <w:szCs w:val="32"/>
        </w:rPr>
        <w:t>（一）总体的就业满意度</w:t>
      </w:r>
      <w:bookmarkEnd w:id="36"/>
    </w:p>
    <w:p>
      <w:pPr>
        <w:pBdr>
          <w:top w:val="none" w:color="auto" w:sz="0" w:space="1"/>
          <w:left w:val="none" w:color="auto" w:sz="0" w:space="4"/>
          <w:bottom w:val="none" w:color="auto" w:sz="0" w:space="1"/>
          <w:right w:val="none" w:color="auto" w:sz="0" w:space="4"/>
        </w:pBd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高校毕业生的就业质量指的是高校毕业生所获得的工作优劣程度及工作固有的特征满足高校毕业生的要求的程度，因此，毕业生就业满意度水平是衡量毕业生就业质量的重要指标之一。</w:t>
      </w:r>
    </w:p>
    <w:p>
      <w:pPr>
        <w:pBdr>
          <w:top w:val="none" w:color="auto" w:sz="0" w:space="1"/>
          <w:left w:val="none" w:color="auto" w:sz="0" w:space="4"/>
          <w:bottom w:val="none" w:color="auto" w:sz="0" w:space="1"/>
          <w:right w:val="none" w:color="auto" w:sz="0" w:space="4"/>
        </w:pBd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通过调查显示，7</w:t>
      </w:r>
      <w:r>
        <w:rPr>
          <w:rFonts w:ascii="仿宋" w:hAnsi="仿宋" w:eastAsia="仿宋" w:cs="仿宋"/>
          <w:sz w:val="32"/>
          <w:szCs w:val="32"/>
        </w:rPr>
        <w:t>9</w:t>
      </w:r>
      <w:r>
        <w:rPr>
          <w:rFonts w:hint="eastAsia" w:ascii="仿宋" w:hAnsi="仿宋" w:eastAsia="仿宋" w:cs="仿宋"/>
          <w:sz w:val="32"/>
          <w:szCs w:val="32"/>
        </w:rPr>
        <w:t>.93%毕业生对已落实的工作感到满意，毕业生的就业满意度整体较高，但仍有2</w:t>
      </w:r>
      <w:r>
        <w:rPr>
          <w:rFonts w:ascii="仿宋" w:hAnsi="仿宋" w:eastAsia="仿宋" w:cs="仿宋"/>
          <w:sz w:val="32"/>
          <w:szCs w:val="32"/>
        </w:rPr>
        <w:t>0</w:t>
      </w:r>
      <w:r>
        <w:rPr>
          <w:rFonts w:hint="eastAsia" w:ascii="仿宋" w:hAnsi="仿宋" w:eastAsia="仿宋" w:cs="仿宋"/>
          <w:sz w:val="32"/>
          <w:szCs w:val="32"/>
        </w:rPr>
        <w:t>.07%的毕业生对已落实的工作感到不满意，说明这部分毕业生对其已落实的工作与自身就业期望值有一定差距。</w:t>
      </w:r>
    </w:p>
    <w:p>
      <w:pPr>
        <w:pBdr>
          <w:top w:val="none" w:color="auto" w:sz="0" w:space="1"/>
          <w:left w:val="none" w:color="auto" w:sz="0" w:space="4"/>
          <w:bottom w:val="none" w:color="auto" w:sz="0" w:space="1"/>
          <w:right w:val="none" w:color="auto" w:sz="0" w:space="4"/>
        </w:pBdr>
        <w:spacing w:line="360" w:lineRule="auto"/>
        <w:ind w:firstLine="640" w:firstLineChars="200"/>
        <w:rPr>
          <w:rFonts w:hint="default" w:ascii="仿宋" w:hAnsi="仿宋" w:eastAsia="仿宋" w:cs="仿宋"/>
          <w:sz w:val="32"/>
          <w:szCs w:val="32"/>
          <w:lang w:val="en-US" w:eastAsia="zh-CN"/>
        </w:rPr>
      </w:pPr>
      <w:r>
        <w:rPr>
          <w:rFonts w:hint="eastAsia" w:ascii="仿宋" w:hAnsi="仿宋" w:eastAsia="仿宋" w:cs="仿宋"/>
          <w:sz w:val="32"/>
          <w:szCs w:val="32"/>
        </w:rPr>
        <w:t>对已落实工作感到不满意的毕业生调查其原因，排名首位的是薪资偏低/福利较差，占58.25%；其次为和原来就业目标不一致，占比31.15%。</w:t>
      </w:r>
      <w:r>
        <w:rPr>
          <w:rFonts w:hint="eastAsia" w:ascii="仿宋" w:hAnsi="仿宋" w:eastAsia="仿宋" w:cs="仿宋"/>
          <w:sz w:val="32"/>
          <w:szCs w:val="32"/>
          <w:lang w:val="en-US" w:eastAsia="zh-CN"/>
        </w:rPr>
        <w:t>如图2-1所示。</w:t>
      </w:r>
    </w:p>
    <w:p>
      <w:pPr>
        <w:pBdr>
          <w:top w:val="none" w:color="auto" w:sz="0" w:space="1"/>
          <w:left w:val="none" w:color="auto" w:sz="0" w:space="4"/>
          <w:bottom w:val="none" w:color="auto" w:sz="0" w:space="1"/>
          <w:right w:val="none" w:color="auto" w:sz="0" w:space="4"/>
        </w:pBdr>
        <w:spacing w:line="360" w:lineRule="auto"/>
        <w:jc w:val="center"/>
      </w:pPr>
      <w:r>
        <w:drawing>
          <wp:inline distT="0" distB="0" distL="114300" distR="114300">
            <wp:extent cx="4898390" cy="2558415"/>
            <wp:effectExtent l="0" t="0" r="16510" b="13335"/>
            <wp:docPr id="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6"/>
                    <pic:cNvPicPr>
                      <a:picLocks noChangeAspect="1"/>
                    </pic:cNvPicPr>
                  </pic:nvPicPr>
                  <pic:blipFill>
                    <a:blip r:embed="rId26"/>
                    <a:srcRect l="1030" t="10051" r="514" b="919"/>
                    <a:stretch>
                      <a:fillRect/>
                    </a:stretch>
                  </pic:blipFill>
                  <pic:spPr>
                    <a:xfrm>
                      <a:off x="0" y="0"/>
                      <a:ext cx="4898390" cy="2558415"/>
                    </a:xfrm>
                    <a:prstGeom prst="rect">
                      <a:avLst/>
                    </a:prstGeom>
                    <a:noFill/>
                    <a:ln>
                      <a:noFill/>
                    </a:ln>
                  </pic:spPr>
                </pic:pic>
              </a:graphicData>
            </a:graphic>
          </wp:inline>
        </w:drawing>
      </w:r>
    </w:p>
    <w:p>
      <w:pPr>
        <w:pBdr>
          <w:top w:val="none" w:color="auto" w:sz="0" w:space="1"/>
          <w:left w:val="none" w:color="auto" w:sz="0" w:space="4"/>
          <w:bottom w:val="none" w:color="auto" w:sz="0" w:space="1"/>
          <w:right w:val="none" w:color="auto" w:sz="0" w:space="4"/>
        </w:pBdr>
        <w:spacing w:line="480" w:lineRule="auto"/>
        <w:jc w:val="center"/>
        <w:rPr>
          <w:rFonts w:hint="eastAsia"/>
          <w:b/>
          <w:bCs/>
          <w:sz w:val="28"/>
          <w:szCs w:val="28"/>
        </w:rPr>
      </w:pPr>
      <w:r>
        <w:rPr>
          <w:rFonts w:hint="eastAsia"/>
          <w:b/>
          <w:bCs/>
          <w:szCs w:val="21"/>
        </w:rPr>
        <w:t>图2-</w:t>
      </w:r>
      <w:r>
        <w:rPr>
          <w:rFonts w:hint="eastAsia"/>
          <w:b/>
          <w:bCs/>
          <w:szCs w:val="21"/>
          <w:lang w:val="en-US" w:eastAsia="zh-CN"/>
        </w:rPr>
        <w:t>1</w:t>
      </w:r>
      <w:r>
        <w:rPr>
          <w:rFonts w:hint="eastAsia"/>
          <w:b/>
          <w:bCs/>
          <w:szCs w:val="21"/>
        </w:rPr>
        <w:t xml:space="preserve">  2021届毕业生对目前工作不满意的原因</w:t>
      </w:r>
      <w:bookmarkStart w:id="37" w:name="_Toc19955"/>
    </w:p>
    <w:p>
      <w:pPr>
        <w:rPr>
          <w:rFonts w:hint="eastAsia" w:ascii="仿宋" w:hAnsi="仿宋" w:eastAsia="仿宋" w:cs="仿宋"/>
          <w:b/>
          <w:bCs/>
          <w:sz w:val="32"/>
          <w:szCs w:val="32"/>
        </w:rPr>
      </w:pPr>
      <w:r>
        <w:rPr>
          <w:rFonts w:hint="eastAsia" w:ascii="仿宋" w:hAnsi="仿宋" w:eastAsia="仿宋" w:cs="仿宋"/>
          <w:b/>
          <w:bCs/>
          <w:sz w:val="32"/>
          <w:szCs w:val="32"/>
        </w:rPr>
        <w:t>（二）毕业生对高校的就业指导与服务工作评价情况</w:t>
      </w:r>
      <w:bookmarkEnd w:id="37"/>
    </w:p>
    <w:p>
      <w:pPr>
        <w:pBdr>
          <w:top w:val="none" w:color="auto" w:sz="0" w:space="1"/>
          <w:left w:val="none" w:color="auto" w:sz="0" w:space="4"/>
          <w:bottom w:val="none" w:color="auto" w:sz="0" w:space="1"/>
          <w:right w:val="none" w:color="auto" w:sz="0" w:space="4"/>
        </w:pBd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通过调查显示，毕业生对高校就业指导整体情况满意度为91.</w:t>
      </w:r>
      <w:r>
        <w:rPr>
          <w:rFonts w:ascii="仿宋" w:hAnsi="仿宋" w:eastAsia="仿宋" w:cs="仿宋"/>
          <w:sz w:val="32"/>
          <w:szCs w:val="32"/>
        </w:rPr>
        <w:t>74</w:t>
      </w:r>
      <w:r>
        <w:rPr>
          <w:rFonts w:hint="eastAsia" w:ascii="仿宋" w:hAnsi="仿宋" w:eastAsia="仿宋" w:cs="仿宋"/>
          <w:sz w:val="32"/>
          <w:szCs w:val="32"/>
        </w:rPr>
        <w:t>%。对就业信息提供与发布情况满意度为98.</w:t>
      </w:r>
      <w:r>
        <w:rPr>
          <w:rFonts w:ascii="仿宋" w:hAnsi="仿宋" w:eastAsia="仿宋" w:cs="仿宋"/>
          <w:sz w:val="32"/>
          <w:szCs w:val="32"/>
        </w:rPr>
        <w:t>54</w:t>
      </w:r>
      <w:r>
        <w:rPr>
          <w:rFonts w:hint="eastAsia" w:ascii="仿宋" w:hAnsi="仿宋" w:eastAsia="仿宋" w:cs="仿宋"/>
          <w:sz w:val="32"/>
          <w:szCs w:val="32"/>
        </w:rPr>
        <w:t>%；对校园招聘活动满意度为9</w:t>
      </w:r>
      <w:r>
        <w:rPr>
          <w:rFonts w:ascii="仿宋" w:hAnsi="仿宋" w:eastAsia="仿宋" w:cs="仿宋"/>
          <w:sz w:val="32"/>
          <w:szCs w:val="32"/>
        </w:rPr>
        <w:t>1</w:t>
      </w:r>
      <w:r>
        <w:rPr>
          <w:rFonts w:hint="eastAsia" w:ascii="仿宋" w:hAnsi="仿宋" w:eastAsia="仿宋" w:cs="仿宋"/>
          <w:sz w:val="32"/>
          <w:szCs w:val="32"/>
        </w:rPr>
        <w:t>.59%；对就业手续办理满意度为95.75%；对职业咨询/辅导满意度为96.43%；对就业指导/创业指导课满意度为92.67%。</w:t>
      </w:r>
    </w:p>
    <w:p>
      <w:pPr>
        <w:rPr>
          <w:rFonts w:hint="eastAsia" w:ascii="仿宋" w:hAnsi="仿宋" w:eastAsia="仿宋" w:cs="仿宋"/>
          <w:b/>
          <w:bCs/>
          <w:sz w:val="32"/>
          <w:szCs w:val="32"/>
        </w:rPr>
      </w:pPr>
      <w:bookmarkStart w:id="38" w:name="_Toc7221"/>
      <w:r>
        <w:rPr>
          <w:rFonts w:hint="eastAsia" w:ascii="仿宋" w:hAnsi="仿宋" w:eastAsia="仿宋" w:cs="仿宋"/>
          <w:b/>
          <w:bCs/>
          <w:sz w:val="32"/>
          <w:szCs w:val="32"/>
        </w:rPr>
        <w:t>（三）毕业生对高校人才培养的评价情况</w:t>
      </w:r>
      <w:bookmarkEnd w:id="38"/>
    </w:p>
    <w:p>
      <w:pPr>
        <w:pBdr>
          <w:top w:val="none" w:color="auto" w:sz="0" w:space="1"/>
          <w:left w:val="none" w:color="auto" w:sz="0" w:space="4"/>
          <w:bottom w:val="none" w:color="auto" w:sz="0" w:space="1"/>
          <w:right w:val="none" w:color="auto" w:sz="0" w:space="4"/>
        </w:pBd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通过调查显示，毕业生对高校人才培养的整体状况满意度为8</w:t>
      </w:r>
      <w:r>
        <w:rPr>
          <w:rFonts w:ascii="仿宋" w:hAnsi="仿宋" w:eastAsia="仿宋" w:cs="仿宋"/>
          <w:sz w:val="32"/>
          <w:szCs w:val="32"/>
        </w:rPr>
        <w:t>9</w:t>
      </w:r>
      <w:r>
        <w:rPr>
          <w:rFonts w:hint="eastAsia" w:ascii="仿宋" w:hAnsi="仿宋" w:eastAsia="仿宋" w:cs="仿宋"/>
          <w:sz w:val="32"/>
          <w:szCs w:val="32"/>
        </w:rPr>
        <w:t>.93%，其中课程设置满意度为8</w:t>
      </w:r>
      <w:r>
        <w:rPr>
          <w:rFonts w:ascii="仿宋" w:hAnsi="仿宋" w:eastAsia="仿宋" w:cs="仿宋"/>
          <w:sz w:val="32"/>
          <w:szCs w:val="32"/>
        </w:rPr>
        <w:t>3</w:t>
      </w:r>
      <w:r>
        <w:rPr>
          <w:rFonts w:hint="eastAsia" w:ascii="仿宋" w:hAnsi="仿宋" w:eastAsia="仿宋" w:cs="仿宋"/>
          <w:sz w:val="32"/>
          <w:szCs w:val="32"/>
        </w:rPr>
        <w:t>.62%；专业设置满意度为83.66%；教学方法和手段8</w:t>
      </w:r>
      <w:r>
        <w:rPr>
          <w:rFonts w:ascii="仿宋" w:hAnsi="仿宋" w:eastAsia="仿宋" w:cs="仿宋"/>
          <w:sz w:val="32"/>
          <w:szCs w:val="32"/>
        </w:rPr>
        <w:t>3</w:t>
      </w:r>
      <w:r>
        <w:rPr>
          <w:rFonts w:hint="eastAsia" w:ascii="仿宋" w:hAnsi="仿宋" w:eastAsia="仿宋" w:cs="仿宋"/>
          <w:sz w:val="32"/>
          <w:szCs w:val="32"/>
        </w:rPr>
        <w:t>.</w:t>
      </w:r>
      <w:r>
        <w:rPr>
          <w:rFonts w:ascii="仿宋" w:hAnsi="仿宋" w:eastAsia="仿宋" w:cs="仿宋"/>
          <w:sz w:val="32"/>
          <w:szCs w:val="32"/>
        </w:rPr>
        <w:t>1</w:t>
      </w:r>
      <w:r>
        <w:rPr>
          <w:rFonts w:hint="eastAsia" w:ascii="仿宋" w:hAnsi="仿宋" w:eastAsia="仿宋" w:cs="仿宋"/>
          <w:sz w:val="32"/>
          <w:szCs w:val="32"/>
        </w:rPr>
        <w:t>6%；对教学内容、教学质量和教学组织与管理的满意度为89.36%；对实践教学的满意度为8</w:t>
      </w:r>
      <w:r>
        <w:rPr>
          <w:rFonts w:ascii="仿宋" w:hAnsi="仿宋" w:eastAsia="仿宋" w:cs="仿宋"/>
          <w:sz w:val="32"/>
          <w:szCs w:val="32"/>
        </w:rPr>
        <w:t>5</w:t>
      </w:r>
      <w:r>
        <w:rPr>
          <w:rFonts w:hint="eastAsia" w:ascii="仿宋" w:hAnsi="仿宋" w:eastAsia="仿宋" w:cs="仿宋"/>
          <w:sz w:val="32"/>
          <w:szCs w:val="32"/>
        </w:rPr>
        <w:t>.09%。</w:t>
      </w:r>
    </w:p>
    <w:p>
      <w:pPr>
        <w:rPr>
          <w:rFonts w:hint="eastAsia" w:ascii="仿宋" w:hAnsi="仿宋" w:eastAsia="仿宋" w:cs="仿宋"/>
          <w:b/>
          <w:bCs/>
          <w:sz w:val="32"/>
          <w:szCs w:val="32"/>
        </w:rPr>
      </w:pPr>
      <w:bookmarkStart w:id="39" w:name="_Toc17949"/>
      <w:r>
        <w:rPr>
          <w:rFonts w:hint="eastAsia" w:ascii="仿宋" w:hAnsi="仿宋" w:eastAsia="仿宋" w:cs="仿宋"/>
          <w:b/>
          <w:bCs/>
          <w:sz w:val="32"/>
          <w:szCs w:val="32"/>
        </w:rPr>
        <w:t>二、就业发展趋势分析</w:t>
      </w:r>
      <w:bookmarkEnd w:id="39"/>
    </w:p>
    <w:p>
      <w:pPr>
        <w:pBdr>
          <w:top w:val="none" w:color="auto" w:sz="0" w:space="1"/>
          <w:left w:val="none" w:color="auto" w:sz="0" w:space="4"/>
          <w:bottom w:val="none" w:color="auto" w:sz="0" w:space="1"/>
          <w:right w:val="none" w:color="auto" w:sz="0" w:space="4"/>
        </w:pBd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为了全面研究我院毕业生就业发展趋势，我们对2015-2021届毕业生的初次就业率</w:t>
      </w:r>
      <w:r>
        <w:rPr>
          <w:rFonts w:hint="eastAsia" w:ascii="仿宋" w:hAnsi="仿宋" w:eastAsia="仿宋" w:cs="仿宋"/>
          <w:sz w:val="32"/>
          <w:szCs w:val="32"/>
          <w:vertAlign w:val="superscript"/>
        </w:rPr>
        <w:footnoteReference w:id="0"/>
      </w:r>
      <w:r>
        <w:rPr>
          <w:rFonts w:hint="eastAsia" w:ascii="仿宋" w:hAnsi="仿宋" w:eastAsia="仿宋" w:cs="仿宋"/>
          <w:sz w:val="32"/>
          <w:szCs w:val="32"/>
        </w:rPr>
        <w:t>、就业流向的变化趋势进行了分析，以便后期通过采取针对性地措施来改进我院毕业生的就业状况。</w:t>
      </w:r>
    </w:p>
    <w:p>
      <w:pPr>
        <w:rPr>
          <w:rFonts w:hint="eastAsia" w:ascii="仿宋" w:hAnsi="仿宋" w:eastAsia="仿宋" w:cs="仿宋"/>
          <w:b/>
          <w:bCs/>
          <w:sz w:val="32"/>
          <w:szCs w:val="32"/>
        </w:rPr>
      </w:pPr>
      <w:bookmarkStart w:id="40" w:name="_Toc15630"/>
      <w:r>
        <w:rPr>
          <w:rFonts w:hint="eastAsia" w:ascii="仿宋" w:hAnsi="仿宋" w:eastAsia="仿宋" w:cs="仿宋"/>
          <w:b/>
          <w:bCs/>
          <w:sz w:val="32"/>
          <w:szCs w:val="32"/>
        </w:rPr>
        <w:t>（一）就业率变化趋势</w:t>
      </w:r>
      <w:bookmarkEnd w:id="40"/>
    </w:p>
    <w:p>
      <w:pPr>
        <w:pBdr>
          <w:top w:val="none" w:color="auto" w:sz="0" w:space="1"/>
          <w:left w:val="none" w:color="auto" w:sz="0" w:space="4"/>
          <w:bottom w:val="none" w:color="auto" w:sz="0" w:space="1"/>
          <w:right w:val="none" w:color="auto" w:sz="0" w:space="4"/>
        </w:pBdr>
        <w:spacing w:line="360" w:lineRule="auto"/>
        <w:ind w:firstLine="640" w:firstLineChars="200"/>
        <w:rPr>
          <w:rFonts w:hint="eastAsia" w:ascii="仿宋" w:hAnsi="仿宋" w:eastAsia="仿宋" w:cs="仿宋"/>
          <w:sz w:val="32"/>
          <w:szCs w:val="32"/>
        </w:rPr>
      </w:pPr>
      <w:r>
        <w:rPr>
          <w:rFonts w:hint="eastAsia" w:ascii="仿宋" w:hAnsi="仿宋" w:eastAsia="仿宋" w:cs="仿宋"/>
          <w:sz w:val="32"/>
          <w:szCs w:val="32"/>
        </w:rPr>
        <w:t>国务院2010年6月6日正式发布的《国家中长期教育改革和发展规划纲要（2010-202</w:t>
      </w:r>
      <w:r>
        <w:rPr>
          <w:rFonts w:ascii="仿宋" w:hAnsi="仿宋" w:eastAsia="仿宋" w:cs="仿宋"/>
          <w:sz w:val="32"/>
          <w:szCs w:val="32"/>
        </w:rPr>
        <w:t>0</w:t>
      </w:r>
      <w:r>
        <w:rPr>
          <w:rFonts w:hint="eastAsia" w:ascii="仿宋" w:hAnsi="仿宋" w:eastAsia="仿宋" w:cs="仿宋"/>
          <w:sz w:val="32"/>
          <w:szCs w:val="32"/>
        </w:rPr>
        <w:t>年）》提出，2009-202</w:t>
      </w:r>
      <w:r>
        <w:rPr>
          <w:rFonts w:ascii="仿宋" w:hAnsi="仿宋" w:eastAsia="仿宋" w:cs="仿宋"/>
          <w:sz w:val="32"/>
          <w:szCs w:val="32"/>
        </w:rPr>
        <w:t>0</w:t>
      </w:r>
      <w:r>
        <w:rPr>
          <w:rFonts w:hint="eastAsia" w:ascii="仿宋" w:hAnsi="仿宋" w:eastAsia="仿宋" w:cs="仿宋"/>
          <w:sz w:val="32"/>
          <w:szCs w:val="32"/>
        </w:rPr>
        <w:t>年，高等教育总规模从2979万人增加到3550万人。可见预见今后若干年毕业生数量在逐年增加，但在另一方面，毕业生社会需求量却很难实现同步增长，大学生就业竞争更加激烈，就业形势将会持续严峻。</w:t>
      </w:r>
    </w:p>
    <w:p>
      <w:pPr>
        <w:pBdr>
          <w:top w:val="none" w:color="auto" w:sz="0" w:space="1"/>
          <w:left w:val="none" w:color="auto" w:sz="0" w:space="4"/>
          <w:bottom w:val="none" w:color="auto" w:sz="0" w:space="1"/>
          <w:right w:val="none" w:color="auto" w:sz="0" w:space="4"/>
        </w:pBdr>
        <w:spacing w:line="360" w:lineRule="auto"/>
        <w:ind w:firstLine="640" w:firstLineChars="200"/>
        <w:rPr>
          <w:rFonts w:hint="eastAsia" w:ascii="仿宋" w:hAnsi="仿宋" w:eastAsia="仿宋" w:cs="仿宋"/>
          <w:sz w:val="32"/>
          <w:szCs w:val="32"/>
          <w:lang w:val="en-US" w:eastAsia="zh-CN"/>
        </w:rPr>
      </w:pPr>
      <w:r>
        <w:rPr>
          <w:rFonts w:hint="eastAsia" w:ascii="仿宋" w:hAnsi="仿宋" w:eastAsia="仿宋" w:cs="仿宋"/>
          <w:sz w:val="32"/>
          <w:szCs w:val="32"/>
        </w:rPr>
        <w:t>纵观历年就业情况，我院201</w:t>
      </w:r>
      <w:r>
        <w:rPr>
          <w:rFonts w:ascii="仿宋" w:hAnsi="仿宋" w:eastAsia="仿宋" w:cs="仿宋"/>
          <w:sz w:val="32"/>
          <w:szCs w:val="32"/>
        </w:rPr>
        <w:t>4</w:t>
      </w:r>
      <w:r>
        <w:rPr>
          <w:rFonts w:hint="eastAsia" w:ascii="仿宋" w:hAnsi="仿宋" w:eastAsia="仿宋" w:cs="仿宋"/>
          <w:sz w:val="32"/>
          <w:szCs w:val="32"/>
        </w:rPr>
        <w:t>届到2021届毕业生总体就业情况良好，初次就业率始终保持较高水平。2017年随着毕业生人数的减少，就业形势的严峻，部分毕业生缺乏职业生涯规划，或对单位选择的要求过高，就业率稍有下降。</w:t>
      </w:r>
      <w:r>
        <w:rPr>
          <w:rFonts w:hint="eastAsia" w:ascii="仿宋" w:hAnsi="仿宋" w:eastAsia="仿宋" w:cs="仿宋"/>
          <w:sz w:val="32"/>
          <w:szCs w:val="32"/>
          <w:lang w:val="en-US" w:eastAsia="zh-CN"/>
        </w:rPr>
        <w:t>如图2-2所示。</w:t>
      </w:r>
    </w:p>
    <w:p>
      <w:pPr>
        <w:pBdr>
          <w:top w:val="none" w:color="auto" w:sz="0" w:space="1"/>
          <w:left w:val="none" w:color="auto" w:sz="0" w:space="4"/>
          <w:bottom w:val="none" w:color="auto" w:sz="0" w:space="1"/>
          <w:right w:val="none" w:color="auto" w:sz="0" w:space="4"/>
        </w:pBdr>
        <w:spacing w:line="360" w:lineRule="auto"/>
        <w:ind w:firstLine="640" w:firstLineChars="200"/>
        <w:jc w:val="center"/>
        <w:rPr>
          <w:rFonts w:hint="eastAsia"/>
          <w:color w:val="FF0000"/>
        </w:rPr>
      </w:pPr>
      <w:r>
        <w:rPr>
          <w:rFonts w:hint="eastAsia" w:ascii="仿宋" w:hAnsi="仿宋" w:eastAsia="仿宋" w:cs="仿宋"/>
          <w:sz w:val="32"/>
          <w:szCs w:val="32"/>
        </w:rPr>
        <w:pict>
          <v:shape id="_x0000_s1045" o:spid="_x0000_s1045" o:spt="75" type="#_x0000_t75" style="position:absolute;left:0pt;margin-left:-43.85pt;margin-top:10.6pt;height:371.25pt;width:528.4pt;mso-wrap-distance-bottom:0pt;mso-wrap-distance-left:9pt;mso-wrap-distance-right:9pt;mso-wrap-distance-top:0pt;z-index:251664384;mso-width-relative:page;mso-height-relative:page;" o:ole="t" filled="f" o:preferrelative="t" stroked="f" coordsize="21600,21600">
            <v:path/>
            <v:fill on="f" focussize="0,0"/>
            <v:stroke on="f"/>
            <v:imagedata r:id="rId28" o:title=""/>
            <o:lock v:ext="edit" aspectratio="t"/>
            <w10:wrap type="square"/>
          </v:shape>
          <o:OLEObject Type="Embed" ProgID="Excel.Chart.8" ShapeID="_x0000_s1045" DrawAspect="Content" ObjectID="_1468075733" r:id="rId27">
            <o:LockedField>false</o:LockedField>
          </o:OLEObject>
        </w:pict>
      </w:r>
      <w:r>
        <w:rPr>
          <w:rFonts w:hint="eastAsia" w:ascii="宋体" w:hAnsi="宋体" w:cs="宋体"/>
          <w:b/>
          <w:bCs/>
          <w:szCs w:val="21"/>
        </w:rPr>
        <w:t>图2-</w:t>
      </w:r>
      <w:r>
        <w:rPr>
          <w:rFonts w:hint="eastAsia" w:ascii="宋体" w:hAnsi="宋体" w:cs="宋体"/>
          <w:b/>
          <w:bCs/>
          <w:szCs w:val="21"/>
          <w:lang w:val="en-US" w:eastAsia="zh-CN"/>
        </w:rPr>
        <w:t>2</w:t>
      </w:r>
      <w:r>
        <w:rPr>
          <w:rFonts w:hint="eastAsia" w:ascii="宋体" w:hAnsi="宋体" w:cs="宋体"/>
          <w:b/>
          <w:bCs/>
          <w:szCs w:val="21"/>
        </w:rPr>
        <w:t xml:space="preserve"> 2014-2021届毕业生就业率发展趋势</w:t>
      </w:r>
    </w:p>
    <w:p>
      <w:pPr>
        <w:numPr>
          <w:ilvl w:val="0"/>
          <w:numId w:val="2"/>
        </w:numPr>
        <w:rPr>
          <w:rFonts w:hint="eastAsia" w:ascii="仿宋" w:hAnsi="仿宋" w:eastAsia="仿宋" w:cs="仿宋"/>
          <w:b/>
          <w:bCs/>
          <w:sz w:val="32"/>
          <w:szCs w:val="32"/>
        </w:rPr>
      </w:pPr>
      <w:bookmarkStart w:id="41" w:name="_Toc8752"/>
      <w:r>
        <w:rPr>
          <w:rFonts w:hint="eastAsia" w:ascii="仿宋" w:hAnsi="仿宋" w:eastAsia="仿宋" w:cs="仿宋"/>
          <w:b/>
          <w:bCs/>
          <w:sz w:val="32"/>
          <w:szCs w:val="32"/>
        </w:rPr>
        <w:t>直接就业</w:t>
      </w:r>
      <w:r>
        <w:rPr>
          <w:rFonts w:hint="eastAsia" w:ascii="仿宋" w:hAnsi="仿宋" w:eastAsia="仿宋" w:cs="仿宋"/>
          <w:b/>
          <w:bCs/>
          <w:sz w:val="32"/>
          <w:szCs w:val="32"/>
          <w:vertAlign w:val="superscript"/>
        </w:rPr>
        <w:footnoteReference w:id="1"/>
      </w:r>
      <w:r>
        <w:rPr>
          <w:rFonts w:hint="eastAsia" w:ascii="仿宋" w:hAnsi="仿宋" w:eastAsia="仿宋" w:cs="仿宋"/>
          <w:b/>
          <w:bCs/>
          <w:sz w:val="32"/>
          <w:szCs w:val="32"/>
        </w:rPr>
        <w:t>与深造</w:t>
      </w:r>
      <w:r>
        <w:rPr>
          <w:rFonts w:hint="eastAsia" w:ascii="仿宋" w:hAnsi="仿宋" w:eastAsia="仿宋" w:cs="仿宋"/>
          <w:b/>
          <w:bCs/>
          <w:sz w:val="32"/>
          <w:szCs w:val="32"/>
          <w:vertAlign w:val="superscript"/>
        </w:rPr>
        <w:footnoteReference w:id="2"/>
      </w:r>
      <w:r>
        <w:rPr>
          <w:rFonts w:hint="eastAsia" w:ascii="仿宋" w:hAnsi="仿宋" w:eastAsia="仿宋" w:cs="仿宋"/>
          <w:b/>
          <w:bCs/>
          <w:sz w:val="32"/>
          <w:szCs w:val="32"/>
        </w:rPr>
        <w:t>的变化趋势</w:t>
      </w:r>
      <w:bookmarkEnd w:id="41"/>
    </w:p>
    <w:p>
      <w:pPr>
        <w:ind w:firstLine="640" w:firstLineChars="200"/>
        <w:rPr>
          <w:rFonts w:hint="default" w:eastAsia="仿宋"/>
          <w:lang w:val="en-US" w:eastAsia="zh-CN"/>
        </w:rPr>
      </w:pPr>
      <w:r>
        <w:rPr>
          <w:rFonts w:hint="eastAsia" w:ascii="仿宋" w:hAnsi="仿宋" w:eastAsia="仿宋" w:cs="仿宋"/>
          <w:sz w:val="32"/>
          <w:szCs w:val="32"/>
        </w:rPr>
        <w:t>随着社会竞争愈加激烈、就业压力不断增大，在毕业生总数及就业率总体保持相对稳定的情况下，我院2015-2021届毕业生中选择继续深造的毕业生人数比例有所波动，选择毕业后直接就业的毕业生人数逐年增加。</w:t>
      </w:r>
      <w:r>
        <w:rPr>
          <w:rFonts w:hint="eastAsia" w:ascii="仿宋" w:hAnsi="仿宋" w:eastAsia="仿宋" w:cs="仿宋"/>
          <w:sz w:val="32"/>
          <w:szCs w:val="32"/>
          <w:lang w:val="en-US" w:eastAsia="zh-CN"/>
        </w:rPr>
        <w:t>如图2-3所示。</w:t>
      </w:r>
    </w:p>
    <w:p>
      <w:pPr>
        <w:jc w:val="center"/>
        <w:rPr>
          <w:rFonts w:hint="eastAsia" w:eastAsia="宋体"/>
          <w:lang w:eastAsia="zh-CN"/>
        </w:rPr>
      </w:pPr>
      <w:r>
        <w:rPr>
          <w:rFonts w:ascii="宋体" w:hAnsi="宋体" w:eastAsia="宋体" w:cs="宋体"/>
          <w:sz w:val="24"/>
          <w:szCs w:val="24"/>
        </w:rPr>
        <w:drawing>
          <wp:inline distT="0" distB="0" distL="114300" distR="114300">
            <wp:extent cx="5446395" cy="3646805"/>
            <wp:effectExtent l="0" t="0" r="1905" b="10795"/>
            <wp:docPr id="3"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7" descr="IMG_256"/>
                    <pic:cNvPicPr>
                      <a:picLocks noChangeAspect="1"/>
                    </pic:cNvPicPr>
                  </pic:nvPicPr>
                  <pic:blipFill>
                    <a:blip r:embed="rId29"/>
                    <a:srcRect t="10155"/>
                    <a:stretch>
                      <a:fillRect/>
                    </a:stretch>
                  </pic:blipFill>
                  <pic:spPr>
                    <a:xfrm>
                      <a:off x="0" y="0"/>
                      <a:ext cx="5446395" cy="3646805"/>
                    </a:xfrm>
                    <a:prstGeom prst="rect">
                      <a:avLst/>
                    </a:prstGeom>
                    <a:noFill/>
                    <a:ln>
                      <a:noFill/>
                    </a:ln>
                  </pic:spPr>
                </pic:pic>
              </a:graphicData>
            </a:graphic>
          </wp:inline>
        </w:drawing>
      </w:r>
    </w:p>
    <w:p>
      <w:pPr>
        <w:widowControl/>
        <w:jc w:val="center"/>
        <w:rPr>
          <w:rFonts w:hint="eastAsia"/>
          <w:color w:val="FF0000"/>
        </w:rPr>
      </w:pPr>
      <w:r>
        <w:rPr>
          <w:rFonts w:hint="eastAsia" w:ascii="宋体" w:hAnsi="宋体" w:cs="宋体"/>
          <w:b/>
          <w:bCs/>
          <w:szCs w:val="21"/>
        </w:rPr>
        <w:t>图2-</w:t>
      </w:r>
      <w:r>
        <w:rPr>
          <w:rFonts w:hint="eastAsia" w:ascii="宋体" w:hAnsi="宋体" w:cs="宋体"/>
          <w:b/>
          <w:bCs/>
          <w:szCs w:val="21"/>
          <w:lang w:val="en-US" w:eastAsia="zh-CN"/>
        </w:rPr>
        <w:t>3</w:t>
      </w:r>
      <w:r>
        <w:rPr>
          <w:rFonts w:hint="eastAsia" w:ascii="宋体" w:hAnsi="宋体" w:cs="宋体"/>
          <w:b/>
          <w:bCs/>
          <w:szCs w:val="21"/>
        </w:rPr>
        <w:t xml:space="preserve"> 201</w:t>
      </w:r>
      <w:r>
        <w:rPr>
          <w:rFonts w:hint="eastAsia" w:ascii="宋体" w:hAnsi="宋体" w:cs="宋体"/>
          <w:b/>
          <w:bCs/>
          <w:szCs w:val="21"/>
          <w:lang w:val="en-US" w:eastAsia="zh-CN"/>
        </w:rPr>
        <w:t>5</w:t>
      </w:r>
      <w:r>
        <w:rPr>
          <w:rFonts w:hint="eastAsia" w:ascii="宋体" w:hAnsi="宋体" w:cs="宋体"/>
          <w:b/>
          <w:bCs/>
          <w:szCs w:val="21"/>
        </w:rPr>
        <w:t>-2021届毕业生</w:t>
      </w:r>
      <w:r>
        <w:rPr>
          <w:rFonts w:hint="eastAsia" w:ascii="宋体" w:hAnsi="宋体" w:cs="宋体"/>
          <w:b/>
          <w:bCs/>
          <w:szCs w:val="21"/>
          <w:lang w:val="en-US" w:eastAsia="zh-CN"/>
        </w:rPr>
        <w:t>直接就业与深造</w:t>
      </w:r>
      <w:r>
        <w:rPr>
          <w:rFonts w:hint="eastAsia" w:ascii="宋体" w:hAnsi="宋体" w:cs="宋体"/>
          <w:b/>
          <w:bCs/>
          <w:szCs w:val="21"/>
        </w:rPr>
        <w:t>发展趋势</w:t>
      </w:r>
    </w:p>
    <w:p/>
    <w:p/>
    <w:p/>
    <w:p/>
    <w:p/>
    <w:p/>
    <w:p/>
    <w:p/>
    <w:p/>
    <w:p/>
    <w:p/>
    <w:p/>
    <w:p>
      <w:pPr>
        <w:keepNext w:val="0"/>
        <w:keepLines w:val="0"/>
        <w:widowControl w:val="0"/>
        <w:suppressLineNumbers w:val="0"/>
        <w:spacing w:before="0" w:beforeAutospacing="0" w:after="0" w:afterAutospacing="0" w:line="0" w:lineRule="atLeast"/>
        <w:ind w:left="0" w:right="0"/>
        <w:jc w:val="center"/>
        <w:outlineLvl w:val="0"/>
        <w:rPr>
          <w:rFonts w:hint="eastAsia" w:ascii="宋体" w:hAnsi="宋体" w:eastAsia="宋体" w:cs="宋体"/>
          <w:b/>
          <w:sz w:val="44"/>
          <w:szCs w:val="44"/>
          <w:lang w:val="en-US"/>
        </w:rPr>
      </w:pPr>
      <w:bookmarkStart w:id="42" w:name="_Toc6462"/>
      <w:r>
        <w:rPr>
          <w:rFonts w:hint="eastAsia" w:ascii="宋体" w:hAnsi="宋体" w:eastAsia="宋体" w:cs="宋体"/>
          <w:b/>
          <w:kern w:val="2"/>
          <w:sz w:val="44"/>
          <w:szCs w:val="44"/>
          <w:lang w:val="en-US" w:eastAsia="zh-CN" w:bidi="ar"/>
        </w:rPr>
        <w:t>第三部分：就业工作举措</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湘杏学院毕业生就业领导小组认真贯彻《中共中央国务院关于进一步加强和改进大学生思想政治教育的意见》和《关于引导和鼓励高校毕业生面向基层就业的意见》等就业文件精神，坚持以学生为本的教育理念，以“大学生职业生涯”辅导为工作起点，以提高大学生就业指导水平、培育和拓展毕业生就业市场为工作重点，以理念创新、制度创新、方法创新为工作动力，以强化就业工作人员服务意识、规范就业管理制度为工作保障，以提高并稳定就业率与就业质量为工作目标，扎实开展大学生就业指导和服务工作，努力形成具有我院特色的就业工作新局面。</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一、健全就业工作机制</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湖南中医药大学湘杏学院在母体高校（湖南中医药大学）的统一部署下开展就业工作。学院高度重视毕业生的就业工作，认真落实就业工作。书记是毕业生就业工作第一责任人，亲自抓、负总责。学院成立了以学院领导为组长，指定一名就业专干，全体学院(行政)老师为成员的湘杏学院毕业生就业工作领导小组，做到职责明确，人人有责。学院每年召开毕业生就业工作专题会议，研究当前毕业生就业工作的形势，有针对性地加强对就业工作的领导和指导，促进各项工作落到实处，确保2021年就业工作目标的实现。学院不定期开展就业工作自查，对在就业工作中作出突出成绩和贡献的个人给予适当的奖励。</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二、重视市场建设，拓宽就业渠道</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学院积极加强同社会各界及用人单位的联系并开拓毕业生就业市场，从而在激烈的市场竞争中保持主动地位。全年累计联系用人单位300余家，召开相关专业专场招聘会70余次，提供了6000多个就业岗位。其中包括正大天晴药业集团股份有限公司、北京博瑞霖医疗管理咨询有限公司、重庆智飞生物制品股份有限公司、湖南易能生物医药有限公司等多家知名医院与企业到我院进行专场招聘，获得了用人单位与学生们的一致好评。</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三、完善就业信息化建设</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（一）健全学院就业信息网页及时发布就业信息</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完善学院就业信息网，与湖南中医药大学招生就业信息网站、湖南省毕业生实名制系统、大学生一站式服务系统、全国大学生创业服务网等实时链接。设立了就业活动、通知公告、就业指导、招聘信息、服务指南、就业政策等栏目，功能更加齐全，及时发布相关信息，网址：http://xxxy.hnctcm.edu.cn/</w:t>
      </w:r>
    </w:p>
    <w:p>
      <w:pPr>
        <w:keepNext w:val="0"/>
        <w:keepLines w:val="0"/>
        <w:widowControl/>
        <w:suppressLineNumbers w:val="0"/>
        <w:spacing w:before="0" w:beforeAutospacing="0" w:after="0" w:afterAutospacing="0"/>
        <w:ind w:left="0" w:right="0"/>
        <w:jc w:val="both"/>
        <w:rPr>
          <w:rFonts w:hint="eastAsia" w:ascii="宋体" w:hAnsi="宋体" w:eastAsia="宋体" w:cs="宋体"/>
          <w:sz w:val="28"/>
          <w:szCs w:val="28"/>
          <w:lang w:val="en-US"/>
        </w:rPr>
      </w:pPr>
      <w:r>
        <w:rPr>
          <w:rFonts w:hint="eastAsia" w:ascii="宋体" w:hAnsi="宋体" w:eastAsia="宋体" w:cs="宋体"/>
          <w:kern w:val="2"/>
          <w:sz w:val="28"/>
          <w:szCs w:val="28"/>
          <w:lang w:val="en-US" w:eastAsia="zh-CN" w:bidi="ar"/>
        </w:rPr>
        <w:drawing>
          <wp:inline distT="0" distB="0" distL="114300" distR="114300">
            <wp:extent cx="5791200" cy="3554730"/>
            <wp:effectExtent l="0" t="0" r="0" b="7620"/>
            <wp:docPr id="4"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8"/>
                    <pic:cNvPicPr>
                      <a:picLocks noChangeAspect="1"/>
                    </pic:cNvPicPr>
                  </pic:nvPicPr>
                  <pic:blipFill>
                    <a:blip r:embed="rId30"/>
                    <a:stretch>
                      <a:fillRect/>
                    </a:stretch>
                  </pic:blipFill>
                  <pic:spPr>
                    <a:xfrm>
                      <a:off x="0" y="0"/>
                      <a:ext cx="5791200" cy="3554730"/>
                    </a:xfrm>
                    <a:prstGeom prst="rect">
                      <a:avLst/>
                    </a:prstGeom>
                    <a:noFill/>
                    <a:ln>
                      <a:noFill/>
                    </a:ln>
                  </pic:spPr>
                </pic:pic>
              </a:graphicData>
            </a:graphic>
          </wp:inline>
        </w:drawing>
      </w:r>
    </w:p>
    <w:p>
      <w:pPr>
        <w:keepNext w:val="0"/>
        <w:keepLines w:val="0"/>
        <w:widowControl w:val="0"/>
        <w:suppressLineNumbers w:val="0"/>
        <w:spacing w:before="0" w:beforeAutospacing="0" w:after="0" w:afterAutospacing="0" w:line="560" w:lineRule="exact"/>
        <w:ind w:left="0" w:right="0"/>
        <w:jc w:val="center"/>
        <w:rPr>
          <w:rFonts w:hint="eastAsia" w:ascii="宋体" w:hAnsi="宋体" w:eastAsia="宋体" w:cs="宋体"/>
          <w:b/>
          <w:lang w:val="en-US"/>
        </w:rPr>
      </w:pPr>
      <w:r>
        <w:rPr>
          <w:rFonts w:hint="eastAsia" w:ascii="宋体" w:hAnsi="宋体" w:eastAsia="宋体" w:cs="宋体"/>
          <w:b/>
          <w:kern w:val="2"/>
          <w:sz w:val="21"/>
          <w:szCs w:val="21"/>
          <w:lang w:val="en-US" w:eastAsia="zh-CN" w:bidi="ar"/>
        </w:rPr>
        <w:t>图3-1  湖南中医药大学湘杏学院就业信息网主页</w:t>
      </w:r>
    </w:p>
    <w:p>
      <w:pPr>
        <w:keepNext w:val="0"/>
        <w:keepLines w:val="0"/>
        <w:widowControl w:val="0"/>
        <w:suppressLineNumbers w:val="0"/>
        <w:spacing w:before="0" w:beforeAutospacing="0" w:after="0" w:afterAutospacing="0"/>
        <w:ind w:left="0" w:right="0" w:firstLine="420" w:firstLineChars="200"/>
        <w:jc w:val="both"/>
        <w:rPr>
          <w:lang w:val="en-US"/>
        </w:rPr>
      </w:pPr>
      <w:r>
        <w:rPr>
          <w:rFonts w:hint="default" w:ascii="Times New Roman" w:hAnsi="Times New Roman" w:eastAsia="宋体" w:cs="Times New Roman"/>
          <w:kern w:val="2"/>
          <w:sz w:val="21"/>
          <w:szCs w:val="21"/>
          <w:lang w:val="en-US" w:eastAsia="zh-CN" w:bidi="ar"/>
        </w:rPr>
        <w:t xml:space="preserve"> </w:t>
      </w:r>
    </w:p>
    <w:p>
      <w:pPr>
        <w:keepNext w:val="0"/>
        <w:keepLines w:val="0"/>
        <w:widowControl w:val="0"/>
        <w:suppressLineNumbers w:val="0"/>
        <w:spacing w:before="0" w:beforeAutospacing="0" w:after="0" w:afterAutospacing="0"/>
        <w:ind w:left="0" w:right="0" w:firstLine="640" w:firstLineChars="200"/>
        <w:jc w:val="both"/>
        <w:rPr>
          <w:rFonts w:hint="default" w:ascii="仿宋" w:hAnsi="仿宋" w:eastAsia="仿宋" w:cs="仿宋"/>
          <w:sz w:val="32"/>
          <w:szCs w:val="32"/>
          <w:lang w:val="en-US"/>
        </w:rPr>
      </w:pPr>
      <w:r>
        <w:rPr>
          <w:rFonts w:hint="eastAsia" w:ascii="仿宋" w:hAnsi="仿宋" w:eastAsia="仿宋" w:cs="仿宋"/>
          <w:kern w:val="2"/>
          <w:sz w:val="32"/>
          <w:szCs w:val="32"/>
          <w:lang w:val="en-US" w:eastAsia="zh-CN" w:bidi="ar"/>
        </w:rPr>
        <w:t>2020年9月至2021年12月通过就业信息网发布信息134条。如图3-2所示。</w:t>
      </w:r>
    </w:p>
    <w:p>
      <w:pPr>
        <w:keepNext w:val="0"/>
        <w:keepLines w:val="0"/>
        <w:widowControl w:val="0"/>
        <w:suppressLineNumbers w:val="0"/>
        <w:spacing w:before="0" w:beforeAutospacing="0" w:after="0" w:afterAutospacing="0"/>
        <w:ind w:left="0" w:right="0" w:firstLine="420" w:firstLineChars="200"/>
        <w:jc w:val="both"/>
        <w:rPr>
          <w:rFonts w:hint="eastAsia" w:ascii="仿宋" w:hAnsi="仿宋" w:eastAsia="仿宋" w:cs="仿宋"/>
          <w:sz w:val="32"/>
          <w:szCs w:val="32"/>
          <w:lang w:val="en-US"/>
        </w:rPr>
      </w:pPr>
      <w:r>
        <w:rPr>
          <w:rFonts w:hint="default" w:ascii="Times New Roman" w:hAnsi="Times New Roman" w:eastAsia="宋体" w:cs="Times New Roman"/>
          <w:kern w:val="2"/>
          <w:sz w:val="21"/>
          <w:szCs w:val="21"/>
          <w:lang w:val="en-US" w:eastAsia="zh-CN" w:bidi="ar"/>
        </w:rPr>
        <w:object>
          <v:shape id="_x0000_i1044" o:spt="75" type="#_x0000_t75" style="height:230.85pt;width:424.5pt;" o:ole="t" filled="f" o:preferrelative="t" stroked="f" coordsize="21600,21600">
            <v:path/>
            <v:fill on="f" focussize="0,0"/>
            <v:stroke on="f"/>
            <v:imagedata r:id="rId32" o:title=""/>
            <o:lock v:ext="edit" aspectratio="t"/>
            <w10:wrap type="none"/>
            <w10:anchorlock/>
          </v:shape>
          <o:OLEObject Type="Embed" ProgID="Excel.Chart.8" ShapeID="_x0000_i1044" DrawAspect="Content" ObjectID="_1468075734" r:id="rId31">
            <o:LockedField>false</o:LockedField>
          </o:OLEObject>
        </w:object>
      </w:r>
    </w:p>
    <w:p>
      <w:pPr>
        <w:keepNext w:val="0"/>
        <w:keepLines w:val="0"/>
        <w:widowControl w:val="0"/>
        <w:suppressLineNumbers w:val="0"/>
        <w:spacing w:before="0" w:beforeAutospacing="0" w:after="0" w:afterAutospacing="0"/>
        <w:ind w:left="0" w:right="0"/>
        <w:jc w:val="center"/>
        <w:rPr>
          <w:lang w:val="en-US"/>
        </w:rPr>
      </w:pPr>
      <w:r>
        <w:rPr>
          <w:rFonts w:hint="default" w:ascii="Times New Roman" w:hAnsi="Times New Roman" w:eastAsia="宋体" w:cs="Times New Roman"/>
          <w:kern w:val="2"/>
          <w:sz w:val="21"/>
          <w:szCs w:val="21"/>
          <w:lang w:val="en-US" w:eastAsia="zh-CN" w:bidi="ar"/>
        </w:rPr>
        <w:t xml:space="preserve"> </w:t>
      </w:r>
      <w:r>
        <w:rPr>
          <w:rFonts w:hint="eastAsia" w:ascii="宋体" w:hAnsi="宋体" w:eastAsia="宋体" w:cs="宋体"/>
          <w:b/>
          <w:kern w:val="2"/>
          <w:sz w:val="21"/>
          <w:szCs w:val="21"/>
          <w:lang w:val="en-US" w:eastAsia="zh-CN" w:bidi="ar"/>
        </w:rPr>
        <w:t>图3-2  2020.09-2021.12就业信息发布情况</w:t>
      </w:r>
    </w:p>
    <w:p>
      <w:pPr>
        <w:keepNext w:val="0"/>
        <w:keepLines w:val="0"/>
        <w:widowControl w:val="0"/>
        <w:suppressLineNumbers w:val="0"/>
        <w:spacing w:before="0" w:beforeAutospacing="0" w:after="0" w:afterAutospacing="0"/>
        <w:ind w:left="0" w:right="0" w:firstLine="640" w:firstLineChars="200"/>
        <w:jc w:val="both"/>
        <w:rPr>
          <w:rFonts w:hint="default" w:ascii="仿宋" w:hAnsi="仿宋" w:eastAsia="仿宋" w:cs="仿宋"/>
          <w:sz w:val="32"/>
          <w:szCs w:val="32"/>
          <w:lang w:val="en-US"/>
        </w:rPr>
      </w:pPr>
      <w:r>
        <w:rPr>
          <w:rFonts w:hint="eastAsia" w:ascii="仿宋" w:hAnsi="仿宋" w:eastAsia="仿宋" w:cs="仿宋"/>
          <w:kern w:val="2"/>
          <w:sz w:val="32"/>
          <w:szCs w:val="32"/>
          <w:lang w:val="en-US" w:eastAsia="zh-CN" w:bidi="ar"/>
        </w:rPr>
        <w:t>2020年9月至2021年12月通过就业信息网发布的招聘单位地区分布情况如图，以中部地区最多，占91.50%，东部地区其次，占7.84%。如图3-3所示。</w:t>
      </w:r>
    </w:p>
    <w:p>
      <w:pPr>
        <w:keepNext w:val="0"/>
        <w:keepLines w:val="0"/>
        <w:widowControl w:val="0"/>
        <w:suppressLineNumbers w:val="0"/>
        <w:spacing w:before="0" w:beforeAutospacing="0" w:after="0" w:afterAutospacing="0"/>
        <w:ind w:left="0" w:right="0" w:firstLine="420" w:firstLineChars="200"/>
        <w:jc w:val="both"/>
        <w:rPr>
          <w:rFonts w:hint="eastAsia" w:ascii="宋体" w:hAnsi="宋体" w:eastAsia="宋体" w:cs="宋体"/>
          <w:sz w:val="28"/>
          <w:szCs w:val="28"/>
          <w:lang w:val="en-US"/>
        </w:rPr>
      </w:pPr>
      <w:r>
        <w:rPr>
          <w:rFonts w:hint="default" w:ascii="Times New Roman" w:hAnsi="Times New Roman" w:eastAsia="宋体" w:cs="Times New Roman"/>
          <w:kern w:val="2"/>
          <w:sz w:val="21"/>
          <w:szCs w:val="21"/>
          <w:lang w:val="en-US" w:eastAsia="zh-CN" w:bidi="ar"/>
        </w:rPr>
        <w:object>
          <v:shape id="_x0000_i1046" o:spt="75" type="#_x0000_t75" style="height:247.5pt;width:422.1pt;" o:ole="t" filled="f" o:preferrelative="t" stroked="f" coordsize="21600,21600">
            <v:path/>
            <v:fill on="f" focussize="0,0"/>
            <v:stroke on="f"/>
            <v:imagedata r:id="rId34" o:title=""/>
            <o:lock v:ext="edit" aspectratio="t"/>
            <w10:wrap type="none"/>
            <w10:anchorlock/>
          </v:shape>
          <o:OLEObject Type="Embed" ProgID="Excel.Chart.8" ShapeID="_x0000_i1046" DrawAspect="Content" ObjectID="_1468075735" r:id="rId33">
            <o:LockedField>false</o:LockedField>
          </o:OLEObject>
        </w:object>
      </w:r>
    </w:p>
    <w:p>
      <w:pPr>
        <w:keepNext w:val="0"/>
        <w:keepLines w:val="0"/>
        <w:widowControl w:val="0"/>
        <w:suppressLineNumbers w:val="0"/>
        <w:spacing w:before="0" w:beforeAutospacing="0" w:after="0" w:afterAutospacing="0"/>
        <w:ind w:left="0" w:right="0"/>
        <w:jc w:val="center"/>
        <w:rPr>
          <w:lang w:val="en-US"/>
        </w:rPr>
      </w:pPr>
      <w:r>
        <w:rPr>
          <w:rFonts w:hint="default" w:ascii="Times New Roman" w:hAnsi="Times New Roman" w:eastAsia="宋体" w:cs="Times New Roman"/>
          <w:kern w:val="2"/>
          <w:sz w:val="21"/>
          <w:szCs w:val="21"/>
          <w:lang w:val="en-US" w:eastAsia="zh-CN" w:bidi="ar"/>
        </w:rPr>
        <w:t xml:space="preserve"> </w:t>
      </w:r>
      <w:r>
        <w:rPr>
          <w:rFonts w:hint="eastAsia" w:ascii="宋体" w:hAnsi="宋体" w:eastAsia="宋体" w:cs="宋体"/>
          <w:b/>
          <w:kern w:val="2"/>
          <w:sz w:val="21"/>
          <w:szCs w:val="21"/>
          <w:lang w:val="en-US" w:eastAsia="zh-CN" w:bidi="ar"/>
        </w:rPr>
        <w:t>图3-3  2020年9月至2021年12月发布的招聘单位地区分布情况</w:t>
      </w:r>
    </w:p>
    <w:p>
      <w:pPr>
        <w:keepNext w:val="0"/>
        <w:keepLines w:val="0"/>
        <w:widowControl w:val="0"/>
        <w:suppressLineNumbers w:val="0"/>
        <w:spacing w:before="0" w:beforeAutospacing="0" w:after="0" w:afterAutospacing="0"/>
        <w:ind w:left="0" w:right="0" w:firstLine="640" w:firstLineChars="200"/>
        <w:jc w:val="both"/>
        <w:rPr>
          <w:rFonts w:hint="default" w:ascii="仿宋" w:hAnsi="仿宋" w:eastAsia="仿宋" w:cs="仿宋"/>
          <w:sz w:val="32"/>
          <w:szCs w:val="32"/>
          <w:lang w:val="en-US"/>
        </w:rPr>
      </w:pPr>
      <w:r>
        <w:rPr>
          <w:rFonts w:hint="eastAsia" w:ascii="仿宋" w:hAnsi="仿宋" w:eastAsia="仿宋" w:cs="仿宋"/>
          <w:kern w:val="2"/>
          <w:sz w:val="32"/>
          <w:szCs w:val="32"/>
          <w:lang w:val="en-US" w:eastAsia="zh-CN" w:bidi="ar"/>
        </w:rPr>
        <w:t>2020年9月至2021年12月通过就业信息网发布的招聘单位性质分布情况如图，以医疗卫生单位最多，占64.66%，事业单位其次，占24%。如图3-4所示。</w:t>
      </w:r>
    </w:p>
    <w:p>
      <w:pPr>
        <w:keepNext w:val="0"/>
        <w:keepLines w:val="0"/>
        <w:widowControl w:val="0"/>
        <w:suppressLineNumbers w:val="0"/>
        <w:spacing w:before="0" w:beforeAutospacing="0" w:after="0" w:afterAutospacing="0"/>
        <w:ind w:left="0" w:right="0" w:firstLine="420" w:firstLineChars="200"/>
        <w:jc w:val="center"/>
        <w:rPr>
          <w:rFonts w:hint="eastAsia" w:ascii="仿宋" w:hAnsi="仿宋" w:eastAsia="仿宋" w:cs="仿宋"/>
          <w:sz w:val="32"/>
          <w:szCs w:val="32"/>
          <w:lang w:val="en-US"/>
        </w:rPr>
      </w:pPr>
      <w:r>
        <w:rPr>
          <w:rFonts w:hint="default" w:ascii="Times New Roman" w:hAnsi="Times New Roman" w:eastAsia="宋体" w:cs="Times New Roman"/>
          <w:kern w:val="2"/>
          <w:sz w:val="21"/>
          <w:szCs w:val="21"/>
          <w:lang w:val="en-US" w:eastAsia="zh-CN" w:bidi="ar"/>
        </w:rPr>
        <w:object>
          <v:shape id="_x0000_i1048" o:spt="75" type="#_x0000_t75" style="height:254.2pt;width:421.2pt;" o:ole="t" filled="f" o:preferrelative="t" stroked="f" coordsize="21600,21600">
            <v:path/>
            <v:fill on="f" focussize="0,0"/>
            <v:stroke on="f"/>
            <v:imagedata r:id="rId36" o:title=""/>
            <o:lock v:ext="edit" aspectratio="t"/>
            <w10:wrap type="none"/>
            <w10:anchorlock/>
          </v:shape>
          <o:OLEObject Type="Embed" ProgID="Excel.Chart.8" ShapeID="_x0000_i1048" DrawAspect="Content" ObjectID="_1468075736" r:id="rId35">
            <o:LockedField>false</o:LockedField>
          </o:OLEObject>
        </w:object>
      </w:r>
    </w:p>
    <w:p>
      <w:pPr>
        <w:keepNext w:val="0"/>
        <w:keepLines w:val="0"/>
        <w:widowControl w:val="0"/>
        <w:suppressLineNumbers w:val="0"/>
        <w:spacing w:before="0" w:beforeAutospacing="0" w:after="0" w:afterAutospacing="0"/>
        <w:ind w:left="0" w:right="0" w:firstLine="2108" w:firstLineChars="1000"/>
        <w:jc w:val="both"/>
        <w:rPr>
          <w:lang w:val="en-US"/>
        </w:rPr>
      </w:pPr>
      <w:r>
        <w:rPr>
          <w:rFonts w:hint="eastAsia" w:ascii="宋体" w:hAnsi="宋体" w:eastAsia="宋体" w:cs="宋体"/>
          <w:b/>
          <w:kern w:val="2"/>
          <w:sz w:val="21"/>
          <w:szCs w:val="21"/>
          <w:lang w:val="en-US" w:eastAsia="zh-CN" w:bidi="ar"/>
        </w:rPr>
        <w:t>图3-4  2020年9月至2021年12月发布的招聘单位性质分布情况</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（二）建立班级就业信息员</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我院在毕业班学生党员、干部中选出了就业信息员，毕业班建立信息小组，及时准确地掌握了毕业生基本情况，切实作到了对每个毕业生的去向、联系方式有详细记录并做到实时更新。非毕业班通过就业委发布相关创新创业大赛或职业生涯规划大赛的通知，定期召开就业委员会议从而加强学院就业办与班级之间的沟通联系。学生科老师定期召开毕业班班长、团支书会议，及时了解同学们的就业进展、意向，为同学们与企业牵线搭桥。</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四、积极开展2021届毕业生就业情况调研</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为充分掌握毕业生的就业意向，我院针对2021届毕业生展开了就业情况调研工作，从工作地域、自主创业、考研升学等多方面了解了毕业生的就业目标。并以此为依据把握应届毕业生的就业期望及观念，加强就业指导的关键性和有效性，从而根据学院的实际情况有争对性地开拓就业市场。</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五、针对就业困难学生进行一对一帮扶工作</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我院一直以来极其重视学院就业困难学生帮扶工作的开展。2021年，学院建立了130位就业困难学生档案及台账，制定了《湘杏学院就业困难毕业生帮扶工作实施方案》，学院每一位教职工都参与帮扶。按照“重点关注、重点推荐、重点服务”的原则，加强领导，明确责任，周密部署，重点针对家庭困难毕业生、学业困难毕业生、残疾人毕业生以及就业期望值过高的毕业生等群体开展就业帮扶工作。</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六、就业创业服务情况</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（一）健全就业服务队伍</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招聘了一批素质高、能力强的在校学生队伍成立了湘杏学院就业创业服务中心，中心设置主任1名、部长4名、干事18名，下属策划宣传部、创业实践部、外联服务部、信息管理部四个部门，分别承担不同的工作职责，以“为大学生服务”为宗旨，在湘杏学院就业专干王毅老师的带领下为在校学生创造良好创业创新氛围并建设更好的就业服务平台，同时，在全院范围内每班设置就业委员一名，从而完善学院就业服务团队。从单位招聘、毕业生数据管理、毕业生派遣、就业率统计等工作着手培养学生待人接物、文明礼仪、人际交往和语言沟通、熟练操作办公软件、创业创新等方面能力，让学生从大一开始就了解就业知识、认识就业形势，为做好学生就业工作奠定扎实的基础。</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（二）举办促进就业相关活动</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2020年10月-11月，我院举办了湘杏学院第八届“职场之星”模拟大赛“职挂云帆，共赴鹏程”简历培训及面试培训、第八届“职场之星”复赛及决赛；2021年10月-11月，我院举办了第九届“职场之星”模拟大赛“征途踏虎，职为翘楚”简历培训及面试培训、第九届“职场之星”复赛及决赛。</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（三）活动积极寻求新的就业方式，提高学生就业率</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为提升我院就业服务工作，积极探索新的就业方式。在疫情影响之下，我院积极开发网上面试、网上签约就业的新方式，运用腾讯会议、微信、QQ等多个平台，使用人单位与学生能够沟通顺畅，不因疫情停滞学生找工作的最佳时机。</w:t>
      </w:r>
    </w:p>
    <w:p>
      <w:pPr>
        <w:keepNext w:val="0"/>
        <w:keepLines w:val="0"/>
        <w:widowControl w:val="0"/>
        <w:suppressLineNumbers w:val="0"/>
        <w:spacing w:before="0" w:beforeAutospacing="0" w:after="0" w:afterAutospacing="0"/>
        <w:ind w:left="0" w:right="0"/>
        <w:jc w:val="both"/>
        <w:rPr>
          <w:rFonts w:hint="eastAsia" w:ascii="仿宋" w:hAnsi="仿宋" w:eastAsia="仿宋" w:cs="仿宋"/>
          <w:b/>
          <w:sz w:val="32"/>
          <w:szCs w:val="32"/>
          <w:lang w:val="en-US"/>
        </w:rPr>
      </w:pPr>
      <w:r>
        <w:rPr>
          <w:rFonts w:hint="eastAsia" w:ascii="仿宋" w:hAnsi="仿宋" w:eastAsia="仿宋" w:cs="仿宋"/>
          <w:b/>
          <w:kern w:val="2"/>
          <w:sz w:val="32"/>
          <w:szCs w:val="32"/>
          <w:lang w:val="en-US" w:eastAsia="zh-CN" w:bidi="ar"/>
        </w:rPr>
        <w:t>（四）学院就业工作的难点</w:t>
      </w:r>
    </w:p>
    <w:p>
      <w:pPr>
        <w:keepNext w:val="0"/>
        <w:keepLines w:val="0"/>
        <w:widowControl w:val="0"/>
        <w:numPr>
          <w:ilvl w:val="0"/>
          <w:numId w:val="3"/>
        </w:numPr>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因为疫情影响，学院中断了连续两年外出开拓就业市场的行程。以往由学院院长带队，走访一些如珠海市人民医院等在内的知名医院与企业，并与之签订“教学实习基地”协议书。在学生群体中间都引起极好反响。</w:t>
      </w:r>
    </w:p>
    <w:p>
      <w:pPr>
        <w:keepNext w:val="0"/>
        <w:keepLines w:val="0"/>
        <w:widowControl w:val="0"/>
        <w:numPr>
          <w:ilvl w:val="0"/>
          <w:numId w:val="3"/>
        </w:numPr>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学生对学院邀请的用人单位不够重视，存在一定偏见。学院邀请的用人单位都是经过严格筛选，并且尽量贴合前期所排查学生更加倾向的就业地区来邀请单位。同时，学院也考虑到学生希望有更高平台，因此会选取层次偏高一些的医院和企业。但是学生对学院邀请的单位存在误解，认为都是一些小企业，小医院。因此，招聘会、宣讲会的到场率一般。学院为此也积极加强宣传，在招聘会前都会向学生们详细介绍用人单位及其招聘需求，争取学生多多参与招聘会。</w:t>
      </w:r>
    </w:p>
    <w:p>
      <w:pPr>
        <w:keepNext w:val="0"/>
        <w:keepLines w:val="0"/>
        <w:widowControl w:val="0"/>
        <w:suppressLineNumbers w:val="0"/>
        <w:spacing w:before="0" w:beforeAutospacing="0" w:after="0" w:afterAutospacing="0"/>
        <w:ind w:left="0" w:right="0"/>
        <w:jc w:val="both"/>
        <w:rPr>
          <w:lang w:val="en-US"/>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p>
      <w:pPr>
        <w:spacing w:line="0" w:lineRule="atLeast"/>
        <w:outlineLvl w:val="0"/>
        <w:rPr>
          <w:rFonts w:hint="eastAsia" w:ascii="宋体" w:hAnsi="宋体" w:cs="宋体"/>
          <w:b/>
          <w:bCs/>
          <w:sz w:val="44"/>
          <w:szCs w:val="44"/>
        </w:rPr>
      </w:pPr>
    </w:p>
    <w:bookmarkEnd w:id="42"/>
    <w:p>
      <w:pPr>
        <w:keepNext w:val="0"/>
        <w:keepLines w:val="0"/>
        <w:widowControl w:val="0"/>
        <w:suppressLineNumbers w:val="0"/>
        <w:spacing w:before="0" w:beforeAutospacing="0" w:after="0" w:afterAutospacing="0" w:line="0" w:lineRule="atLeast"/>
        <w:ind w:left="0" w:right="0"/>
        <w:jc w:val="center"/>
        <w:outlineLvl w:val="0"/>
        <w:rPr>
          <w:rFonts w:hint="eastAsia" w:ascii="宋体" w:hAnsi="宋体" w:eastAsia="宋体" w:cs="宋体"/>
          <w:b/>
          <w:bCs/>
          <w:sz w:val="44"/>
          <w:szCs w:val="44"/>
          <w:lang w:val="en-US"/>
        </w:rPr>
      </w:pPr>
      <w:r>
        <w:rPr>
          <w:rFonts w:hint="eastAsia" w:ascii="宋体" w:hAnsi="宋体" w:eastAsia="宋体" w:cs="宋体"/>
          <w:b/>
          <w:bCs/>
          <w:kern w:val="2"/>
          <w:sz w:val="44"/>
          <w:szCs w:val="44"/>
          <w:lang w:val="en-US" w:eastAsia="zh-CN" w:bidi="ar"/>
        </w:rPr>
        <w:t>第四部分：对教育教学和就业工作的反馈</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为建立和不断完善毕业生就业对人才培养的反馈机制，我院针对2021届应届毕业生开展网络问卷，了解他们毕业生就业状况、对母校就业指导服务的评价、对人才培养的评价，并以这些调查为参考，不断完善招生与就业的联动机制，根据毕业生的就业情况科学调整各专业的招生规模与计划。同时，为学校有关部门在专业设置、学科调整、教育教学改革、人才培养等方面提供数据支持。</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32"/>
          <w:szCs w:val="32"/>
          <w:lang w:val="en-US"/>
        </w:rPr>
      </w:pPr>
      <w:bookmarkStart w:id="43" w:name="_Toc2198"/>
      <w:r>
        <w:rPr>
          <w:rFonts w:hint="eastAsia" w:ascii="仿宋" w:hAnsi="仿宋" w:eastAsia="仿宋" w:cs="仿宋"/>
          <w:b/>
          <w:bCs/>
          <w:kern w:val="2"/>
          <w:sz w:val="32"/>
          <w:szCs w:val="32"/>
          <w:lang w:val="en-US" w:eastAsia="zh-CN" w:bidi="ar"/>
        </w:rPr>
        <w:t>一、对招生和专业设置的反馈</w:t>
      </w:r>
      <w:bookmarkEnd w:id="43"/>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b/>
          <w:bCs/>
          <w:sz w:val="32"/>
          <w:szCs w:val="32"/>
          <w:lang w:val="en-US"/>
        </w:rPr>
      </w:pPr>
      <w:r>
        <w:rPr>
          <w:rFonts w:hint="eastAsia" w:ascii="仿宋" w:hAnsi="仿宋" w:eastAsia="仿宋" w:cs="仿宋"/>
          <w:kern w:val="2"/>
          <w:sz w:val="32"/>
          <w:szCs w:val="32"/>
          <w:lang w:val="en-US" w:eastAsia="zh-CN" w:bidi="ar"/>
        </w:rPr>
        <w:t>毕业生的就业率和就业质量能相对直观地反映专业的社会需求和社会认可度。同时，毕业生的就业率和就业质量也能够为招生规模的设置提供参考。由前面统计数据结果可知，我院就业率较好的专业有：针灸推拿学98.80%，康复治疗学94.29%。为此，我院根据2021届毕业生各专业的就业情况，从招生环节入手适当增大了就业率高、就业质量好的专业的招新比例。如：针灸推拿学、康复治疗学、中西医临床医学等，我院也已经根据实际情况调整了深受学生和家长热捧和首选的中医学和中西医临床医学的招生规模并优化和调整了专业结构、专业设置。</w:t>
      </w:r>
      <w:bookmarkStart w:id="44" w:name="_Toc9705"/>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32"/>
          <w:szCs w:val="32"/>
          <w:lang w:val="en-US"/>
        </w:rPr>
      </w:pPr>
      <w:r>
        <w:rPr>
          <w:rFonts w:hint="eastAsia" w:ascii="仿宋" w:hAnsi="仿宋" w:eastAsia="仿宋" w:cs="仿宋"/>
          <w:b/>
          <w:bCs/>
          <w:kern w:val="2"/>
          <w:sz w:val="32"/>
          <w:szCs w:val="32"/>
          <w:lang w:val="en-US" w:eastAsia="zh-CN" w:bidi="ar"/>
        </w:rPr>
        <w:t>二、对人才培养的反馈</w:t>
      </w:r>
      <w:bookmarkEnd w:id="44"/>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学生作为人才培养效果的评价主体之一，对学校教育教学各方面的评价对于学校专业结构的优化，培养方案的完善，课程设置的改进等方面具有重要的借鉴意义。通过调查显示，毕业生对高校人才培养的整体状况满意度为89.93%，其中课程设置满意度为83.62%；专业设置满意度为83.66%；教学方法和手段83.16%；对教学内容、教学质量和教学组织与管理的满意度为89.36%；对实践教学的满意度为85.09%。</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这说明我院的办学和管理水平得到了学生和社会的肯定和认可。同时，我们也要清醒认识到我们在相关方面存在的一些问题，并积极加以解决。如在未来的教育教学工作中，我院要主动适应社会发展趋势，不断深化教育教学改革，加强对实践型、创新型人才的培养，根据应用型和复合型等不同规格的人才培养目标，构建不同的课程体系和培养模式；在对学生的教育教学方面，除了加强学生专业理论和实际动手的能力，还要加强学生的外语能力、计算机应用能力、自学能力、团队协作能力、人际沟通能力、情绪管理能力、组织与协调能力和解决实际问题等综合素质与能力，从而帮助学生就业后更好的适应职场，胜任工作要求。</w:t>
      </w:r>
    </w:p>
    <w:p>
      <w:pPr>
        <w:keepNext w:val="0"/>
        <w:keepLines w:val="0"/>
        <w:widowControl w:val="0"/>
        <w:suppressLineNumbers w:val="0"/>
        <w:spacing w:before="0" w:beforeAutospacing="0" w:after="0" w:afterAutospacing="0"/>
        <w:ind w:left="0" w:right="0"/>
        <w:jc w:val="both"/>
        <w:rPr>
          <w:rFonts w:hint="eastAsia" w:ascii="仿宋" w:hAnsi="仿宋" w:eastAsia="仿宋" w:cs="仿宋"/>
          <w:b/>
          <w:bCs/>
          <w:sz w:val="32"/>
          <w:szCs w:val="32"/>
          <w:lang w:val="en-US"/>
        </w:rPr>
      </w:pPr>
      <w:bookmarkStart w:id="45" w:name="_Toc16331"/>
      <w:r>
        <w:rPr>
          <w:rFonts w:hint="eastAsia" w:ascii="仿宋" w:hAnsi="仿宋" w:eastAsia="仿宋" w:cs="仿宋"/>
          <w:b/>
          <w:bCs/>
          <w:kern w:val="2"/>
          <w:sz w:val="32"/>
          <w:szCs w:val="32"/>
          <w:lang w:val="en-US" w:eastAsia="zh-CN" w:bidi="ar"/>
        </w:rPr>
        <w:t>三、对学校就业指导工作的反馈</w:t>
      </w:r>
      <w:bookmarkEnd w:id="45"/>
    </w:p>
    <w:p>
      <w:pPr>
        <w:keepNext w:val="0"/>
        <w:keepLines w:val="0"/>
        <w:widowControl w:val="0"/>
        <w:suppressLineNumbers w:val="0"/>
        <w:spacing w:before="0" w:beforeAutospacing="0" w:after="0" w:afterAutospacing="0" w:line="360" w:lineRule="auto"/>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学生的就业率和就业质量不仅是反映就业工作质量的重要指标，也在一定程度上为我们的就业工作指明了方向。通过调查显示，毕业生对高校就业指导整体情况满意度为91.74%。对就业信息提供与发布情况满意度为98.54%；对校园招聘活动满意度为91.59%；对就业手续办理满意度为95.75%；对职业咨询/辅导满意度为96.43%；对就业指导/创业指导课满意度为92.67%。</w:t>
      </w:r>
    </w:p>
    <w:p>
      <w:pPr>
        <w:keepNext w:val="0"/>
        <w:keepLines w:val="0"/>
        <w:widowControl w:val="0"/>
        <w:suppressLineNumbers w:val="0"/>
        <w:spacing w:before="0" w:beforeAutospacing="0" w:after="0" w:afterAutospacing="0"/>
        <w:ind w:left="0" w:right="0" w:firstLine="640" w:firstLineChars="200"/>
        <w:jc w:val="both"/>
        <w:rPr>
          <w:rFonts w:hint="eastAsia" w:ascii="仿宋" w:hAnsi="仿宋" w:eastAsia="仿宋" w:cs="仿宋"/>
          <w:sz w:val="32"/>
          <w:szCs w:val="32"/>
          <w:lang w:val="en-US"/>
        </w:rPr>
      </w:pPr>
      <w:r>
        <w:rPr>
          <w:rFonts w:hint="eastAsia" w:ascii="仿宋" w:hAnsi="仿宋" w:eastAsia="仿宋" w:cs="仿宋"/>
          <w:kern w:val="2"/>
          <w:sz w:val="32"/>
          <w:szCs w:val="32"/>
          <w:lang w:val="en-US" w:eastAsia="zh-CN" w:bidi="ar"/>
        </w:rPr>
        <w:t>这个数据说明我院就业工作的成效是显著的，是基本能够适应我国就业形势发展要求的。但是，从2021年学生就业情况看，也还存在一些问题，如少数毕业生的就业期望值过高，部分毕业生的就业能力尚有待提高等。为此，在今后的工作中，我们在继续做好日常就业工作的同时，将进一步加强对国家有关毕业生就业的方针政策，增强我院就业工作的方向性；将继续加大对用人单位需求信息的搜集和整理力度，进一步拓宽学生的就业领域和就业范围；将加强对毕业生就业意向等的了解、进行个体指导，进一步增强就业工作的针对性和有效性，加强对在校学生的就业心理辅导，引导学生深入基层就业，从而在提高就业率的同时为加强社会主义建设贡献出一份力量。</w:t>
      </w:r>
    </w:p>
    <w:bookmarkEnd w:id="2"/>
    <w:bookmarkEnd w:id="3"/>
    <w:p>
      <w:pPr>
        <w:rPr>
          <w:rFonts w:hint="eastAsia"/>
        </w:rPr>
      </w:pPr>
    </w:p>
    <w:sectPr>
      <w:headerReference r:id="rId6" w:type="default"/>
      <w:footerReference r:id="rId7" w:type="default"/>
      <w:pgSz w:w="11906" w:h="16838"/>
      <w:pgMar w:top="1134" w:right="1417" w:bottom="1134" w:left="1417" w:header="851" w:footer="992" w:gutter="0"/>
      <w:pgNumType w:start="1"/>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7A"/>
    <w:family w:val="auto"/>
    <w:pitch w:val="default"/>
    <w:sig w:usb0="A00002BF" w:usb1="38CF7CFA" w:usb2="00000016" w:usb3="00000000" w:csb0="0004000F" w:csb1="00000000"/>
  </w:font>
  <w:font w:name="Arial">
    <w:panose1 w:val="020B0604020202020204"/>
    <w:charset w:val="00"/>
    <w:family w:val="swiss"/>
    <w:pitch w:val="default"/>
    <w:sig w:usb0="E0002EFF" w:usb1="C000785B" w:usb2="00000009" w:usb3="00000000" w:csb0="400001FF" w:csb1="FFFF0000"/>
  </w:font>
  <w:font w:name="华文中宋">
    <w:panose1 w:val="02010600040101010101"/>
    <w:charset w:val="7A"/>
    <w:family w:val="auto"/>
    <w:pitch w:val="default"/>
    <w:sig w:usb0="00000287" w:usb1="080F0000" w:usb2="00000000" w:usb3="00000000" w:csb0="0004009F" w:csb1="DFD70000"/>
  </w:font>
  <w:font w:name="华文行楷">
    <w:panose1 w:val="02010800040101010101"/>
    <w:charset w:val="86"/>
    <w:family w:val="auto"/>
    <w:pitch w:val="default"/>
    <w:sig w:usb0="00000001" w:usb1="080F0000" w:usb2="00000000" w:usb3="00000000" w:csb0="00040000" w:csb1="00000000"/>
  </w:font>
  <w:font w:name="新宋体">
    <w:panose1 w:val="02010609030101010101"/>
    <w:charset w:val="7A"/>
    <w:family w:val="modern"/>
    <w:pitch w:val="default"/>
    <w:sig w:usb0="00000203" w:usb1="288F0000" w:usb2="00000006" w:usb3="00000000" w:csb0="00040001" w:csb1="00000000"/>
  </w:font>
  <w:font w:name="黑体">
    <w:panose1 w:val="02010609060101010101"/>
    <w:charset w:val="7A"/>
    <w:family w:val="auto"/>
    <w:pitch w:val="default"/>
    <w:sig w:usb0="800002BF" w:usb1="38CF7CFA" w:usb2="00000016" w:usb3="00000000" w:csb0="00040001" w:csb1="00000000"/>
  </w:font>
  <w:font w:name="仿宋">
    <w:panose1 w:val="02010609060101010101"/>
    <w:charset w:val="7A"/>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pPr>
    <w: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5" name="文本框 10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lang/>
                            </w:rPr>
                            <w:t>15</w:t>
                          </w:r>
                          <w:r>
                            <w:rPr>
                              <w:rFonts w:hint="eastAsia"/>
                              <w:sz w:val="18"/>
                            </w:rPr>
                            <w:fldChar w:fldCharType="end"/>
                          </w:r>
                        </w:p>
                      </w:txbxContent>
                    </wps:txbx>
                    <wps:bodyPr wrap="none" lIns="0" tIns="0" rIns="0" bIns="0" upright="1">
                      <a:spAutoFit/>
                    </wps:bodyPr>
                  </wps:wsp>
                </a:graphicData>
              </a:graphic>
            </wp:anchor>
          </w:drawing>
        </mc:Choice>
        <mc:Fallback>
          <w:pict>
            <v:shape id="文本框 1025"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2rvL8sBAACcAwAADgAAAGRycy9lMm9Eb2MueG1srVPNjtMwEL4j8Q6W&#10;79RppUVV1HQFqhYhIUBaeADXsRtL/pPHbdIXgDfgxIU7z9XnYOwk3WW57IGLM54Zf/N9M5PN7WAN&#10;OckI2ruGLhcVJdIJ32p3aOjXL3ev1pRA4q7lxjvZ0LMEert9+WLTh1qufOdNKyNBEAd1HxrapRRq&#10;xkB00nJY+CAdBpWPlie8xgNrI+8R3Rq2qqrXrPexDdELCYDe3RikE2J8DqBXSgu58+JopUsjapSG&#10;J5QEnQ5At4WtUlKkT0qBTMQ0FJWmcmIRtPf5ZNsNrw+Rh06LiQJ/DoUnmizXDoteoXY8cXKM+h8o&#10;q0X04FVaCG/ZKKR0BFUsqye9ue94kEULthrCtenw/2DFx9PnSHTb0BtKHLc48MuP75efvy+/vpFl&#10;tbrJHeoD1Jh4HzA1DW/9gHsz+wGdWfigos1flEQwjv09X/srh0REfrRerdcVhgTG5gvis4fnIUJ6&#10;J70l2WhoxAGWvvLTB0hj6pySqzl/p40pQzTuLwdiZg/L3EeO2UrDfpgE7X17Rj09zr6hDledEvPe&#10;YWvzmsxGnI39bBxD1IcOqS0LLwhvjglJFG65wgg7FcahFXXTguWteHwvWQ8/1fYP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zql5uc8AAAAFAQAADwAAAAAAAAABACAAAAAiAAAAZHJzL2Rvd25yZXYu&#10;eG1sUEsBAhQAFAAAAAgAh07iQFtq7y/LAQAAnAMAAA4AAAAAAAAAAQAgAAAAHgEAAGRycy9lMm9E&#10;b2MueG1sUEsFBgAAAAAGAAYAWQEAAFsFAAAAAA==&#10;">
              <v:fill on="f" focussize="0,0"/>
              <v:stroke on="f"/>
              <v:imagedata o:title=""/>
              <o:lock v:ext="edit" aspectratio="f"/>
              <v:textbox inset="0mm,0mm,0mm,0mm" style="mso-fit-shape-to-text:t;">
                <w:txbxContent>
                  <w:p>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lang/>
                      </w:rPr>
                      <w:t>15</w:t>
                    </w:r>
                    <w:r>
                      <w:rPr>
                        <w:rFonts w:hint="eastAsia"/>
                        <w:sz w:val="18"/>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6">
    <w:p>
      <w:r>
        <w:separator/>
      </w:r>
    </w:p>
  </w:footnote>
  <w:footnote w:type="continuationSeparator" w:id="7">
    <w:p>
      <w:r>
        <w:continuationSeparator/>
      </w:r>
    </w:p>
  </w:footnote>
  <w:footnote w:id="0">
    <w:p>
      <w:pPr>
        <w:pStyle w:val="11"/>
      </w:pPr>
      <w:r>
        <w:rPr>
          <w:rStyle w:val="21"/>
        </w:rPr>
        <w:footnoteRef/>
      </w:r>
      <w:r>
        <w:t xml:space="preserve"> </w:t>
      </w:r>
      <w:r>
        <w:rPr>
          <w:rFonts w:hint="eastAsia"/>
        </w:rPr>
        <w:t>初次就业率即毕业生离校后截止至8月31日统计的就业率。</w:t>
      </w:r>
    </w:p>
  </w:footnote>
  <w:footnote w:id="1">
    <w:p>
      <w:pPr>
        <w:pStyle w:val="11"/>
        <w:rPr>
          <w:rFonts w:hint="eastAsia"/>
        </w:rPr>
      </w:pPr>
      <w:r>
        <w:rPr>
          <w:rStyle w:val="21"/>
        </w:rPr>
        <w:footnoteRef/>
      </w:r>
      <w:r>
        <w:t xml:space="preserve"> </w:t>
      </w:r>
      <w:r>
        <w:rPr>
          <w:rFonts w:hint="eastAsia"/>
        </w:rPr>
        <w:t>直接就业是至毕业时去向为签协议或者合同形式就业、其他形式就业、国家基层项目就业、应征义务兵、自主创业、灵活就业的毕业生。</w:t>
      </w:r>
    </w:p>
  </w:footnote>
  <w:footnote w:id="2">
    <w:p>
      <w:pPr>
        <w:pStyle w:val="11"/>
      </w:pPr>
      <w:r>
        <w:rPr>
          <w:rStyle w:val="21"/>
        </w:rPr>
        <w:footnoteRef/>
      </w:r>
      <w:r>
        <w:t xml:space="preserve"> </w:t>
      </w:r>
      <w:r>
        <w:rPr>
          <w:rFonts w:hint="eastAsia"/>
        </w:rPr>
        <w:t>深造指毕业时毕业去向为国内升学、出国留学的毕业生。</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center"/>
      <w:rPr>
        <w:rFonts w:hint="eastAsia"/>
        <w:b/>
        <w:bCs/>
        <w:sz w:val="21"/>
        <w:szCs w:val="21"/>
      </w:rPr>
    </w:pPr>
    <w:r>
      <w:rPr>
        <w:rFonts w:hint="eastAsia" w:ascii="华文中宋" w:hAnsi="华文中宋" w:eastAsia="华文中宋" w:cs="华文中宋"/>
        <w:b/>
        <w:bCs/>
        <w:sz w:val="21"/>
        <w:szCs w:val="21"/>
      </w:rPr>
      <w:t>湖南中医药大学湘杏学院2021届毕业生就业质量报告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single" w:color="auto" w:sz="4" w:space="1"/>
      </w:pBdr>
      <w:jc w:val="center"/>
      <w:rPr>
        <w:rFonts w:hint="eastAsia"/>
        <w:b/>
        <w:bCs/>
        <w:sz w:val="21"/>
        <w:szCs w:val="21"/>
      </w:rPr>
    </w:pPr>
    <w:r>
      <w:rPr>
        <w:rFonts w:hint="eastAsia" w:ascii="华文中宋" w:hAnsi="华文中宋" w:eastAsia="华文中宋" w:cs="华文中宋"/>
        <w:b/>
        <w:bCs/>
        <w:sz w:val="21"/>
        <w:szCs w:val="21"/>
      </w:rPr>
      <w:t>湖南中医药大学湘杏学院2021届毕业生就业质量报告</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1"/>
    <w:multiLevelType w:val="multilevel"/>
    <w:tmpl w:val="00000001"/>
    <w:lvl w:ilvl="0" w:tentative="0">
      <w:start w:val="1"/>
      <w:numFmt w:val="decimal"/>
      <w:suff w:val="nothing"/>
      <w:lvlText w:val="%1、"/>
      <w:lvlJc w:val="left"/>
      <w:pPr>
        <w:tabs>
          <w:tab w:val="left" w:pos="0"/>
        </w:tabs>
        <w:ind w:left="0" w:firstLine="0"/>
      </w:pPr>
      <w:rPr>
        <w:rFonts w:hint="default" w:ascii="Times New Roman" w:hAnsi="Times New Roman" w:cs="Times New Roman"/>
      </w:r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abstractNum w:abstractNumId="1">
    <w:nsid w:val="00000002"/>
    <w:multiLevelType w:val="singleLevel"/>
    <w:tmpl w:val="00000002"/>
    <w:lvl w:ilvl="0" w:tentative="0">
      <w:start w:val="2"/>
      <w:numFmt w:val="chineseCounting"/>
      <w:suff w:val="nothing"/>
      <w:lvlText w:val="（%1）"/>
      <w:lvlJc w:val="left"/>
      <w:rPr>
        <w:rFonts w:hint="eastAsia"/>
      </w:rPr>
    </w:lvl>
  </w:abstractNum>
  <w:abstractNum w:abstractNumId="2">
    <w:nsid w:val="00000003"/>
    <w:multiLevelType w:val="singleLevel"/>
    <w:tmpl w:val="00000003"/>
    <w:lvl w:ilvl="0" w:tentative="0">
      <w:start w:val="5"/>
      <w:numFmt w:val="decimal"/>
      <w:lvlText w:val="%1."/>
      <w:lvlJc w:val="left"/>
      <w:pPr>
        <w:tabs>
          <w:tab w:val="left" w:pos="312"/>
        </w:tabs>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view w:val="normal"/>
  <w:zoom w:percent="90"/>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62"/>
  <w:displayHorizontalDrawingGridEvery w:val="0"/>
  <w:displayVerticalDrawingGridEvery w:val="2"/>
  <w:doNotShadeFormData w:val="1"/>
  <w:characterSpacingControl w:val="compressPunctuation"/>
  <w:doNotValidateAgainstSchema/>
  <w:doNotDemarcateInvalidXml/>
  <w:hdrShapeDefaults>
    <o:shapelayout v:ext="edit">
      <o:idmap v:ext="edit" data="2"/>
    </o:shapelayout>
  </w:hdrShapeDefaults>
  <w:footnotePr>
    <w:footnote w:id="6"/>
    <w:footnote w:id="7"/>
  </w:foot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220AB8"/>
    <w:rsid w:val="007C47F7"/>
    <w:rsid w:val="00A45438"/>
    <w:rsid w:val="00C5547C"/>
    <w:rsid w:val="014E5AB0"/>
    <w:rsid w:val="029171F6"/>
    <w:rsid w:val="03561F09"/>
    <w:rsid w:val="03564C06"/>
    <w:rsid w:val="03CC21CB"/>
    <w:rsid w:val="042A6EF2"/>
    <w:rsid w:val="0445323C"/>
    <w:rsid w:val="047C5272"/>
    <w:rsid w:val="04A14450"/>
    <w:rsid w:val="04F2372E"/>
    <w:rsid w:val="05A75D16"/>
    <w:rsid w:val="05C07B0D"/>
    <w:rsid w:val="05E438F2"/>
    <w:rsid w:val="066C685F"/>
    <w:rsid w:val="069D486F"/>
    <w:rsid w:val="06D264CA"/>
    <w:rsid w:val="07D32B18"/>
    <w:rsid w:val="07DF75F9"/>
    <w:rsid w:val="083957EA"/>
    <w:rsid w:val="09214ED8"/>
    <w:rsid w:val="0950473D"/>
    <w:rsid w:val="09651BF5"/>
    <w:rsid w:val="097E3C0A"/>
    <w:rsid w:val="09A22F45"/>
    <w:rsid w:val="09A608E3"/>
    <w:rsid w:val="09E24565"/>
    <w:rsid w:val="0A005842"/>
    <w:rsid w:val="0A346A59"/>
    <w:rsid w:val="0A5F2D35"/>
    <w:rsid w:val="0A8541A7"/>
    <w:rsid w:val="0C28597F"/>
    <w:rsid w:val="0C363756"/>
    <w:rsid w:val="0CA728D4"/>
    <w:rsid w:val="0CCB0A0B"/>
    <w:rsid w:val="0DC444A6"/>
    <w:rsid w:val="0DD175CF"/>
    <w:rsid w:val="0ECD7F07"/>
    <w:rsid w:val="0EE7206C"/>
    <w:rsid w:val="0F010062"/>
    <w:rsid w:val="0F046CBD"/>
    <w:rsid w:val="0F2D1C0E"/>
    <w:rsid w:val="0FB778A5"/>
    <w:rsid w:val="0FC53BA6"/>
    <w:rsid w:val="0FCA0521"/>
    <w:rsid w:val="105C48D7"/>
    <w:rsid w:val="114917E9"/>
    <w:rsid w:val="11803EC2"/>
    <w:rsid w:val="11E84674"/>
    <w:rsid w:val="123861BD"/>
    <w:rsid w:val="127C4CDA"/>
    <w:rsid w:val="12E60311"/>
    <w:rsid w:val="142016DE"/>
    <w:rsid w:val="14224D0A"/>
    <w:rsid w:val="149F1507"/>
    <w:rsid w:val="14E804E7"/>
    <w:rsid w:val="14EF0366"/>
    <w:rsid w:val="15674B2D"/>
    <w:rsid w:val="15BC4236"/>
    <w:rsid w:val="16130C8B"/>
    <w:rsid w:val="16E94B00"/>
    <w:rsid w:val="1722707B"/>
    <w:rsid w:val="17462503"/>
    <w:rsid w:val="177C2988"/>
    <w:rsid w:val="178E0C62"/>
    <w:rsid w:val="17905436"/>
    <w:rsid w:val="17FC2567"/>
    <w:rsid w:val="18377FA9"/>
    <w:rsid w:val="1875452B"/>
    <w:rsid w:val="19782D58"/>
    <w:rsid w:val="197874D5"/>
    <w:rsid w:val="19E61C4A"/>
    <w:rsid w:val="1A0E337C"/>
    <w:rsid w:val="1B4A0A55"/>
    <w:rsid w:val="1B6B6A0B"/>
    <w:rsid w:val="1BD16E4F"/>
    <w:rsid w:val="1C0E1A98"/>
    <w:rsid w:val="1C625C66"/>
    <w:rsid w:val="1CD87718"/>
    <w:rsid w:val="1D07698D"/>
    <w:rsid w:val="1D867CBC"/>
    <w:rsid w:val="1E226502"/>
    <w:rsid w:val="1E640348"/>
    <w:rsid w:val="1E841E83"/>
    <w:rsid w:val="1EA27958"/>
    <w:rsid w:val="1EE2069D"/>
    <w:rsid w:val="20603871"/>
    <w:rsid w:val="209E23A2"/>
    <w:rsid w:val="20B96BBD"/>
    <w:rsid w:val="21C76D7B"/>
    <w:rsid w:val="21D378BA"/>
    <w:rsid w:val="21EB18A2"/>
    <w:rsid w:val="21FD020B"/>
    <w:rsid w:val="222B4961"/>
    <w:rsid w:val="222E14E0"/>
    <w:rsid w:val="226A1E07"/>
    <w:rsid w:val="226F5C03"/>
    <w:rsid w:val="22ED61A4"/>
    <w:rsid w:val="24533EA6"/>
    <w:rsid w:val="247833CF"/>
    <w:rsid w:val="24A063EE"/>
    <w:rsid w:val="24E553E8"/>
    <w:rsid w:val="250052C3"/>
    <w:rsid w:val="25285820"/>
    <w:rsid w:val="262933CE"/>
    <w:rsid w:val="267C13D7"/>
    <w:rsid w:val="269C0568"/>
    <w:rsid w:val="26C32B62"/>
    <w:rsid w:val="26F31699"/>
    <w:rsid w:val="273D04ED"/>
    <w:rsid w:val="27C22BE1"/>
    <w:rsid w:val="27EB3C03"/>
    <w:rsid w:val="28537F15"/>
    <w:rsid w:val="28B5235B"/>
    <w:rsid w:val="298F4F7D"/>
    <w:rsid w:val="29D56AB0"/>
    <w:rsid w:val="29E73703"/>
    <w:rsid w:val="29EC66D5"/>
    <w:rsid w:val="2A510485"/>
    <w:rsid w:val="2B2576FE"/>
    <w:rsid w:val="2B2C451A"/>
    <w:rsid w:val="2B47568D"/>
    <w:rsid w:val="2B5446D0"/>
    <w:rsid w:val="2B5543F8"/>
    <w:rsid w:val="2B997F0B"/>
    <w:rsid w:val="2BDA4DB3"/>
    <w:rsid w:val="2BEF7DC6"/>
    <w:rsid w:val="2C300C99"/>
    <w:rsid w:val="2C8B34DD"/>
    <w:rsid w:val="2D095047"/>
    <w:rsid w:val="2D1C1D90"/>
    <w:rsid w:val="2E217CB2"/>
    <w:rsid w:val="2E540D7A"/>
    <w:rsid w:val="2E936F54"/>
    <w:rsid w:val="30201D03"/>
    <w:rsid w:val="30E96CC6"/>
    <w:rsid w:val="318E12DA"/>
    <w:rsid w:val="31A3127F"/>
    <w:rsid w:val="31FA1C8E"/>
    <w:rsid w:val="3257314B"/>
    <w:rsid w:val="33481726"/>
    <w:rsid w:val="336F16A3"/>
    <w:rsid w:val="34022063"/>
    <w:rsid w:val="3424394A"/>
    <w:rsid w:val="3433617D"/>
    <w:rsid w:val="34F9236D"/>
    <w:rsid w:val="352549E8"/>
    <w:rsid w:val="353C06AF"/>
    <w:rsid w:val="355C4961"/>
    <w:rsid w:val="356928AF"/>
    <w:rsid w:val="35B417EA"/>
    <w:rsid w:val="36BC4B7D"/>
    <w:rsid w:val="378E11A1"/>
    <w:rsid w:val="379402BF"/>
    <w:rsid w:val="37A66477"/>
    <w:rsid w:val="37B23D7C"/>
    <w:rsid w:val="37E0761F"/>
    <w:rsid w:val="37FF5D6B"/>
    <w:rsid w:val="38291E6D"/>
    <w:rsid w:val="38471E01"/>
    <w:rsid w:val="3891234E"/>
    <w:rsid w:val="38FA3E60"/>
    <w:rsid w:val="38FF4721"/>
    <w:rsid w:val="39BF21ED"/>
    <w:rsid w:val="39F961C2"/>
    <w:rsid w:val="3AB051BC"/>
    <w:rsid w:val="3AB108C4"/>
    <w:rsid w:val="3AD01031"/>
    <w:rsid w:val="3AE93F05"/>
    <w:rsid w:val="3C063688"/>
    <w:rsid w:val="3C2C1F87"/>
    <w:rsid w:val="3C667DC0"/>
    <w:rsid w:val="3C8F62FB"/>
    <w:rsid w:val="3C9B215F"/>
    <w:rsid w:val="3D502CDA"/>
    <w:rsid w:val="3D597FFA"/>
    <w:rsid w:val="3D5C7F1D"/>
    <w:rsid w:val="3DA410DB"/>
    <w:rsid w:val="3DAF3424"/>
    <w:rsid w:val="3DDB17A2"/>
    <w:rsid w:val="3DEA67CE"/>
    <w:rsid w:val="3F087854"/>
    <w:rsid w:val="3FED2FEE"/>
    <w:rsid w:val="3FFA0F4B"/>
    <w:rsid w:val="402318FF"/>
    <w:rsid w:val="404E1D8E"/>
    <w:rsid w:val="406D7DA9"/>
    <w:rsid w:val="40C15EF1"/>
    <w:rsid w:val="41633FE0"/>
    <w:rsid w:val="418872C2"/>
    <w:rsid w:val="41D83914"/>
    <w:rsid w:val="42B10162"/>
    <w:rsid w:val="436E6B67"/>
    <w:rsid w:val="44003BC7"/>
    <w:rsid w:val="440A3726"/>
    <w:rsid w:val="449F0313"/>
    <w:rsid w:val="449F6F0B"/>
    <w:rsid w:val="45236DFE"/>
    <w:rsid w:val="45484761"/>
    <w:rsid w:val="45582B5D"/>
    <w:rsid w:val="45603F46"/>
    <w:rsid w:val="45E745BD"/>
    <w:rsid w:val="46671304"/>
    <w:rsid w:val="466C691A"/>
    <w:rsid w:val="46B850FE"/>
    <w:rsid w:val="46C23695"/>
    <w:rsid w:val="471B166A"/>
    <w:rsid w:val="47892D1D"/>
    <w:rsid w:val="479F386F"/>
    <w:rsid w:val="481432AF"/>
    <w:rsid w:val="48376781"/>
    <w:rsid w:val="48654182"/>
    <w:rsid w:val="48B459D5"/>
    <w:rsid w:val="48B61BB5"/>
    <w:rsid w:val="48CA0B9C"/>
    <w:rsid w:val="49400E3C"/>
    <w:rsid w:val="4A8D71DD"/>
    <w:rsid w:val="4ABD162D"/>
    <w:rsid w:val="4B1732F9"/>
    <w:rsid w:val="4B337200"/>
    <w:rsid w:val="4B411ADE"/>
    <w:rsid w:val="4BD77F5B"/>
    <w:rsid w:val="4BF54A8C"/>
    <w:rsid w:val="4C015B31"/>
    <w:rsid w:val="4C6145BB"/>
    <w:rsid w:val="4CA018E0"/>
    <w:rsid w:val="4D24136B"/>
    <w:rsid w:val="4D935553"/>
    <w:rsid w:val="4E136377"/>
    <w:rsid w:val="4E791BD4"/>
    <w:rsid w:val="4EE92617"/>
    <w:rsid w:val="4F6A7640"/>
    <w:rsid w:val="4FB10014"/>
    <w:rsid w:val="4FB82F63"/>
    <w:rsid w:val="4FE13118"/>
    <w:rsid w:val="5057741E"/>
    <w:rsid w:val="50CF553C"/>
    <w:rsid w:val="50F14BCB"/>
    <w:rsid w:val="520B58AE"/>
    <w:rsid w:val="529A37DA"/>
    <w:rsid w:val="52B050CF"/>
    <w:rsid w:val="52C27DD2"/>
    <w:rsid w:val="52F6767E"/>
    <w:rsid w:val="53F058C2"/>
    <w:rsid w:val="54664607"/>
    <w:rsid w:val="54772186"/>
    <w:rsid w:val="5492094F"/>
    <w:rsid w:val="54BC0568"/>
    <w:rsid w:val="54D03A94"/>
    <w:rsid w:val="54FB5AA1"/>
    <w:rsid w:val="55235101"/>
    <w:rsid w:val="55666CC9"/>
    <w:rsid w:val="55CC7BBA"/>
    <w:rsid w:val="564A7988"/>
    <w:rsid w:val="564C5E20"/>
    <w:rsid w:val="567B29ED"/>
    <w:rsid w:val="57E9390D"/>
    <w:rsid w:val="5843585C"/>
    <w:rsid w:val="586853A1"/>
    <w:rsid w:val="58836646"/>
    <w:rsid w:val="5892767D"/>
    <w:rsid w:val="58C47EF0"/>
    <w:rsid w:val="58C80D0A"/>
    <w:rsid w:val="58EA3AC9"/>
    <w:rsid w:val="59312437"/>
    <w:rsid w:val="598924FB"/>
    <w:rsid w:val="59B42737"/>
    <w:rsid w:val="59E3151A"/>
    <w:rsid w:val="5A82030A"/>
    <w:rsid w:val="5A8A0E18"/>
    <w:rsid w:val="5AC24977"/>
    <w:rsid w:val="5B505491"/>
    <w:rsid w:val="5B685104"/>
    <w:rsid w:val="5B7610E1"/>
    <w:rsid w:val="5BFB631F"/>
    <w:rsid w:val="5C353A96"/>
    <w:rsid w:val="5D1E2F62"/>
    <w:rsid w:val="5D5850AB"/>
    <w:rsid w:val="5D72616D"/>
    <w:rsid w:val="5E031E6C"/>
    <w:rsid w:val="5E40626B"/>
    <w:rsid w:val="5E553B29"/>
    <w:rsid w:val="5E560D62"/>
    <w:rsid w:val="5E7C60DC"/>
    <w:rsid w:val="5F326D3D"/>
    <w:rsid w:val="5F4D6FE9"/>
    <w:rsid w:val="5FE04FE5"/>
    <w:rsid w:val="60187C03"/>
    <w:rsid w:val="60510E15"/>
    <w:rsid w:val="60E40144"/>
    <w:rsid w:val="61483DB4"/>
    <w:rsid w:val="61531266"/>
    <w:rsid w:val="61C668C7"/>
    <w:rsid w:val="624F57E4"/>
    <w:rsid w:val="627961EF"/>
    <w:rsid w:val="62F17438"/>
    <w:rsid w:val="63483071"/>
    <w:rsid w:val="63D92578"/>
    <w:rsid w:val="645821BA"/>
    <w:rsid w:val="64FC5F3B"/>
    <w:rsid w:val="658E4922"/>
    <w:rsid w:val="65DE6922"/>
    <w:rsid w:val="65F56152"/>
    <w:rsid w:val="65FF4CF9"/>
    <w:rsid w:val="663003AB"/>
    <w:rsid w:val="664B2ED3"/>
    <w:rsid w:val="6743002C"/>
    <w:rsid w:val="674D2F4B"/>
    <w:rsid w:val="679A5E06"/>
    <w:rsid w:val="68806B01"/>
    <w:rsid w:val="68953223"/>
    <w:rsid w:val="68DC268B"/>
    <w:rsid w:val="69AD60C2"/>
    <w:rsid w:val="6AC16CBC"/>
    <w:rsid w:val="6AFC6402"/>
    <w:rsid w:val="6BC02799"/>
    <w:rsid w:val="6BDF5049"/>
    <w:rsid w:val="6C777344"/>
    <w:rsid w:val="6C9C0EC0"/>
    <w:rsid w:val="6CE357E1"/>
    <w:rsid w:val="6D0914F3"/>
    <w:rsid w:val="6F653CFF"/>
    <w:rsid w:val="6F6822D7"/>
    <w:rsid w:val="6FAB29C1"/>
    <w:rsid w:val="6FCD0E4E"/>
    <w:rsid w:val="6FCF00B9"/>
    <w:rsid w:val="6FCF718B"/>
    <w:rsid w:val="702F7EED"/>
    <w:rsid w:val="70E72088"/>
    <w:rsid w:val="722E4177"/>
    <w:rsid w:val="723375A1"/>
    <w:rsid w:val="723E2AE2"/>
    <w:rsid w:val="727E47E1"/>
    <w:rsid w:val="7324479F"/>
    <w:rsid w:val="73DF7926"/>
    <w:rsid w:val="74444C81"/>
    <w:rsid w:val="746D1A48"/>
    <w:rsid w:val="748B5DC2"/>
    <w:rsid w:val="760C0C18"/>
    <w:rsid w:val="769875D4"/>
    <w:rsid w:val="76C621FB"/>
    <w:rsid w:val="76E53BA4"/>
    <w:rsid w:val="77AE2D9F"/>
    <w:rsid w:val="77C12DDB"/>
    <w:rsid w:val="785E0EED"/>
    <w:rsid w:val="7893567F"/>
    <w:rsid w:val="78C53AE4"/>
    <w:rsid w:val="790B2C9D"/>
    <w:rsid w:val="794A254F"/>
    <w:rsid w:val="79A954E6"/>
    <w:rsid w:val="7A115E70"/>
    <w:rsid w:val="7B0F51B4"/>
    <w:rsid w:val="7B9B7712"/>
    <w:rsid w:val="7BE31D0F"/>
    <w:rsid w:val="7C376D58"/>
    <w:rsid w:val="7D100CF6"/>
    <w:rsid w:val="7D7E3B80"/>
    <w:rsid w:val="7F764191"/>
    <w:rsid w:val="7F7F4208"/>
    <w:rsid w:val="C7EE89D8"/>
    <w:rsid w:val="DDEFC0D1"/>
    <w:rsid w:val="DF9FB9BE"/>
    <w:rsid w:val="E5FBA34B"/>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等线" w:hAnsi="等线" w:eastAsia="等线" w:cs="Times New Roman"/>
      </w:rPr>
    </w:rPrDefault>
    <w:pPrDefault/>
  </w:docDefaults>
  <w:latentStyles w:count="260" w:defQFormat="0" w:defUnhideWhenUsed="1" w:defSemiHidden="1" w:defUIPriority="99" w:defLockedState="0">
    <w:lsdException w:unhideWhenUsed="0" w:uiPriority="0" w:semiHidden="0" w:name="Normal"/>
    <w:lsdException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semiHidden="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uiPriority w:val="0"/>
    <w:pPr>
      <w:widowControl w:val="0"/>
      <w:jc w:val="both"/>
    </w:pPr>
    <w:rPr>
      <w:rFonts w:ascii="等线" w:hAnsi="等线" w:eastAsia="等线" w:cs="等线"/>
      <w:kern w:val="2"/>
      <w:sz w:val="21"/>
      <w:lang w:val="en-US" w:eastAsia="zh-CN" w:bidi="ar-SA"/>
    </w:rPr>
  </w:style>
  <w:style w:type="paragraph" w:styleId="2">
    <w:name w:val="heading 1"/>
    <w:basedOn w:val="1"/>
    <w:next w:val="1"/>
    <w:uiPriority w:val="0"/>
    <w:pPr>
      <w:spacing w:before="100" w:beforeAutospacing="1" w:after="100" w:afterAutospacing="1"/>
      <w:jc w:val="left"/>
      <w:outlineLvl w:val="0"/>
    </w:pPr>
    <w:rPr>
      <w:rFonts w:hint="eastAsia" w:ascii="宋体" w:hAnsi="宋体" w:eastAsia="宋体" w:cs="宋体"/>
      <w:b/>
      <w:kern w:val="44"/>
      <w:sz w:val="48"/>
      <w:szCs w:val="48"/>
      <w:lang w:val="en-US" w:eastAsia="zh-CN" w:bidi="ar-SA"/>
    </w:rPr>
  </w:style>
  <w:style w:type="character" w:default="1" w:styleId="17">
    <w:name w:val="Default Paragraph Font"/>
    <w:uiPriority w:val="0"/>
    <w:rPr>
      <w:rFonts w:ascii="等线" w:hAnsi="等线" w:eastAsia="等线" w:cs="等线"/>
    </w:rPr>
  </w:style>
  <w:style w:type="table" w:default="1" w:styleId="16">
    <w:name w:val="Normal Table"/>
    <w:uiPriority w:val="0"/>
    <w:pPr>
      <w:keepNext w:val="0"/>
      <w:keepLines w:val="0"/>
      <w:widowControl/>
      <w:suppressLineNumbers w:val="0"/>
      <w:spacing w:before="0" w:beforeAutospacing="0" w:after="0" w:afterAutospacing="0"/>
      <w:ind w:left="0" w:right="0"/>
    </w:pPr>
    <w:rPr>
      <w:rFonts w:hint="default" w:ascii="Calibri" w:hAnsi="Calibri" w:eastAsia="等线" w:cs="Times New Roman"/>
      <w:sz w:val="20"/>
      <w:szCs w:val="20"/>
    </w:rPr>
    <w:tblPr>
      <w:tblStyle w:val="16"/>
      <w:tblCellMar>
        <w:top w:w="0" w:type="dxa"/>
        <w:left w:w="108" w:type="dxa"/>
        <w:bottom w:w="0" w:type="dxa"/>
        <w:right w:w="108" w:type="dxa"/>
      </w:tblCellMar>
    </w:tblPr>
  </w:style>
  <w:style w:type="paragraph" w:styleId="3">
    <w:name w:val="toc 7"/>
    <w:basedOn w:val="1"/>
    <w:next w:val="1"/>
    <w:uiPriority w:val="0"/>
    <w:pPr>
      <w:ind w:left="2520" w:leftChars="1200"/>
    </w:pPr>
    <w:rPr>
      <w:rFonts w:ascii="等线" w:hAnsi="等线" w:eastAsia="等线" w:cs="等线"/>
    </w:rPr>
  </w:style>
  <w:style w:type="paragraph" w:styleId="4">
    <w:name w:val="toc 5"/>
    <w:basedOn w:val="1"/>
    <w:next w:val="1"/>
    <w:uiPriority w:val="0"/>
    <w:pPr>
      <w:ind w:left="1680" w:leftChars="800"/>
    </w:pPr>
    <w:rPr>
      <w:rFonts w:ascii="等线" w:hAnsi="等线" w:eastAsia="等线" w:cs="等线"/>
    </w:rPr>
  </w:style>
  <w:style w:type="paragraph" w:styleId="5">
    <w:name w:val="toc 3"/>
    <w:basedOn w:val="1"/>
    <w:next w:val="1"/>
    <w:uiPriority w:val="0"/>
    <w:pPr>
      <w:ind w:left="840" w:leftChars="400"/>
    </w:pPr>
    <w:rPr>
      <w:rFonts w:ascii="等线" w:hAnsi="等线" w:eastAsia="等线" w:cs="等线"/>
    </w:rPr>
  </w:style>
  <w:style w:type="paragraph" w:styleId="6">
    <w:name w:val="toc 8"/>
    <w:basedOn w:val="1"/>
    <w:next w:val="1"/>
    <w:uiPriority w:val="0"/>
    <w:pPr>
      <w:ind w:left="2940" w:leftChars="1400"/>
    </w:pPr>
    <w:rPr>
      <w:rFonts w:ascii="等线" w:hAnsi="等线" w:eastAsia="等线" w:cs="等线"/>
    </w:rPr>
  </w:style>
  <w:style w:type="paragraph" w:styleId="7">
    <w:name w:val="footer"/>
    <w:basedOn w:val="1"/>
    <w:uiPriority w:val="0"/>
    <w:pPr>
      <w:tabs>
        <w:tab w:val="center" w:pos="4153"/>
        <w:tab w:val="right" w:pos="8306"/>
      </w:tabs>
      <w:snapToGrid w:val="0"/>
      <w:jc w:val="left"/>
    </w:pPr>
    <w:rPr>
      <w:rFonts w:ascii="等线" w:hAnsi="等线" w:eastAsia="等线" w:cs="等线"/>
      <w:sz w:val="18"/>
    </w:rPr>
  </w:style>
  <w:style w:type="paragraph" w:styleId="8">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rFonts w:ascii="Times New Roman" w:hAnsi="Times New Roman" w:eastAsia="等线" w:cs="等线"/>
      <w:sz w:val="18"/>
    </w:rPr>
  </w:style>
  <w:style w:type="paragraph" w:styleId="9">
    <w:name w:val="toc 1"/>
    <w:basedOn w:val="1"/>
    <w:next w:val="1"/>
    <w:uiPriority w:val="0"/>
    <w:rPr>
      <w:rFonts w:ascii="等线" w:hAnsi="等线" w:eastAsia="等线" w:cs="等线"/>
    </w:rPr>
  </w:style>
  <w:style w:type="paragraph" w:styleId="10">
    <w:name w:val="toc 4"/>
    <w:basedOn w:val="1"/>
    <w:next w:val="1"/>
    <w:uiPriority w:val="0"/>
    <w:pPr>
      <w:ind w:left="1260" w:leftChars="600"/>
    </w:pPr>
    <w:rPr>
      <w:rFonts w:ascii="等线" w:hAnsi="等线" w:eastAsia="等线" w:cs="等线"/>
    </w:rPr>
  </w:style>
  <w:style w:type="paragraph" w:styleId="11">
    <w:name w:val="footnote text"/>
    <w:basedOn w:val="1"/>
    <w:uiPriority w:val="0"/>
    <w:pPr>
      <w:snapToGrid w:val="0"/>
      <w:jc w:val="left"/>
    </w:pPr>
    <w:rPr>
      <w:rFonts w:ascii="等线" w:hAnsi="等线" w:eastAsia="等线" w:cs="等线"/>
      <w:sz w:val="18"/>
    </w:rPr>
  </w:style>
  <w:style w:type="paragraph" w:styleId="12">
    <w:name w:val="toc 6"/>
    <w:basedOn w:val="1"/>
    <w:next w:val="1"/>
    <w:uiPriority w:val="0"/>
    <w:pPr>
      <w:ind w:left="2100" w:leftChars="1000"/>
    </w:pPr>
    <w:rPr>
      <w:rFonts w:ascii="等线" w:hAnsi="等线" w:eastAsia="等线" w:cs="等线"/>
    </w:rPr>
  </w:style>
  <w:style w:type="paragraph" w:styleId="13">
    <w:name w:val="toc 2"/>
    <w:basedOn w:val="1"/>
    <w:next w:val="1"/>
    <w:uiPriority w:val="0"/>
    <w:pPr>
      <w:ind w:left="420" w:leftChars="200"/>
    </w:pPr>
    <w:rPr>
      <w:rFonts w:ascii="等线" w:hAnsi="等线" w:eastAsia="等线" w:cs="等线"/>
    </w:rPr>
  </w:style>
  <w:style w:type="paragraph" w:styleId="14">
    <w:name w:val="toc 9"/>
    <w:basedOn w:val="1"/>
    <w:next w:val="1"/>
    <w:uiPriority w:val="0"/>
    <w:pPr>
      <w:ind w:left="3360" w:leftChars="1600"/>
    </w:pPr>
    <w:rPr>
      <w:rFonts w:ascii="等线" w:hAnsi="等线" w:eastAsia="等线" w:cs="等线"/>
    </w:rPr>
  </w:style>
  <w:style w:type="paragraph" w:styleId="15">
    <w:name w:val="Normal (Web)"/>
    <w:uiPriority w:val="0"/>
    <w:pPr>
      <w:spacing w:before="100" w:beforeAutospacing="1" w:after="100" w:afterAutospacing="1"/>
    </w:pPr>
    <w:rPr>
      <w:rFonts w:ascii="宋体" w:hAnsi="等线" w:eastAsia="等线" w:cs="宋体"/>
      <w:sz w:val="24"/>
      <w:lang w:val="en-US" w:eastAsia="zh-CN" w:bidi="ar-SA"/>
    </w:rPr>
  </w:style>
  <w:style w:type="character" w:styleId="18">
    <w:name w:val="page number"/>
    <w:uiPriority w:val="0"/>
    <w:rPr>
      <w:rFonts w:ascii="等线" w:hAnsi="等线" w:eastAsia="等线" w:cs="等线"/>
    </w:rPr>
  </w:style>
  <w:style w:type="character" w:styleId="19">
    <w:name w:val="FollowedHyperlink"/>
    <w:uiPriority w:val="0"/>
    <w:rPr>
      <w:rFonts w:ascii="等线" w:hAnsi="等线" w:eastAsia="等线" w:cs="等线"/>
      <w:color w:val="512600"/>
      <w:u w:val="none"/>
    </w:rPr>
  </w:style>
  <w:style w:type="character" w:styleId="20">
    <w:name w:val="Hyperlink"/>
    <w:uiPriority w:val="0"/>
    <w:rPr>
      <w:rFonts w:ascii="等线" w:hAnsi="等线" w:eastAsia="等线" w:cs="等线"/>
      <w:color w:val="512600"/>
      <w:u w:val="none"/>
    </w:rPr>
  </w:style>
  <w:style w:type="character" w:styleId="21">
    <w:name w:val="footnote reference"/>
    <w:uiPriority w:val="0"/>
    <w:rPr>
      <w:rFonts w:ascii="等线" w:hAnsi="等线" w:eastAsia="等线" w:cs="等线"/>
      <w:vertAlign w:val="superscript"/>
    </w:rPr>
  </w:style>
  <w:style w:type="character" w:customStyle="1" w:styleId="22">
    <w:name w:val="font21"/>
    <w:uiPriority w:val="0"/>
    <w:rPr>
      <w:rFonts w:hint="eastAsia" w:ascii="宋体" w:hAnsi="宋体" w:eastAsia="宋体" w:cs="宋体"/>
      <w:b/>
      <w:color w:val="000000"/>
      <w:sz w:val="21"/>
      <w:szCs w:val="21"/>
      <w:u w:val="none"/>
    </w:rPr>
  </w:style>
  <w:style w:type="character" w:customStyle="1" w:styleId="23">
    <w:name w:val="font41"/>
    <w:uiPriority w:val="0"/>
    <w:rPr>
      <w:rFonts w:hint="default" w:ascii="Times New Roman" w:hAnsi="Times New Roman" w:eastAsia="等线" w:cs="Times New Roman"/>
      <w:b/>
      <w:color w:val="000000"/>
      <w:sz w:val="21"/>
      <w:szCs w:val="21"/>
      <w:u w:val="none"/>
    </w:rPr>
  </w:style>
  <w:style w:type="character" w:customStyle="1" w:styleId="24">
    <w:name w:val="font11"/>
    <w:uiPriority w:val="0"/>
    <w:rPr>
      <w:rFonts w:hint="default" w:ascii="Arial" w:hAnsi="Arial" w:eastAsia="等线" w:cs="Arial"/>
      <w:color w:val="000000"/>
      <w:sz w:val="24"/>
      <w:szCs w:val="24"/>
      <w:u w:val="none"/>
    </w:rPr>
  </w:style>
  <w:style w:type="paragraph" w:styleId="25">
    <w:name w:val="List Paragraph"/>
    <w:uiPriority w:val="0"/>
    <w:pPr>
      <w:ind w:firstLine="420" w:firstLineChars="200"/>
    </w:pPr>
    <w:rPr>
      <w:rFonts w:ascii="等线" w:hAnsi="等线" w:eastAsia="等线" w:cs="等线"/>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header" Target="header2.xml"/><Relationship Id="rId5" Type="http://schemas.openxmlformats.org/officeDocument/2006/relationships/footer" Target="footer1.xml"/><Relationship Id="rId4" Type="http://schemas.openxmlformats.org/officeDocument/2006/relationships/header" Target="header1.xml"/><Relationship Id="rId39" Type="http://schemas.openxmlformats.org/officeDocument/2006/relationships/fontTable" Target="fontTable.xml"/><Relationship Id="rId38" Type="http://schemas.openxmlformats.org/officeDocument/2006/relationships/numbering" Target="numbering.xml"/><Relationship Id="rId37" Type="http://schemas.openxmlformats.org/officeDocument/2006/relationships/customXml" Target="../customXml/item1.xml"/><Relationship Id="rId36" Type="http://schemas.openxmlformats.org/officeDocument/2006/relationships/image" Target="media/image16.png"/><Relationship Id="rId35" Type="http://schemas.openxmlformats.org/officeDocument/2006/relationships/oleObject" Target="embeddings/oleObject12.bin"/><Relationship Id="rId34" Type="http://schemas.openxmlformats.org/officeDocument/2006/relationships/image" Target="media/image15.emf"/><Relationship Id="rId33" Type="http://schemas.openxmlformats.org/officeDocument/2006/relationships/oleObject" Target="embeddings/oleObject11.bin"/><Relationship Id="rId32" Type="http://schemas.openxmlformats.org/officeDocument/2006/relationships/image" Target="media/image14.png"/><Relationship Id="rId31" Type="http://schemas.openxmlformats.org/officeDocument/2006/relationships/oleObject" Target="embeddings/oleObject10.bin"/><Relationship Id="rId30" Type="http://schemas.openxmlformats.org/officeDocument/2006/relationships/image" Target="media/image13.png"/><Relationship Id="rId3" Type="http://schemas.openxmlformats.org/officeDocument/2006/relationships/footnotes" Target="footnotes.xml"/><Relationship Id="rId29" Type="http://schemas.openxmlformats.org/officeDocument/2006/relationships/image" Target="media/image12.png"/><Relationship Id="rId28" Type="http://schemas.openxmlformats.org/officeDocument/2006/relationships/image" Target="media/image11.emf"/><Relationship Id="rId27" Type="http://schemas.openxmlformats.org/officeDocument/2006/relationships/oleObject" Target="embeddings/oleObject9.bin"/><Relationship Id="rId26" Type="http://schemas.openxmlformats.org/officeDocument/2006/relationships/image" Target="media/image10.png"/><Relationship Id="rId25" Type="http://schemas.openxmlformats.org/officeDocument/2006/relationships/image" Target="media/image9.emf"/><Relationship Id="rId24" Type="http://schemas.openxmlformats.org/officeDocument/2006/relationships/oleObject" Target="embeddings/oleObject8.bin"/><Relationship Id="rId23" Type="http://schemas.openxmlformats.org/officeDocument/2006/relationships/image" Target="media/image8.emf"/><Relationship Id="rId22" Type="http://schemas.openxmlformats.org/officeDocument/2006/relationships/oleObject" Target="embeddings/oleObject7.bin"/><Relationship Id="rId21" Type="http://schemas.openxmlformats.org/officeDocument/2006/relationships/image" Target="media/image7.emf"/><Relationship Id="rId20" Type="http://schemas.openxmlformats.org/officeDocument/2006/relationships/oleObject" Target="embeddings/oleObject6.bin"/><Relationship Id="rId2" Type="http://schemas.openxmlformats.org/officeDocument/2006/relationships/settings" Target="settings.xml"/><Relationship Id="rId19" Type="http://schemas.openxmlformats.org/officeDocument/2006/relationships/image" Target="media/image6.emf"/><Relationship Id="rId18" Type="http://schemas.openxmlformats.org/officeDocument/2006/relationships/oleObject" Target="embeddings/oleObject5.bin"/><Relationship Id="rId17" Type="http://schemas.openxmlformats.org/officeDocument/2006/relationships/image" Target="media/image5.emf"/><Relationship Id="rId16" Type="http://schemas.openxmlformats.org/officeDocument/2006/relationships/oleObject" Target="embeddings/oleObject4.bin"/><Relationship Id="rId15" Type="http://schemas.openxmlformats.org/officeDocument/2006/relationships/image" Target="media/image4.emf"/><Relationship Id="rId14" Type="http://schemas.openxmlformats.org/officeDocument/2006/relationships/oleObject" Target="embeddings/oleObject3.bin"/><Relationship Id="rId13" Type="http://schemas.openxmlformats.org/officeDocument/2006/relationships/image" Target="media/image3.emf"/><Relationship Id="rId12" Type="http://schemas.openxmlformats.org/officeDocument/2006/relationships/oleObject" Target="embeddings/oleObject2.bin"/><Relationship Id="rId11" Type="http://schemas.openxmlformats.org/officeDocument/2006/relationships/image" Target="media/image2.emf"/><Relationship Id="rId10" Type="http://schemas.openxmlformats.org/officeDocument/2006/relationships/oleObject" Target="embeddings/oleObject1.bin"/><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8"/>
    <customShpInfo spid="_x0000_s1029"/>
    <customShpInfo spid="_x0000_s1031"/>
    <customShpInfo spid="_x0000_s1038"/>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30</Pages>
  <Words>9771</Words>
  <Characters>11175</Characters>
  <Lines>83</Lines>
  <Paragraphs>23</Paragraphs>
  <TotalTime>0</TotalTime>
  <ScaleCrop>false</ScaleCrop>
  <LinksUpToDate>false</LinksUpToDate>
  <CharactersWithSpaces>11317</CharactersWithSpaces>
  <Application>WPS Office_11.1.0.11807_F1E327BC-269C-435d-A152-05C5408002CA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2014-12-04T09:52:00Z</dcterms:created>
  <dc:creator>Administrator</dc:creator>
  <cp:lastModifiedBy>会发光的橙子</cp:lastModifiedBy>
  <cp:lastPrinted>2018-12-29T16:10:00Z</cp:lastPrinted>
  <dcterms:modified xsi:type="dcterms:W3CDTF">2022-07-08T07:35:05Z</dcterms:modified>
  <dc:title>前  言</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2052-11.1.0.11807</vt:lpwstr>
  </property>
  <property fmtid="{D5CDD505-2E9C-101B-9397-08002B2CF9AE}" pid="3" name="ICV">
    <vt:lpwstr>44B750E172314218A1CBB44C84A64832</vt:lpwstr>
  </property>
</Properties>
</file>