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9"/>
        <w:rPr>
          <w:rFonts w:hint="eastAsia" w:ascii="华文行楷" w:hAnsi="华文行楷" w:eastAsia="华文行楷" w:cs="华文行楷"/>
          <w:b/>
          <w:bCs w:val="0"/>
          <w:color w:val="auto"/>
          <w:w w:val="80"/>
          <w:sz w:val="84"/>
          <w:szCs w:val="84"/>
          <w:lang w:eastAsia="zh-CN"/>
        </w:rPr>
      </w:pPr>
      <w:bookmarkStart w:id="46" w:name="_GoBack"/>
      <w:bookmarkEnd w:id="46"/>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both"/>
        <w:textAlignment w:val="auto"/>
        <w:outlineLvl w:val="9"/>
        <w:rPr>
          <w:rFonts w:hint="eastAsia" w:ascii="华文行楷" w:hAnsi="华文行楷" w:eastAsia="华文行楷" w:cs="华文行楷"/>
          <w:b/>
          <w:bCs w:val="0"/>
          <w:color w:val="auto"/>
          <w:w w:val="80"/>
          <w:sz w:val="84"/>
          <w:szCs w:val="84"/>
          <w:lang w:eastAsia="zh-CN"/>
        </w:rPr>
      </w:pPr>
    </w:p>
    <w:p>
      <w:pPr>
        <w:keepNext w:val="0"/>
        <w:keepLines w:val="0"/>
        <w:pageBreakBefore w:val="0"/>
        <w:widowControl w:val="0"/>
        <w:kinsoku/>
        <w:wordWrap/>
        <w:overflowPunct/>
        <w:topLinePunct w:val="0"/>
        <w:autoSpaceDE/>
        <w:autoSpaceDN/>
        <w:bidi w:val="0"/>
        <w:adjustRightInd/>
        <w:snapToGrid/>
        <w:spacing w:line="800" w:lineRule="exact"/>
        <w:ind w:left="0" w:leftChars="0" w:right="0" w:rightChars="0" w:firstLine="0" w:firstLineChars="0"/>
        <w:jc w:val="center"/>
        <w:textAlignment w:val="auto"/>
        <w:outlineLvl w:val="9"/>
        <w:rPr>
          <w:rFonts w:hint="eastAsia" w:ascii="华文行楷" w:hAnsi="华文行楷" w:eastAsia="华文行楷" w:cs="华文行楷"/>
          <w:b/>
          <w:bCs w:val="0"/>
          <w:color w:val="943734"/>
          <w:w w:val="80"/>
          <w:sz w:val="84"/>
          <w:szCs w:val="84"/>
          <w:lang w:eastAsia="zh-CN"/>
        </w:rPr>
      </w:pPr>
      <w:r>
        <w:rPr>
          <w:rFonts w:hint="eastAsia" w:ascii="华文行楷" w:hAnsi="华文行楷" w:eastAsia="华文行楷" w:cs="华文行楷"/>
          <w:b/>
          <w:bCs w:val="0"/>
          <w:color w:val="943734"/>
          <w:w w:val="80"/>
          <w:sz w:val="84"/>
          <w:szCs w:val="84"/>
          <w:lang w:eastAsia="zh-CN"/>
        </w:rPr>
        <w:t>湖南中医药大学湘杏学院</w:t>
      </w:r>
    </w:p>
    <w:p>
      <w:pPr>
        <w:keepNext w:val="0"/>
        <w:keepLines w:val="0"/>
        <w:pageBreakBefore w:val="0"/>
        <w:widowControl w:val="0"/>
        <w:kinsoku/>
        <w:wordWrap/>
        <w:overflowPunct/>
        <w:topLinePunct w:val="0"/>
        <w:autoSpaceDE/>
        <w:autoSpaceDN/>
        <w:bidi w:val="0"/>
        <w:adjustRightInd/>
        <w:snapToGrid/>
        <w:spacing w:line="500" w:lineRule="exact"/>
        <w:ind w:left="0" w:leftChars="0" w:right="0" w:rightChars="0" w:firstLine="0" w:firstLineChars="0"/>
        <w:jc w:val="center"/>
        <w:textAlignment w:val="auto"/>
        <w:outlineLvl w:val="9"/>
        <w:rPr>
          <w:rFonts w:hint="eastAsia" w:ascii="新宋体" w:hAnsi="新宋体" w:eastAsia="新宋体" w:cs="新宋体"/>
          <w:b/>
          <w:bCs w:val="0"/>
          <w:i w:val="0"/>
          <w:iCs w:val="0"/>
          <w:color w:val="943734"/>
          <w:sz w:val="24"/>
          <w:szCs w:val="24"/>
          <w:lang w:val="en-US" w:eastAsia="zh-CN"/>
        </w:rPr>
      </w:pPr>
      <w:r>
        <w:rPr>
          <w:rFonts w:hint="eastAsia" w:ascii="新宋体" w:hAnsi="新宋体" w:eastAsia="新宋体" w:cs="新宋体"/>
          <w:b/>
          <w:bCs w:val="0"/>
          <w:i/>
          <w:iCs/>
          <w:color w:val="943734"/>
          <w:sz w:val="24"/>
          <w:szCs w:val="24"/>
          <w:lang w:val="en-US" w:eastAsia="zh-CN"/>
        </w:rPr>
        <w:t>XIANGXING COLLEGE OF HUNAN UNIVERSITY OF CHINESE MEDICINE</w:t>
      </w:r>
    </w:p>
    <w:p>
      <w:pPr>
        <w:jc w:val="both"/>
        <w:rPr>
          <w:rFonts w:hint="eastAsia" w:ascii="华文中宋" w:hAnsi="华文中宋" w:eastAsia="华文中宋" w:cs="华文中宋"/>
          <w:b/>
          <w:color w:val="auto"/>
          <w:sz w:val="48"/>
          <w:szCs w:val="48"/>
          <w:lang w:val="en-US" w:eastAsia="zh-CN"/>
        </w:rPr>
      </w:pPr>
    </w:p>
    <w:p>
      <w:pPr>
        <w:jc w:val="center"/>
        <w:rPr>
          <w:rFonts w:hint="eastAsia" w:ascii="华文中宋" w:hAnsi="华文中宋" w:eastAsia="华文中宋" w:cs="华文中宋"/>
          <w:b/>
          <w:i w:val="0"/>
          <w:iCs w:val="0"/>
          <w:color w:val="003366"/>
          <w:sz w:val="52"/>
          <w:szCs w:val="52"/>
          <w:lang w:val="en-US" w:eastAsia="zh-CN"/>
        </w:rPr>
      </w:pPr>
      <w:r>
        <w:rPr>
          <w:rFonts w:hint="eastAsia" w:ascii="华文中宋" w:hAnsi="华文中宋" w:eastAsia="华文中宋" w:cs="华文中宋"/>
          <w:b/>
          <w:i w:val="0"/>
          <w:iCs w:val="0"/>
          <w:color w:val="003366"/>
          <w:sz w:val="52"/>
          <w:szCs w:val="52"/>
          <w:lang w:val="en-US" w:eastAsia="zh-CN"/>
        </w:rPr>
        <w:t>2020届毕业生就业质量报告</w:t>
      </w:r>
    </w:p>
    <w:p>
      <w:pPr>
        <w:keepNext w:val="0"/>
        <w:keepLines w:val="0"/>
        <w:pageBreakBefore w:val="0"/>
        <w:widowControl w:val="0"/>
        <w:kinsoku/>
        <w:wordWrap/>
        <w:overflowPunct/>
        <w:topLinePunct w:val="0"/>
        <w:autoSpaceDE/>
        <w:autoSpaceDN/>
        <w:bidi w:val="0"/>
        <w:adjustRightInd/>
        <w:snapToGrid/>
        <w:spacing w:before="1248" w:beforeLines="400" w:line="360" w:lineRule="auto"/>
        <w:ind w:left="0" w:leftChars="0" w:right="0" w:rightChars="0" w:firstLine="0" w:firstLineChars="0"/>
        <w:jc w:val="both"/>
        <w:textAlignment w:val="auto"/>
        <w:outlineLvl w:val="0"/>
        <w:rPr>
          <w:rFonts w:hint="eastAsia" w:ascii="黑体" w:eastAsia="黑体"/>
          <w:b/>
          <w:color w:val="auto"/>
          <w:sz w:val="32"/>
          <w:szCs w:val="32"/>
        </w:rPr>
      </w:pPr>
      <w:r>
        <w:rPr>
          <w:rFonts w:hint="eastAsia" w:eastAsia="宋体"/>
          <w:color w:val="auto"/>
          <w:lang w:eastAsia="zh-CN"/>
        </w:rPr>
        <w:drawing>
          <wp:anchor distT="0" distB="0" distL="114300" distR="114300" simplePos="0" relativeHeight="251659264" behindDoc="0" locked="0" layoutInCell="1" allowOverlap="1">
            <wp:simplePos x="0" y="0"/>
            <wp:positionH relativeFrom="column">
              <wp:posOffset>1760855</wp:posOffset>
            </wp:positionH>
            <wp:positionV relativeFrom="paragraph">
              <wp:posOffset>885190</wp:posOffset>
            </wp:positionV>
            <wp:extent cx="2187575" cy="2187575"/>
            <wp:effectExtent l="0" t="0" r="3175" b="3175"/>
            <wp:wrapNone/>
            <wp:docPr id="1" name="图片 5" descr="复件 湖南中医药大学湘杏学院院徽最终版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复件 湖南中医药大学湘杏学院院徽最终版副本"/>
                    <pic:cNvPicPr>
                      <a:picLocks noChangeAspect="1"/>
                    </pic:cNvPicPr>
                  </pic:nvPicPr>
                  <pic:blipFill>
                    <a:blip r:embed="rId10"/>
                    <a:stretch>
                      <a:fillRect/>
                    </a:stretch>
                  </pic:blipFill>
                  <pic:spPr>
                    <a:xfrm>
                      <a:off x="0" y="0"/>
                      <a:ext cx="2187575" cy="218757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1248" w:beforeLines="400" w:line="360" w:lineRule="auto"/>
        <w:ind w:left="0" w:leftChars="0" w:right="0" w:rightChars="0" w:firstLine="0" w:firstLineChars="0"/>
        <w:jc w:val="both"/>
        <w:textAlignment w:val="auto"/>
        <w:outlineLvl w:val="0"/>
        <w:rPr>
          <w:rFonts w:hint="eastAsia" w:ascii="黑体" w:eastAsia="黑体"/>
          <w:b/>
          <w:color w:val="auto"/>
          <w:sz w:val="32"/>
          <w:szCs w:val="32"/>
        </w:rPr>
      </w:pPr>
    </w:p>
    <w:p>
      <w:pPr>
        <w:keepNext w:val="0"/>
        <w:keepLines w:val="0"/>
        <w:pageBreakBefore w:val="0"/>
        <w:widowControl w:val="0"/>
        <w:kinsoku/>
        <w:wordWrap/>
        <w:overflowPunct/>
        <w:topLinePunct w:val="0"/>
        <w:autoSpaceDE/>
        <w:autoSpaceDN/>
        <w:bidi w:val="0"/>
        <w:adjustRightInd/>
        <w:snapToGrid/>
        <w:spacing w:before="1248" w:beforeLines="400" w:line="360" w:lineRule="auto"/>
        <w:ind w:left="0" w:leftChars="0" w:right="0" w:rightChars="0" w:firstLine="0" w:firstLineChars="0"/>
        <w:jc w:val="both"/>
        <w:textAlignment w:val="auto"/>
        <w:outlineLvl w:val="0"/>
        <w:rPr>
          <w:rFonts w:hint="eastAsia" w:ascii="宋体" w:hAnsi="宋体" w:cs="宋体"/>
          <w:b/>
          <w:bCs/>
          <w:color w:val="auto"/>
          <w:sz w:val="36"/>
          <w:szCs w:val="36"/>
          <w:lang w:val="en-US" w:eastAsia="zh-CN"/>
        </w:rPr>
      </w:pPr>
    </w:p>
    <w:p>
      <w:pPr>
        <w:jc w:val="both"/>
        <w:rPr>
          <w:rFonts w:hint="eastAsia" w:ascii="华文中宋" w:hAnsi="华文中宋" w:eastAsia="华文中宋" w:cs="华文中宋"/>
          <w:b/>
          <w:i w:val="0"/>
          <w:iCs w:val="0"/>
          <w:color w:val="003366"/>
          <w:sz w:val="52"/>
          <w:szCs w:val="52"/>
          <w:lang w:val="en-US" w:eastAsia="zh-CN"/>
        </w:rPr>
      </w:pPr>
      <w:bookmarkStart w:id="0" w:name="_Toc20700"/>
    </w:p>
    <w:p>
      <w:pPr>
        <w:jc w:val="center"/>
        <w:rPr>
          <w:rFonts w:hint="eastAsia" w:ascii="华文中宋" w:hAnsi="华文中宋" w:eastAsia="华文中宋" w:cs="华文中宋"/>
          <w:b/>
          <w:i w:val="0"/>
          <w:iCs w:val="0"/>
          <w:color w:val="003366"/>
          <w:sz w:val="52"/>
          <w:szCs w:val="52"/>
          <w:lang w:val="en-US" w:eastAsia="zh-CN"/>
        </w:rPr>
      </w:pPr>
      <w:r>
        <w:rPr>
          <w:rFonts w:hint="eastAsia" w:ascii="华文中宋" w:hAnsi="华文中宋" w:eastAsia="华文中宋" w:cs="华文中宋"/>
          <w:b/>
          <w:i w:val="0"/>
          <w:iCs w:val="0"/>
          <w:color w:val="003366"/>
          <w:sz w:val="52"/>
          <w:szCs w:val="52"/>
          <w:lang w:val="en-US" w:eastAsia="zh-CN"/>
        </w:rPr>
        <w:t>2020年12月</w:t>
      </w:r>
      <w:bookmarkEnd w:id="0"/>
    </w:p>
    <w:p>
      <w:pPr>
        <w:ind w:firstLine="420"/>
        <w:jc w:val="both"/>
        <w:rPr>
          <w:rFonts w:hint="eastAsia" w:ascii="宋体" w:hAnsi="宋体" w:eastAsia="宋体" w:cs="宋体"/>
          <w:b/>
          <w:bCs/>
          <w:color w:val="auto"/>
          <w:sz w:val="44"/>
          <w:szCs w:val="24"/>
          <w:lang w:val="en-US" w:eastAsia="zh-CN"/>
        </w:rPr>
      </w:pPr>
    </w:p>
    <w:p>
      <w:pPr>
        <w:ind w:firstLine="420"/>
        <w:jc w:val="both"/>
        <w:rPr>
          <w:rFonts w:hint="eastAsia" w:ascii="宋体" w:hAnsi="宋体" w:eastAsia="宋体" w:cs="宋体"/>
          <w:b/>
          <w:bCs/>
          <w:color w:val="auto"/>
          <w:sz w:val="44"/>
          <w:szCs w:val="24"/>
          <w:lang w:val="en-US" w:eastAsia="zh-CN"/>
        </w:rPr>
      </w:pPr>
    </w:p>
    <w:p>
      <w:pPr>
        <w:ind w:firstLine="420"/>
        <w:jc w:val="both"/>
        <w:rPr>
          <w:rFonts w:hint="eastAsia" w:ascii="宋体" w:hAnsi="宋体" w:eastAsia="宋体" w:cs="宋体"/>
          <w:b/>
          <w:bCs/>
          <w:color w:val="auto"/>
          <w:sz w:val="44"/>
          <w:szCs w:val="24"/>
          <w:lang w:val="en-US" w:eastAsia="zh-CN"/>
        </w:rPr>
        <w:sectPr>
          <w:headerReference r:id="rId4" w:type="default"/>
          <w:pgSz w:w="11906" w:h="16838"/>
          <w:pgMar w:top="1134" w:right="1417" w:bottom="1134" w:left="1417" w:header="851" w:footer="992" w:gutter="0"/>
          <w:pgBorders>
            <w:top w:val="none" w:sz="0" w:space="0"/>
            <w:left w:val="none" w:sz="0" w:space="0"/>
            <w:bottom w:val="none" w:sz="0" w:space="0"/>
            <w:right w:val="none" w:sz="0" w:space="0"/>
          </w:pgBorders>
          <w:pgNumType w:fmt="decimal" w:start="0"/>
          <w:cols w:space="720" w:num="1"/>
          <w:titlePg/>
          <w:rtlGutter w:val="0"/>
          <w:docGrid w:type="lines" w:linePitch="312" w:charSpace="0"/>
        </w:sectPr>
      </w:pPr>
    </w:p>
    <w:p>
      <w:pPr>
        <w:ind w:firstLine="420"/>
        <w:jc w:val="both"/>
        <w:rPr>
          <w:rFonts w:hint="eastAsia" w:ascii="宋体" w:hAnsi="宋体" w:eastAsia="宋体" w:cs="宋体"/>
          <w:b/>
          <w:bCs/>
          <w:color w:val="auto"/>
          <w:sz w:val="44"/>
          <w:szCs w:val="24"/>
          <w:lang w:val="en-US" w:eastAsia="zh-CN"/>
        </w:rPr>
      </w:pPr>
    </w:p>
    <w:p>
      <w:pPr>
        <w:ind w:firstLine="420"/>
        <w:jc w:val="center"/>
        <w:rPr>
          <w:rFonts w:hint="eastAsia" w:ascii="宋体" w:hAnsi="宋体" w:eastAsia="宋体" w:cs="宋体"/>
          <w:b/>
          <w:bCs/>
          <w:color w:val="auto"/>
          <w:sz w:val="44"/>
          <w:szCs w:val="24"/>
          <w:lang w:val="en-US" w:eastAsia="zh-CN"/>
        </w:rPr>
      </w:pPr>
      <w:r>
        <w:rPr>
          <w:rFonts w:hint="eastAsia" w:ascii="宋体" w:hAnsi="宋体" w:eastAsia="宋体" w:cs="宋体"/>
          <w:b/>
          <w:bCs/>
          <w:color w:val="auto"/>
          <w:sz w:val="44"/>
          <w:szCs w:val="24"/>
          <w:lang w:val="en-US" w:eastAsia="zh-CN"/>
        </w:rPr>
        <w:t>湖南中医药大学湘杏学院简介</w:t>
      </w:r>
    </w:p>
    <w:p>
      <w:pPr>
        <w:ind w:firstLine="420"/>
        <w:jc w:val="both"/>
        <w:rPr>
          <w:rFonts w:hint="eastAsia" w:ascii="宋体" w:hAnsi="宋体" w:eastAsia="宋体" w:cs="宋体"/>
          <w:b/>
          <w:bCs/>
          <w:color w:val="auto"/>
          <w:sz w:val="44"/>
          <w:szCs w:val="24"/>
          <w:lang w:val="en-US" w:eastAsia="zh-CN"/>
        </w:rPr>
      </w:pP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湖南中医药大学湘杏学院是湖南省人民政府于2002年6月批准，国家教育部2003年确认，由湖南中医药大学按新机制、新模式举办的全日制本科独立学院，系湖南中医药大学下属二级法人机构。举办高校湖南中医药大学是一所具有80余年办学历史，占地面积1400余亩，拥有25000余名在校生，是湖南省重点建设本科院校，是全国首批设立国家级重点学科的高校，也是首批招收博士研究生、留学生及港澳台学生的中医药院校。学校下设18个学院、16个研究中心（所）、20所附属医院、5个校办合资企业。学校设有26个本科专业，现有博士后科研流动站2个；博士学位授权点27个，硕士学位授权点85个。建有国家重点学科1个，国家中医药管理局重点学科23个，湖南省重点学科10个，其中湖南省优势特色重点学科2个，构建了以中医药学科为主体的三级重点学科体系。</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湘杏学院位于湖南省长沙市雨花区韶山中路113号，交通便捷，环境优美，风景秀丽，共享湖南中医药大学雄厚的师资力量和办学资源，是求学成才的理想之地。学院面向湖南、湖北、广东、江西、安徽、浙江、福建、广西、新疆、重庆10个生源省（自治区、直辖市）招生，招生计划纳入全日制普通本科高校招生计划。学院现有在校学生3800余人，10个招生专业，包括中医学、中西医临床医学、针灸推拿学、护理学、医学影像技术、康复治疗学、药学、中药学、制药工程、市场营销，涵盖医、理、管、工等4大学科门类。</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湘杏学院管理规范，治学严谨，教育教学质量稳步提高，中医药文化特色鲜明，是省内先进的培养中医药人才的本科独立学院。学院以“人本、仁爱、精诚”为理念，以“文明求实、继承创新”为校训，以“医以载道，兼济天下”为办学宗旨，以“质量办学、特色办学、开放办学”为办学思路，以“中医中药为主，多学科协调发展”为学科特色，以“术精仁厚，一专多能”为人才培养目标，致力于培养专业基础扎实、综合素质良好、临床实践能力强的应用型高级人才，为中医药事业的传承与创新及区域经济社会的发展做贡献。</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湘杏学院设有国家奖学金、国家励志奖学金、国家助学金、学院奖学金及各种社会类奖、助学金。新生入学后，经审核办理国家教育部学籍电子注册，在学院规定时间内，修完教育教学计划规定内容，成绩合格者，颁发湖南中医药大学湘杏学院本科学历证书；符合学士学位授予条件的，颁发湖南中医药大学湘杏学院学士学位证书。</w:t>
      </w:r>
    </w:p>
    <w:p>
      <w:pPr>
        <w:keepNext w:val="0"/>
        <w:keepLines w:val="0"/>
        <w:pageBreakBefore w:val="0"/>
        <w:widowControl w:val="0"/>
        <w:kinsoku/>
        <w:wordWrap/>
        <w:overflowPunct/>
        <w:topLinePunct w:val="0"/>
        <w:autoSpaceDE/>
        <w:autoSpaceDN/>
        <w:bidi w:val="0"/>
        <w:adjustRightInd/>
        <w:snapToGrid/>
        <w:spacing w:before="1248" w:beforeLines="400" w:line="360" w:lineRule="auto"/>
        <w:ind w:left="0" w:leftChars="0" w:right="0" w:rightChars="0" w:firstLine="0" w:firstLineChars="0"/>
        <w:jc w:val="both"/>
        <w:textAlignment w:val="auto"/>
        <w:outlineLvl w:val="0"/>
        <w:rPr>
          <w:rFonts w:hint="eastAsia" w:ascii="宋体" w:hAnsi="宋体" w:eastAsia="宋体" w:cs="宋体"/>
          <w:b/>
          <w:bCs/>
          <w:color w:val="auto"/>
          <w:sz w:val="44"/>
          <w:szCs w:val="44"/>
        </w:rPr>
      </w:pPr>
    </w:p>
    <w:p>
      <w:pPr>
        <w:keepNext w:val="0"/>
        <w:keepLines w:val="0"/>
        <w:pageBreakBefore w:val="0"/>
        <w:widowControl w:val="0"/>
        <w:kinsoku/>
        <w:wordWrap/>
        <w:overflowPunct/>
        <w:topLinePunct w:val="0"/>
        <w:autoSpaceDE/>
        <w:autoSpaceDN/>
        <w:bidi w:val="0"/>
        <w:adjustRightInd/>
        <w:snapToGrid/>
        <w:spacing w:before="1248" w:beforeLines="400" w:line="360" w:lineRule="auto"/>
        <w:ind w:left="0" w:leftChars="0" w:right="0" w:rightChars="0" w:firstLine="0" w:firstLineChars="0"/>
        <w:jc w:val="both"/>
        <w:textAlignment w:val="auto"/>
        <w:outlineLvl w:val="0"/>
        <w:rPr>
          <w:rFonts w:hint="eastAsia" w:ascii="宋体" w:hAnsi="宋体" w:eastAsia="宋体" w:cs="宋体"/>
          <w:b/>
          <w:bCs/>
          <w:color w:val="auto"/>
          <w:sz w:val="44"/>
          <w:szCs w:val="44"/>
        </w:rPr>
      </w:pPr>
    </w:p>
    <w:p>
      <w:pPr>
        <w:jc w:val="both"/>
        <w:rPr>
          <w:rFonts w:hint="eastAsia" w:ascii="宋体" w:hAnsi="宋体" w:eastAsia="宋体" w:cs="宋体"/>
          <w:b/>
          <w:bCs/>
          <w:color w:val="auto"/>
          <w:sz w:val="44"/>
          <w:szCs w:val="24"/>
          <w:lang w:val="en-US" w:eastAsia="zh-CN"/>
        </w:rPr>
      </w:pPr>
    </w:p>
    <w:p>
      <w:pPr>
        <w:jc w:val="center"/>
        <w:rPr>
          <w:rFonts w:hint="eastAsia" w:ascii="宋体" w:hAnsi="宋体" w:eastAsia="宋体" w:cs="宋体"/>
          <w:b/>
          <w:bCs/>
          <w:color w:val="auto"/>
          <w:sz w:val="44"/>
          <w:szCs w:val="24"/>
          <w:lang w:val="en-US" w:eastAsia="zh-CN"/>
        </w:rPr>
      </w:pPr>
      <w:r>
        <w:rPr>
          <w:rFonts w:hint="eastAsia" w:ascii="宋体" w:hAnsi="宋体" w:eastAsia="宋体" w:cs="宋体"/>
          <w:b/>
          <w:bCs/>
          <w:color w:val="auto"/>
          <w:sz w:val="44"/>
          <w:szCs w:val="24"/>
          <w:lang w:val="en-US" w:eastAsia="zh-CN"/>
        </w:rPr>
        <w:t>前    言</w:t>
      </w:r>
    </w:p>
    <w:p>
      <w:pPr>
        <w:jc w:val="both"/>
        <w:rPr>
          <w:rFonts w:hint="eastAsia" w:ascii="宋体" w:hAnsi="宋体" w:eastAsia="宋体" w:cs="宋体"/>
          <w:b/>
          <w:bCs/>
          <w:color w:val="auto"/>
          <w:sz w:val="44"/>
          <w:szCs w:val="24"/>
          <w:lang w:val="en-US" w:eastAsia="zh-CN"/>
        </w:rPr>
      </w:pP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随着中国高等教育数量的扩张目标的逐步实现，提高教育质量的重要性日益凸显。发布高校毕业生就业质量年度报告，是高等学校建立健全就业状况反馈机制、引导高校优化招生和专业结构、改进人才培养模式、及时回应社会关切的一项重要工作。</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教育部《教育部办公厅关于编制发布高校毕业生就业质量年度报告的通知教学厅函[2013]25号》要求，我院编制和发布《湖南中医药大学湘杏学院2020届毕业生就业质量年度报告》。本报告基于学校统计的全体毕业生的就业数据，再结合毕业时的调研结果，以全面反映毕业生的就业状况，以及毕业生对就业指导工作、学校教育教学的反馈。总的情况如下：</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按照教育部公布的就业率计算公式，截止2020年8月31日，经就业审查，我院2020届毕业生的总体就业率为74.97%。2020届毕业生就业地集中在湖南省，就业单位主要集中在医疗卫生单位，占比为26.53%；毕业生就业的行业主要为卫生和社会工作，所占比例为45.33%，这与医学类院校的人才培养方向相符，与我院的专业设置相匹配的。其次为批发和零售业、教育。2020届毕业生中，69.83%的毕业生对已落实的工作感到满意，毕业生的就业满意度整体较高，但仍有30.17%的毕业生对已落实的工作感到不满意，说明这部分毕业生对其已落实的工作与自身就业期望值有一定差距。</w:t>
      </w:r>
    </w:p>
    <w:p>
      <w:pPr>
        <w:ind w:firstLine="640" w:firstLineChars="200"/>
        <w:jc w:val="both"/>
        <w:rPr>
          <w:rFonts w:hint="eastAsia" w:ascii="仿宋" w:hAnsi="仿宋" w:eastAsia="仿宋" w:cs="仿宋"/>
          <w:color w:val="auto"/>
          <w:sz w:val="32"/>
          <w:szCs w:val="32"/>
          <w:lang w:val="en-US" w:eastAsia="zh-CN"/>
        </w:rPr>
        <w:sectPr>
          <w:footerReference r:id="rId5" w:type="default"/>
          <w:pgSz w:w="11906" w:h="16838"/>
          <w:pgMar w:top="1134" w:right="1417" w:bottom="1134"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毕业生对学校的就业指导工作的满意度为90.85%。其中，对“就业信息提供与发布情况”满意度最高，达到了97.78%，对“校园招聘活动”、“就业手续办理”、“职业咨询、辅导”满意度均超过了90%以上。毕业生对学校人才培养的整体状况满意度为90.58%，总体来说，毕业生对母校人才培养偏向比较满意。</w:t>
      </w:r>
    </w:p>
    <w:p>
      <w:pPr>
        <w:jc w:val="both"/>
        <w:rPr>
          <w:rFonts w:hint="eastAsia" w:ascii="仿宋" w:hAnsi="仿宋" w:eastAsia="仿宋" w:cs="仿宋"/>
          <w:color w:val="FF0000"/>
          <w:sz w:val="32"/>
          <w:szCs w:val="32"/>
          <w:lang w:val="en-US" w:eastAsia="zh-CN"/>
        </w:rPr>
        <w:sectPr>
          <w:footerReference r:id="rId6" w:type="default"/>
          <w:pgSz w:w="11906" w:h="16838"/>
          <w:pgMar w:top="1134" w:right="1417" w:bottom="1134" w:left="1417" w:header="851" w:footer="992" w:gutter="0"/>
          <w:pgBorders>
            <w:top w:val="none" w:sz="0" w:space="0"/>
            <w:left w:val="none" w:sz="0" w:space="0"/>
            <w:bottom w:val="none" w:sz="0" w:space="0"/>
            <w:right w:val="none" w:sz="0" w:space="0"/>
          </w:pgBorders>
          <w:pgNumType w:fmt="decimal" w:start="1"/>
          <w:cols w:space="72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0" w:lineRule="atLeast"/>
        <w:ind w:left="0" w:leftChars="0" w:right="0" w:rightChars="0"/>
        <w:jc w:val="center"/>
        <w:outlineLvl w:val="0"/>
        <w:rPr>
          <w:rFonts w:hint="eastAsia" w:ascii="宋体" w:hAnsi="宋体" w:eastAsia="宋体" w:cs="宋体"/>
          <w:b/>
          <w:bCs/>
          <w:color w:val="auto"/>
          <w:sz w:val="44"/>
          <w:szCs w:val="44"/>
        </w:rPr>
      </w:pPr>
      <w:bookmarkStart w:id="1" w:name="_Toc27918"/>
      <w:bookmarkStart w:id="2" w:name="_Toc3670"/>
      <w:bookmarkStart w:id="3" w:name="_Toc10925"/>
      <w:r>
        <w:rPr>
          <w:rFonts w:hint="eastAsia" w:ascii="宋体" w:hAnsi="宋体" w:eastAsia="宋体" w:cs="宋体"/>
          <w:b/>
          <w:bCs/>
          <w:color w:val="auto"/>
          <w:sz w:val="44"/>
          <w:szCs w:val="44"/>
        </w:rPr>
        <w:t>第一部分：毕业生就业基本情况</w:t>
      </w:r>
      <w:bookmarkEnd w:id="1"/>
    </w:p>
    <w:p>
      <w:pPr>
        <w:jc w:val="both"/>
        <w:rPr>
          <w:rFonts w:hint="eastAsia" w:ascii="仿宋" w:hAnsi="仿宋" w:eastAsia="仿宋" w:cs="仿宋"/>
          <w:b/>
          <w:bCs/>
          <w:color w:val="auto"/>
          <w:sz w:val="32"/>
          <w:szCs w:val="32"/>
          <w:lang w:val="en-US" w:eastAsia="zh-CN"/>
        </w:rPr>
      </w:pPr>
      <w:bookmarkStart w:id="4" w:name="_Toc23671"/>
      <w:bookmarkStart w:id="5" w:name="_Toc18572"/>
      <w:r>
        <w:rPr>
          <w:rFonts w:hint="eastAsia" w:ascii="仿宋" w:hAnsi="仿宋" w:eastAsia="仿宋" w:cs="仿宋"/>
          <w:b/>
          <w:bCs/>
          <w:color w:val="auto"/>
          <w:sz w:val="32"/>
          <w:szCs w:val="32"/>
          <w:lang w:val="en-US" w:eastAsia="zh-CN"/>
        </w:rPr>
        <w:t>一、毕业生规模</w:t>
      </w:r>
      <w:bookmarkEnd w:id="4"/>
      <w:bookmarkEnd w:id="5"/>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湖南中医药大学湘杏学院2020届毕业生共832人，实际毕业803人，与去年同期相比增加34人（2019届769人），学历层次为本科生。如图1-1所示</w:t>
      </w:r>
      <w:r>
        <w:rPr>
          <w:rFonts w:hint="default" w:ascii="仿宋" w:hAnsi="仿宋" w:eastAsia="仿宋" w:cs="仿宋"/>
          <w:color w:val="auto"/>
          <w:sz w:val="32"/>
          <w:szCs w:val="32"/>
          <w:lang w:eastAsia="zh-CN"/>
        </w:rPr>
        <w:t>。</w:t>
      </w:r>
    </w:p>
    <w:p>
      <w:pPr>
        <w:ind w:firstLine="420" w:firstLineChars="200"/>
        <w:jc w:val="both"/>
        <w:rPr>
          <w:rFonts w:hint="eastAsia" w:ascii="仿宋" w:hAnsi="仿宋" w:eastAsia="仿宋" w:cs="仿宋"/>
          <w:color w:val="auto"/>
          <w:sz w:val="32"/>
          <w:szCs w:val="32"/>
          <w:lang w:val="en-US" w:eastAsia="zh-CN"/>
        </w:rPr>
      </w:pPr>
      <w:r>
        <w:drawing>
          <wp:inline distT="0" distB="0" distL="114300" distR="114300">
            <wp:extent cx="4902200" cy="2844800"/>
            <wp:effectExtent l="4445" t="4445" r="8255" b="8255"/>
            <wp:docPr id="2" name="图表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keepNext w:val="0"/>
        <w:keepLines w:val="0"/>
        <w:pageBreakBefore w:val="0"/>
        <w:kinsoku/>
        <w:wordWrap/>
        <w:overflowPunct/>
        <w:topLinePunct w:val="0"/>
        <w:autoSpaceDE/>
        <w:autoSpaceDN/>
        <w:bidi w:val="0"/>
        <w:adjustRightInd/>
        <w:snapToGrid/>
        <w:spacing w:line="0" w:lineRule="atLeast"/>
        <w:ind w:left="0" w:leftChars="0" w:right="0" w:rightChars="0"/>
        <w:jc w:val="both"/>
        <w:rPr>
          <w:rFonts w:hint="eastAsia" w:ascii="宋体" w:hAnsi="宋体" w:eastAsia="宋体" w:cs="宋体"/>
          <w:b/>
          <w:bCs/>
          <w:color w:val="FF0000"/>
          <w:sz w:val="21"/>
          <w:szCs w:val="21"/>
          <w:lang w:eastAsia="zh-CN"/>
        </w:rPr>
      </w:pPr>
    </w:p>
    <w:p>
      <w:pPr>
        <w:keepNext w:val="0"/>
        <w:keepLines w:val="0"/>
        <w:pageBreakBefore w:val="0"/>
        <w:kinsoku/>
        <w:wordWrap/>
        <w:overflowPunct/>
        <w:topLinePunct w:val="0"/>
        <w:autoSpaceDE/>
        <w:autoSpaceDN/>
        <w:bidi w:val="0"/>
        <w:adjustRightInd/>
        <w:snapToGrid/>
        <w:spacing w:line="0" w:lineRule="atLeast"/>
        <w:ind w:left="0" w:leftChars="0" w:right="0" w:rightChars="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图1-1 200</w:t>
      </w:r>
      <w:r>
        <w:rPr>
          <w:rFonts w:hint="eastAsia" w:ascii="宋体" w:hAnsi="宋体" w:cs="宋体"/>
          <w:b/>
          <w:bCs/>
          <w:color w:val="auto"/>
          <w:sz w:val="21"/>
          <w:szCs w:val="21"/>
          <w:lang w:val="en-US" w:eastAsia="zh-CN"/>
        </w:rPr>
        <w:t>14</w:t>
      </w:r>
      <w:r>
        <w:rPr>
          <w:rFonts w:hint="eastAsia" w:ascii="宋体" w:hAnsi="宋体" w:eastAsia="宋体" w:cs="宋体"/>
          <w:b/>
          <w:bCs/>
          <w:color w:val="auto"/>
          <w:sz w:val="21"/>
          <w:szCs w:val="21"/>
        </w:rPr>
        <w:t>-</w:t>
      </w:r>
      <w:r>
        <w:rPr>
          <w:rFonts w:hint="eastAsia" w:ascii="宋体" w:hAnsi="宋体" w:cs="宋体"/>
          <w:b/>
          <w:bCs/>
          <w:color w:val="auto"/>
          <w:sz w:val="21"/>
          <w:szCs w:val="21"/>
          <w:lang w:val="en-US" w:eastAsia="zh-CN"/>
        </w:rPr>
        <w:t>2020</w:t>
      </w:r>
      <w:r>
        <w:rPr>
          <w:rFonts w:hint="eastAsia" w:ascii="宋体" w:hAnsi="宋体" w:cs="宋体"/>
          <w:b/>
          <w:bCs/>
          <w:color w:val="auto"/>
          <w:sz w:val="21"/>
          <w:szCs w:val="21"/>
          <w:lang w:eastAsia="zh-CN"/>
        </w:rPr>
        <w:t>届</w:t>
      </w:r>
      <w:r>
        <w:rPr>
          <w:rFonts w:hint="eastAsia" w:ascii="宋体" w:hAnsi="宋体" w:eastAsia="宋体" w:cs="宋体"/>
          <w:b/>
          <w:bCs/>
          <w:color w:val="auto"/>
          <w:sz w:val="21"/>
          <w:szCs w:val="21"/>
        </w:rPr>
        <w:t>毕业生人数及总体趋势</w:t>
      </w:r>
    </w:p>
    <w:p>
      <w:pPr>
        <w:keepNext w:val="0"/>
        <w:keepLines w:val="0"/>
        <w:pageBreakBefore w:val="0"/>
        <w:kinsoku/>
        <w:wordWrap/>
        <w:overflowPunct/>
        <w:topLinePunct w:val="0"/>
        <w:autoSpaceDE/>
        <w:autoSpaceDN/>
        <w:bidi w:val="0"/>
        <w:adjustRightInd/>
        <w:snapToGrid/>
        <w:spacing w:line="0" w:lineRule="atLeast"/>
        <w:ind w:left="0" w:leftChars="0" w:right="0" w:rightChars="0"/>
        <w:jc w:val="both"/>
        <w:rPr>
          <w:rFonts w:hint="eastAsia" w:ascii="宋体" w:hAnsi="宋体" w:eastAsia="宋体" w:cs="宋体"/>
          <w:b/>
          <w:bCs/>
          <w:color w:val="auto"/>
          <w:sz w:val="21"/>
          <w:szCs w:val="21"/>
          <w:lang w:eastAsia="zh-CN"/>
        </w:rPr>
      </w:pPr>
    </w:p>
    <w:p>
      <w:pPr>
        <w:jc w:val="both"/>
        <w:rPr>
          <w:rFonts w:hint="eastAsia" w:ascii="仿宋" w:hAnsi="仿宋" w:eastAsia="仿宋" w:cs="仿宋"/>
          <w:b/>
          <w:bCs/>
          <w:color w:val="auto"/>
          <w:sz w:val="32"/>
          <w:szCs w:val="32"/>
          <w:lang w:val="en-US" w:eastAsia="zh-CN"/>
        </w:rPr>
      </w:pPr>
      <w:bookmarkStart w:id="6" w:name="_Toc11144"/>
      <w:bookmarkStart w:id="7" w:name="_Toc14467"/>
      <w:r>
        <w:rPr>
          <w:rFonts w:hint="eastAsia" w:ascii="仿宋" w:hAnsi="仿宋" w:eastAsia="仿宋" w:cs="仿宋"/>
          <w:b/>
          <w:bCs/>
          <w:color w:val="auto"/>
          <w:sz w:val="32"/>
          <w:szCs w:val="32"/>
          <w:lang w:val="en-US" w:eastAsia="zh-CN"/>
        </w:rPr>
        <w:t>二、毕业生的基本情况</w:t>
      </w:r>
      <w:bookmarkEnd w:id="6"/>
      <w:bookmarkEnd w:id="7"/>
    </w:p>
    <w:p>
      <w:pPr>
        <w:jc w:val="both"/>
        <w:rPr>
          <w:rFonts w:hint="eastAsia" w:ascii="仿宋" w:hAnsi="仿宋" w:eastAsia="仿宋" w:cs="仿宋"/>
          <w:b/>
          <w:bCs/>
          <w:color w:val="auto"/>
          <w:sz w:val="32"/>
          <w:szCs w:val="32"/>
          <w:lang w:val="en-US" w:eastAsia="zh-CN"/>
        </w:rPr>
      </w:pPr>
      <w:bookmarkStart w:id="8" w:name="_Toc10425"/>
      <w:r>
        <w:rPr>
          <w:rFonts w:hint="eastAsia" w:ascii="仿宋" w:hAnsi="仿宋" w:eastAsia="仿宋" w:cs="仿宋"/>
          <w:b/>
          <w:bCs/>
          <w:color w:val="auto"/>
          <w:sz w:val="32"/>
          <w:szCs w:val="32"/>
          <w:lang w:val="en-US" w:eastAsia="zh-CN"/>
        </w:rPr>
        <w:t>1.毕业生的性别分布</w:t>
      </w:r>
      <w:bookmarkEnd w:id="8"/>
    </w:p>
    <w:p>
      <w:pPr>
        <w:pStyle w:val="3"/>
        <w:bidi w:val="0"/>
        <w:ind w:left="0" w:leftChars="0"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我院2020届毕业生中，男生247人，占毕业生总人数的30.8%；女生556人，占毕业生总人数的69.2%，总体男女性别比为1:2.25。</w:t>
      </w:r>
    </w:p>
    <w:p>
      <w:pPr>
        <w:jc w:val="both"/>
        <w:rPr>
          <w:rFonts w:hint="eastAsia" w:ascii="仿宋" w:hAnsi="仿宋" w:eastAsia="仿宋" w:cs="仿宋"/>
          <w:b/>
          <w:bCs/>
          <w:color w:val="auto"/>
          <w:sz w:val="32"/>
          <w:szCs w:val="32"/>
          <w:lang w:val="en-US" w:eastAsia="zh-CN"/>
        </w:rPr>
      </w:pPr>
      <w:bookmarkStart w:id="9" w:name="_Toc374"/>
      <w:r>
        <w:rPr>
          <w:rFonts w:hint="eastAsia" w:ascii="仿宋" w:hAnsi="仿宋" w:eastAsia="仿宋" w:cs="仿宋"/>
          <w:b/>
          <w:bCs/>
          <w:color w:val="auto"/>
          <w:sz w:val="32"/>
          <w:szCs w:val="32"/>
          <w:lang w:val="en-US" w:eastAsia="zh-CN"/>
        </w:rPr>
        <w:t>2.毕业生的专业分布情况</w:t>
      </w:r>
      <w:bookmarkEnd w:id="9"/>
    </w:p>
    <w:p>
      <w:pPr>
        <w:pStyle w:val="3"/>
        <w:bidi w:val="0"/>
        <w:ind w:left="0" w:leftChars="0" w:firstLine="640" w:firstLineChars="200"/>
        <w:jc w:val="both"/>
        <w:rPr>
          <w:rFonts w:hint="eastAsia" w:ascii="宋体" w:hAnsi="宋体" w:eastAsia="宋体" w:cs="宋体"/>
          <w:b/>
          <w:bCs/>
          <w:color w:val="auto"/>
          <w:sz w:val="21"/>
          <w:szCs w:val="21"/>
        </w:rPr>
      </w:pPr>
      <w:r>
        <w:rPr>
          <w:rFonts w:hint="eastAsia" w:ascii="仿宋" w:hAnsi="仿宋" w:eastAsia="仿宋" w:cs="仿宋"/>
          <w:color w:val="auto"/>
          <w:kern w:val="2"/>
          <w:sz w:val="32"/>
          <w:szCs w:val="32"/>
          <w:lang w:val="en-US" w:eastAsia="zh-CN"/>
        </w:rPr>
        <w:t>2020届毕业生专业涉及12个专业，护理学专业人数最多，为268人，占33.4%；其次为中医学114人，占14.2%；中西医临床医学95人，占11.8%；药学占11.9%；针推占10.1%；中药学占5.4%；康复治疗学4.5%；所占比例较少的专业为制药工程、应用心理学、市场营销、药物制剂、生物工程，详见表1-1。</w:t>
      </w:r>
    </w:p>
    <w:tbl>
      <w:tblPr>
        <w:tblStyle w:val="16"/>
        <w:tblW w:w="0" w:type="auto"/>
        <w:jc w:val="center"/>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Layout w:type="fixed"/>
        <w:tblCellMar>
          <w:top w:w="30" w:type="dxa"/>
          <w:left w:w="30" w:type="dxa"/>
          <w:bottom w:w="30" w:type="dxa"/>
          <w:right w:w="30" w:type="dxa"/>
        </w:tblCellMar>
      </w:tblPr>
      <w:tblGrid>
        <w:gridCol w:w="2934"/>
        <w:gridCol w:w="1578"/>
        <w:gridCol w:w="1746"/>
      </w:tblGrid>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专业名称</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人数</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eastAsia="宋体" w:cs="宋体"/>
                <w:color w:val="auto"/>
                <w:kern w:val="0"/>
                <w:sz w:val="18"/>
                <w:szCs w:val="18"/>
                <w:lang w:val="en-US" w:eastAsia="zh-CN" w:bidi="ar"/>
              </w:rPr>
              <w:t>所占比例</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护理学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268</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33.4</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中医学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114</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14.1</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中西医临床医学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95</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11.9</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药学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96</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11.9</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针灸推拿学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82</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10.1</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中药学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44</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5.4</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康复治疗学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37</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4.5</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制药工程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17</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2.1</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应用心理学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15</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1.4</w:t>
            </w:r>
            <w:r>
              <w:rPr>
                <w:rFonts w:hint="eastAsia" w:ascii="宋体" w:hAnsi="宋体" w:eastAsia="宋体" w:cs="宋体"/>
                <w:color w:val="auto"/>
                <w:kern w:val="0"/>
                <w:sz w:val="18"/>
                <w:szCs w:val="18"/>
                <w:lang w:val="en-US" w:eastAsia="zh-CN" w:bidi="ar"/>
              </w:rPr>
              <w:t>%</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市场营销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16</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1.9%</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1"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药物制剂 </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15</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hint="default" w:ascii="宋体" w:hAnsi="宋体" w:eastAsia="宋体" w:cs="宋体"/>
                <w:color w:val="auto"/>
                <w:kern w:val="0"/>
                <w:sz w:val="18"/>
                <w:szCs w:val="18"/>
                <w:lang w:val="en-US" w:eastAsia="zh-CN" w:bidi="ar"/>
              </w:rPr>
            </w:pPr>
            <w:r>
              <w:rPr>
                <w:rFonts w:hint="eastAsia" w:ascii="宋体" w:hAnsi="宋体" w:cs="宋体"/>
                <w:color w:val="auto"/>
                <w:kern w:val="0"/>
                <w:sz w:val="18"/>
                <w:szCs w:val="18"/>
                <w:lang w:val="en-US" w:eastAsia="zh-CN" w:bidi="ar"/>
              </w:rPr>
              <w:t>1.8%</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61"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keepNext w:val="0"/>
              <w:keepLines w:val="0"/>
              <w:widowControl/>
              <w:suppressLineNumbers w:val="0"/>
              <w:jc w:val="both"/>
              <w:rPr>
                <w:rFonts w:ascii="宋体" w:hAnsi="宋体" w:eastAsia="宋体" w:cs="宋体"/>
                <w:color w:val="auto"/>
                <w:sz w:val="18"/>
                <w:szCs w:val="18"/>
              </w:rPr>
            </w:pPr>
            <w:r>
              <w:rPr>
                <w:rFonts w:ascii="宋体" w:hAnsi="宋体" w:eastAsia="宋体" w:cs="宋体"/>
                <w:color w:val="auto"/>
                <w:kern w:val="0"/>
                <w:sz w:val="18"/>
                <w:szCs w:val="18"/>
                <w:lang w:val="en-US" w:eastAsia="zh-CN" w:bidi="ar"/>
              </w:rPr>
              <w:t xml:space="preserve">生物工程 </w:t>
            </w:r>
          </w:p>
        </w:tc>
        <w:tc>
          <w:tcPr>
            <w:tcW w:w="1578" w:type="dxa"/>
            <w:tcBorders>
              <w:top w:val="outset" w:color="111111" w:sz="6" w:space="0"/>
              <w:left w:val="nil"/>
              <w:bottom w:val="outset" w:color="111111" w:sz="6" w:space="0"/>
              <w:right w:val="outset" w:color="111111" w:sz="6" w:space="0"/>
            </w:tcBorders>
            <w:noWrap w:val="0"/>
            <w:vAlign w:val="center"/>
          </w:tcPr>
          <w:p>
            <w:pPr>
              <w:jc w:val="both"/>
              <w:rPr>
                <w:rFonts w:hint="default" w:ascii="宋体" w:hAnsi="宋体" w:eastAsia="宋体" w:cs="宋体"/>
                <w:color w:val="auto"/>
                <w:sz w:val="18"/>
                <w:szCs w:val="18"/>
                <w:lang w:val="en-US" w:eastAsia="zh-CN"/>
              </w:rPr>
            </w:pPr>
            <w:r>
              <w:rPr>
                <w:rFonts w:hint="eastAsia" w:ascii="宋体" w:hAnsi="宋体" w:cs="宋体"/>
                <w:color w:val="auto"/>
                <w:sz w:val="18"/>
                <w:szCs w:val="18"/>
                <w:lang w:val="en-US" w:eastAsia="zh-CN"/>
              </w:rPr>
              <w:t>7</w:t>
            </w:r>
          </w:p>
        </w:tc>
        <w:tc>
          <w:tcPr>
            <w:tcW w:w="1746" w:type="dxa"/>
            <w:tcBorders>
              <w:top w:val="outset" w:color="111111" w:sz="6" w:space="0"/>
              <w:left w:val="nil"/>
              <w:bottom w:val="outset" w:color="111111" w:sz="6" w:space="0"/>
              <w:right w:val="outset" w:color="111111" w:sz="6" w:space="0"/>
            </w:tcBorders>
            <w:noWrap w:val="0"/>
            <w:vAlign w:val="center"/>
          </w:tcPr>
          <w:p>
            <w:pPr>
              <w:jc w:val="both"/>
              <w:rPr>
                <w:rFonts w:hint="eastAsia" w:ascii="宋体" w:hAnsi="宋体" w:eastAsia="宋体" w:cs="宋体"/>
                <w:color w:val="auto"/>
                <w:sz w:val="18"/>
                <w:szCs w:val="18"/>
                <w:lang w:val="en-US" w:eastAsia="zh-CN"/>
              </w:rPr>
            </w:pPr>
            <w:r>
              <w:rPr>
                <w:rFonts w:hint="eastAsia" w:ascii="宋体" w:hAnsi="宋体" w:cs="宋体"/>
                <w:color w:val="auto"/>
                <w:sz w:val="18"/>
                <w:szCs w:val="18"/>
                <w:lang w:val="en-US" w:eastAsia="zh-CN"/>
              </w:rPr>
              <w:t>0.8</w:t>
            </w:r>
            <w:r>
              <w:rPr>
                <w:rFonts w:hint="eastAsia" w:ascii="宋体" w:hAnsi="宋体" w:eastAsia="宋体" w:cs="宋体"/>
                <w:color w:val="auto"/>
                <w:sz w:val="18"/>
                <w:szCs w:val="18"/>
                <w:lang w:val="en-US" w:eastAsia="zh-CN"/>
              </w:rPr>
              <w:t>%</w:t>
            </w:r>
          </w:p>
        </w:tc>
      </w:tr>
    </w:tbl>
    <w:p>
      <w:pPr>
        <w:jc w:val="center"/>
        <w:rPr>
          <w:rFonts w:hint="eastAsia" w:ascii="仿宋" w:hAnsi="仿宋" w:eastAsia="仿宋" w:cs="仿宋"/>
          <w:b/>
          <w:bCs/>
          <w:color w:val="auto"/>
          <w:sz w:val="32"/>
          <w:szCs w:val="32"/>
          <w:lang w:val="en-US" w:eastAsia="zh-CN"/>
        </w:rPr>
      </w:pPr>
      <w:r>
        <w:rPr>
          <w:rFonts w:hint="eastAsia" w:ascii="宋体" w:hAnsi="宋体" w:eastAsia="宋体" w:cs="宋体"/>
          <w:b/>
          <w:bCs/>
          <w:color w:val="auto"/>
          <w:sz w:val="21"/>
          <w:szCs w:val="21"/>
        </w:rPr>
        <w:t xml:space="preserve">表1-1  </w:t>
      </w:r>
      <w:r>
        <w:rPr>
          <w:rFonts w:hint="eastAsia" w:ascii="宋体" w:hAnsi="宋体" w:cs="宋体"/>
          <w:b/>
          <w:bCs/>
          <w:color w:val="auto"/>
          <w:sz w:val="21"/>
          <w:szCs w:val="21"/>
          <w:lang w:eastAsia="zh-CN"/>
        </w:rPr>
        <w:t>20</w:t>
      </w:r>
      <w:r>
        <w:rPr>
          <w:rFonts w:hint="eastAsia" w:ascii="宋体" w:hAnsi="宋体" w:cs="宋体"/>
          <w:b/>
          <w:bCs/>
          <w:color w:val="auto"/>
          <w:sz w:val="21"/>
          <w:szCs w:val="21"/>
          <w:lang w:val="en-US" w:eastAsia="zh-CN"/>
        </w:rPr>
        <w:t>20</w:t>
      </w:r>
      <w:r>
        <w:rPr>
          <w:rFonts w:hint="eastAsia" w:ascii="宋体" w:hAnsi="宋体" w:eastAsia="宋体" w:cs="宋体"/>
          <w:b/>
          <w:bCs/>
          <w:color w:val="auto"/>
          <w:sz w:val="21"/>
          <w:szCs w:val="21"/>
        </w:rPr>
        <w:t>届毕业生各专业分布</w:t>
      </w: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3.毕业生的生源地分布</w:t>
      </w:r>
    </w:p>
    <w:p>
      <w:pPr>
        <w:pStyle w:val="3"/>
        <w:bidi w:val="0"/>
        <w:ind w:left="0" w:leftChars="0"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我院2020届毕业生来源于11个省（直辖市、自治区），分布不广也不均衡，其中本地（湖南省）生源人数为715人，所占比重达88.82%，同比去年有所增加（19届为60.09%）;外地生源主要来自于广东、新疆、湖北等10个省（直辖市、自治区），其中广东占1.12%，新疆占1.49%。各省生源地百分比详见下表。</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1" w:type="dxa"/>
          <w:left w:w="17" w:type="dxa"/>
          <w:bottom w:w="11" w:type="dxa"/>
          <w:right w:w="17" w:type="dxa"/>
        </w:tblCellMar>
      </w:tblPr>
      <w:tblGrid>
        <w:gridCol w:w="2376"/>
        <w:gridCol w:w="2384"/>
        <w:gridCol w:w="33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18" w:space="0"/>
              <w:left w:val="single" w:color="000000" w:sz="18" w:space="0"/>
              <w:bottom w:val="single" w:color="000000" w:sz="4" w:space="0"/>
              <w:right w:val="single" w:color="000000" w:sz="4" w:space="0"/>
            </w:tcBorders>
            <w:shd w:val="clear" w:color="auto" w:fill="D9D9D9"/>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生源所在地</w:t>
            </w:r>
          </w:p>
        </w:tc>
        <w:tc>
          <w:tcPr>
            <w:tcW w:w="2384" w:type="dxa"/>
            <w:tcBorders>
              <w:top w:val="single" w:color="000000" w:sz="18" w:space="0"/>
              <w:left w:val="single" w:color="000000" w:sz="4" w:space="0"/>
              <w:bottom w:val="single" w:color="000000" w:sz="4" w:space="0"/>
              <w:right w:val="single" w:color="000000" w:sz="4" w:space="0"/>
            </w:tcBorders>
            <w:shd w:val="clear" w:color="auto" w:fill="D9D9D9"/>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人数</w:t>
            </w:r>
          </w:p>
        </w:tc>
        <w:tc>
          <w:tcPr>
            <w:tcW w:w="3339" w:type="dxa"/>
            <w:tcBorders>
              <w:top w:val="single" w:color="000000" w:sz="18" w:space="0"/>
              <w:left w:val="single" w:color="000000" w:sz="4" w:space="0"/>
              <w:bottom w:val="single" w:color="000000" w:sz="4" w:space="0"/>
              <w:right w:val="single" w:color="000000" w:sz="18" w:space="0"/>
            </w:tcBorders>
            <w:shd w:val="clear" w:color="auto" w:fill="D9D9D9"/>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所占比例</w:t>
            </w:r>
            <w:r>
              <w:rPr>
                <w:rFonts w:hint="eastAsia" w:ascii="宋体" w:hAnsi="宋体" w:eastAsia="宋体" w:cs="宋体"/>
                <w:b/>
                <w:i w:val="0"/>
                <w:color w:val="auto"/>
                <w:kern w:val="0"/>
                <w:sz w:val="21"/>
                <w:szCs w:val="21"/>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湖南</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713</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新疆</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1.5</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浙江</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13</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四川</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cs="宋体"/>
                <w:i w:val="0"/>
                <w:color w:val="auto"/>
                <w:kern w:val="0"/>
                <w:sz w:val="22"/>
                <w:szCs w:val="22"/>
                <w:u w:val="none"/>
                <w:lang w:val="en-US" w:eastAsia="zh-CN" w:bidi="ar"/>
              </w:rPr>
            </w:pPr>
            <w:r>
              <w:rPr>
                <w:rFonts w:hint="eastAsia" w:ascii="宋体" w:hAnsi="宋体" w:cs="宋体"/>
                <w:i w:val="0"/>
                <w:color w:val="auto"/>
                <w:kern w:val="0"/>
                <w:sz w:val="22"/>
                <w:szCs w:val="22"/>
                <w:u w:val="none"/>
                <w:lang w:val="en-US" w:eastAsia="zh-CN" w:bidi="ar"/>
              </w:rPr>
              <w:t>0.25%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广东</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广西</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1.1</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福建</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1.1</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江西</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5</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0.6</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安徽</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1.5</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67"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湖北</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9</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1.1</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39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eastAsia="宋体" w:cs="宋体"/>
                <w:i w:val="0"/>
                <w:color w:val="auto"/>
                <w:kern w:val="0"/>
                <w:sz w:val="22"/>
                <w:szCs w:val="22"/>
                <w:u w:val="none"/>
                <w:lang w:val="en-US" w:eastAsia="zh-CN" w:bidi="ar"/>
              </w:rPr>
              <w:t>重庆</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i w:val="0"/>
                <w:color w:val="auto"/>
                <w:sz w:val="22"/>
                <w:szCs w:val="22"/>
                <w:u w:val="none"/>
              </w:rPr>
            </w:pPr>
            <w:r>
              <w:rPr>
                <w:rFonts w:hint="eastAsia" w:ascii="宋体" w:hAnsi="宋体" w:cs="宋体"/>
                <w:i w:val="0"/>
                <w:color w:val="auto"/>
                <w:kern w:val="0"/>
                <w:sz w:val="22"/>
                <w:szCs w:val="22"/>
                <w:u w:val="none"/>
                <w:lang w:val="en-US" w:eastAsia="zh-CN" w:bidi="ar"/>
              </w:rPr>
              <w:t>1.3</w:t>
            </w:r>
            <w:r>
              <w:rPr>
                <w:rFonts w:hint="eastAsia" w:ascii="宋体" w:hAnsi="宋体" w:eastAsia="宋体" w:cs="宋体"/>
                <w:i w:val="0"/>
                <w:color w:val="auto"/>
                <w:kern w:val="0"/>
                <w:sz w:val="22"/>
                <w:szCs w:val="22"/>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1" w:type="dxa"/>
            <w:left w:w="17" w:type="dxa"/>
            <w:bottom w:w="11" w:type="dxa"/>
            <w:right w:w="17" w:type="dxa"/>
          </w:tblCellMar>
        </w:tblPrEx>
        <w:trPr>
          <w:trHeight w:val="448" w:hRule="exact"/>
          <w:jc w:val="center"/>
        </w:trPr>
        <w:tc>
          <w:tcPr>
            <w:tcW w:w="2376" w:type="dxa"/>
            <w:tcBorders>
              <w:top w:val="single" w:color="000000" w:sz="4" w:space="0"/>
              <w:left w:val="single" w:color="000000" w:sz="18" w:space="0"/>
              <w:bottom w:val="single" w:color="000000" w:sz="18"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eastAsia" w:ascii="宋体" w:hAnsi="宋体" w:eastAsia="宋体" w:cs="宋体"/>
                <w:b/>
                <w:i w:val="0"/>
                <w:color w:val="auto"/>
                <w:sz w:val="21"/>
                <w:szCs w:val="21"/>
                <w:u w:val="none"/>
              </w:rPr>
            </w:pPr>
            <w:r>
              <w:rPr>
                <w:rFonts w:hint="eastAsia" w:ascii="宋体" w:hAnsi="宋体" w:eastAsia="宋体" w:cs="宋体"/>
                <w:b/>
                <w:i w:val="0"/>
                <w:color w:val="auto"/>
                <w:kern w:val="0"/>
                <w:sz w:val="21"/>
                <w:szCs w:val="21"/>
                <w:u w:val="none"/>
                <w:lang w:val="en-US" w:eastAsia="zh-CN" w:bidi="ar"/>
              </w:rPr>
              <w:t>合</w:t>
            </w:r>
            <w:r>
              <w:rPr>
                <w:rFonts w:hint="default" w:ascii="Times New Roman" w:hAnsi="Times New Roman" w:eastAsia="宋体" w:cs="Times New Roman"/>
                <w:b/>
                <w:i w:val="0"/>
                <w:color w:val="auto"/>
                <w:kern w:val="0"/>
                <w:sz w:val="21"/>
                <w:szCs w:val="21"/>
                <w:u w:val="none"/>
                <w:lang w:val="en-US" w:eastAsia="zh-CN" w:bidi="ar"/>
              </w:rPr>
              <w:t xml:space="preserve"> </w:t>
            </w:r>
            <w:r>
              <w:rPr>
                <w:rFonts w:hint="eastAsia" w:ascii="宋体" w:hAnsi="宋体" w:eastAsia="宋体" w:cs="宋体"/>
                <w:b/>
                <w:i w:val="0"/>
                <w:color w:val="auto"/>
                <w:kern w:val="0"/>
                <w:sz w:val="21"/>
                <w:szCs w:val="21"/>
                <w:u w:val="none"/>
                <w:lang w:val="en-US" w:eastAsia="zh-CN" w:bidi="ar"/>
              </w:rPr>
              <w:t>计</w:t>
            </w:r>
          </w:p>
        </w:tc>
        <w:tc>
          <w:tcPr>
            <w:tcW w:w="2384" w:type="dxa"/>
            <w:tcBorders>
              <w:top w:val="single" w:color="000000" w:sz="4" w:space="0"/>
              <w:left w:val="single" w:color="000000" w:sz="4" w:space="0"/>
              <w:bottom w:val="single" w:color="000000" w:sz="18"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jc w:val="both"/>
              <w:textAlignment w:val="center"/>
              <w:rPr>
                <w:rFonts w:hint="default" w:ascii="宋体" w:hAnsi="宋体" w:eastAsia="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803</w:t>
            </w:r>
          </w:p>
        </w:tc>
        <w:tc>
          <w:tcPr>
            <w:tcW w:w="3339" w:type="dxa"/>
            <w:tcBorders>
              <w:top w:val="single" w:color="000000" w:sz="4" w:space="0"/>
              <w:left w:val="single" w:color="000000" w:sz="4" w:space="0"/>
              <w:bottom w:val="single" w:color="000000" w:sz="18" w:space="0"/>
              <w:right w:val="single" w:color="000000" w:sz="18" w:space="0"/>
            </w:tcBorders>
            <w:noWrap w:val="0"/>
            <w:vAlign w:val="center"/>
          </w:tcPr>
          <w:p>
            <w:pPr>
              <w:keepNext w:val="0"/>
              <w:keepLines w:val="0"/>
              <w:pageBreakBefore w:val="0"/>
              <w:kinsoku/>
              <w:wordWrap/>
              <w:overflowPunct/>
              <w:topLinePunct w:val="0"/>
              <w:autoSpaceDE/>
              <w:autoSpaceDN/>
              <w:bidi w:val="0"/>
              <w:adjustRightInd/>
              <w:snapToGrid/>
              <w:spacing w:line="0" w:lineRule="atLeast"/>
              <w:ind w:left="0" w:leftChars="0" w:right="0" w:rightChars="0"/>
              <w:jc w:val="both"/>
              <w:rPr>
                <w:rFonts w:hint="eastAsia" w:ascii="宋体" w:hAnsi="宋体" w:cs="宋体"/>
                <w:i w:val="0"/>
                <w:color w:val="auto"/>
                <w:sz w:val="22"/>
                <w:szCs w:val="22"/>
                <w:u w:val="none"/>
                <w:lang w:val="en-US" w:eastAsia="zh-CN"/>
              </w:rPr>
            </w:pPr>
            <w:r>
              <w:rPr>
                <w:rFonts w:hint="eastAsia" w:ascii="宋体" w:hAnsi="宋体" w:cs="宋体"/>
                <w:i w:val="0"/>
                <w:color w:val="auto"/>
                <w:sz w:val="22"/>
                <w:szCs w:val="22"/>
                <w:u w:val="none"/>
                <w:lang w:val="en-US" w:eastAsia="zh-CN"/>
              </w:rPr>
              <w:t>100%</w:t>
            </w:r>
          </w:p>
        </w:tc>
      </w:tr>
    </w:tbl>
    <w:p>
      <w:pPr>
        <w:keepNext w:val="0"/>
        <w:keepLines w:val="0"/>
        <w:pageBreakBefore w:val="0"/>
        <w:kinsoku/>
        <w:wordWrap/>
        <w:overflowPunct/>
        <w:topLinePunct w:val="0"/>
        <w:autoSpaceDE/>
        <w:autoSpaceDN/>
        <w:bidi w:val="0"/>
        <w:adjustRightInd/>
        <w:snapToGrid/>
        <w:spacing w:line="0" w:lineRule="atLeast"/>
        <w:ind w:left="0" w:leftChars="0" w:right="0" w:rightChars="0"/>
        <w:jc w:val="center"/>
        <w:rPr>
          <w:rFonts w:hint="eastAsia" w:ascii="宋体" w:hAnsi="宋体" w:eastAsia="宋体" w:cs="宋体"/>
          <w:b/>
          <w:bCs/>
          <w:color w:val="auto"/>
          <w:sz w:val="44"/>
          <w:szCs w:val="44"/>
        </w:rPr>
      </w:pPr>
      <w:r>
        <w:rPr>
          <w:rFonts w:hint="eastAsia" w:ascii="宋体" w:hAnsi="宋体" w:cs="宋体"/>
          <w:b/>
          <w:bCs/>
          <w:color w:val="auto"/>
          <w:sz w:val="21"/>
          <w:szCs w:val="21"/>
          <w:lang w:val="en-US" w:eastAsia="zh-CN"/>
        </w:rPr>
        <w:t>表</w:t>
      </w:r>
      <w:r>
        <w:rPr>
          <w:rFonts w:hint="eastAsia" w:ascii="宋体" w:hAnsi="宋体" w:eastAsia="宋体" w:cs="宋体"/>
          <w:b/>
          <w:bCs/>
          <w:color w:val="auto"/>
          <w:sz w:val="21"/>
          <w:szCs w:val="21"/>
        </w:rPr>
        <w:t>1-</w:t>
      </w:r>
      <w:r>
        <w:rPr>
          <w:rFonts w:hint="eastAsia" w:ascii="宋体" w:hAnsi="宋体" w:cs="宋体"/>
          <w:b/>
          <w:bCs/>
          <w:color w:val="auto"/>
          <w:sz w:val="21"/>
          <w:szCs w:val="21"/>
          <w:lang w:val="en-US" w:eastAsia="zh-CN"/>
        </w:rPr>
        <w:t xml:space="preserve">2 </w:t>
      </w:r>
      <w:r>
        <w:rPr>
          <w:rFonts w:hint="eastAsia" w:ascii="宋体" w:hAnsi="宋体" w:eastAsia="宋体" w:cs="宋体"/>
          <w:b/>
          <w:bCs/>
          <w:color w:val="auto"/>
          <w:sz w:val="21"/>
          <w:szCs w:val="21"/>
        </w:rPr>
        <w:t xml:space="preserve"> 20</w:t>
      </w:r>
      <w:r>
        <w:rPr>
          <w:rFonts w:hint="eastAsia" w:ascii="宋体" w:hAnsi="宋体" w:cs="宋体"/>
          <w:b/>
          <w:bCs/>
          <w:color w:val="auto"/>
          <w:sz w:val="21"/>
          <w:szCs w:val="21"/>
          <w:lang w:val="en-US" w:eastAsia="zh-CN"/>
        </w:rPr>
        <w:t>20</w:t>
      </w:r>
      <w:r>
        <w:rPr>
          <w:rFonts w:hint="eastAsia" w:ascii="宋体" w:hAnsi="宋体" w:eastAsia="宋体" w:cs="宋体"/>
          <w:b/>
          <w:bCs/>
          <w:color w:val="auto"/>
          <w:sz w:val="21"/>
          <w:szCs w:val="21"/>
        </w:rPr>
        <w:t>届毕业生的生源地分布</w:t>
      </w: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三、就业率</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就业率是反映在校大学生就业情况和社会对学校毕业生需求程度的重要指标和参考依据，根据教育部发布的《教育部办公厅关于进一步加强和完善高校毕业生就业状况统计报告工作的通知》，高校毕业生的就业率的计算公式为：毕业生就业率=（已就业毕业生人数÷毕业生总人数）×100%。</w:t>
      </w:r>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根据《关于调整全国普通高等学校毕业生就业数据库结构及代码标准的通知》[教学司函（2017）1号]，毕业生总人数=（签就业协议书形式就业+签劳动合同形式就业+其他录用形式就业+科研助理+应征义务兵+国家基层项目+地方基层项目+自主创业+自由职业+升学+出国出境）+（待就业+不就业拟升学+其他暂不就业）。已就业毕业生人数=签就业协议书形式就业+签劳动合同形式就业+其他录用形式就业+科研助理+应征义务兵+国家基层项目+地方基层项目+自主创业+自由职业+升学+出国出境。</w:t>
      </w:r>
      <w:bookmarkStart w:id="10" w:name="_Toc30457"/>
      <w:bookmarkStart w:id="11" w:name="_Toc12075"/>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（一）毕业生总体及各专业就业率分析</w:t>
      </w:r>
      <w:bookmarkEnd w:id="10"/>
      <w:bookmarkEnd w:id="11"/>
    </w:p>
    <w:p>
      <w:pPr>
        <w:jc w:val="both"/>
        <w:rPr>
          <w:rFonts w:hint="eastAsia" w:ascii="仿宋" w:hAnsi="仿宋" w:eastAsia="仿宋" w:cs="仿宋"/>
          <w:b/>
          <w:bCs/>
          <w:color w:val="auto"/>
          <w:sz w:val="32"/>
          <w:szCs w:val="32"/>
          <w:lang w:val="en-US" w:eastAsia="zh-CN"/>
        </w:rPr>
      </w:pPr>
      <w:bookmarkStart w:id="12" w:name="_Toc9717"/>
      <w:r>
        <w:rPr>
          <w:rFonts w:hint="eastAsia" w:ascii="仿宋" w:hAnsi="仿宋" w:eastAsia="仿宋" w:cs="仿宋"/>
          <w:b/>
          <w:bCs/>
          <w:color w:val="auto"/>
          <w:sz w:val="32"/>
          <w:szCs w:val="32"/>
          <w:lang w:val="en-US" w:eastAsia="zh-CN"/>
        </w:rPr>
        <w:t>1.毕业生总体就业率分析</w:t>
      </w:r>
      <w:bookmarkEnd w:id="12"/>
    </w:p>
    <w:p>
      <w:pPr>
        <w:ind w:firstLine="640" w:firstLineChars="200"/>
        <w:jc w:val="both"/>
        <w:rPr>
          <w:rFonts w:hint="eastAsia" w:ascii="仿宋" w:hAnsi="仿宋" w:eastAsia="仿宋" w:cs="仿宋"/>
          <w:color w:val="auto"/>
          <w:sz w:val="32"/>
          <w:szCs w:val="32"/>
          <w:lang w:val="en-US" w:eastAsia="zh-CN"/>
        </w:rPr>
      </w:pPr>
      <w:bookmarkStart w:id="13" w:name="_Toc13789"/>
      <w:r>
        <w:rPr>
          <w:rFonts w:hint="eastAsia" w:ascii="仿宋" w:hAnsi="仿宋" w:eastAsia="仿宋" w:cs="仿宋"/>
          <w:color w:val="auto"/>
          <w:sz w:val="32"/>
          <w:szCs w:val="32"/>
          <w:lang w:val="en-US" w:eastAsia="zh-CN"/>
        </w:rPr>
        <w:t>截止到20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年8月</w:t>
      </w:r>
      <w:r>
        <w:rPr>
          <w:rFonts w:hint="default" w:ascii="仿宋" w:hAnsi="仿宋" w:eastAsia="仿宋" w:cs="仿宋"/>
          <w:color w:val="auto"/>
          <w:sz w:val="32"/>
          <w:szCs w:val="32"/>
          <w:lang w:eastAsia="zh-CN"/>
        </w:rPr>
        <w:t>31</w:t>
      </w:r>
      <w:r>
        <w:rPr>
          <w:rFonts w:hint="eastAsia" w:ascii="仿宋" w:hAnsi="仿宋" w:eastAsia="仿宋" w:cs="仿宋"/>
          <w:color w:val="auto"/>
          <w:sz w:val="32"/>
          <w:szCs w:val="32"/>
          <w:lang w:val="en-US" w:eastAsia="zh-CN"/>
        </w:rPr>
        <w:t>日，我院2020届毕业生的总体就业率为74.97%，未就业比率为25.03%。</w:t>
      </w: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2.各专业就业率分析</w:t>
      </w:r>
      <w:bookmarkEnd w:id="13"/>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医学相关专业如中西医临床医学就业率今年相对较高，达到85.71%；护理学达到74.97%；而市场营销，康复治疗因人数相对较少，毕业生就业期望值较高，导致就业率相对较低，其就业率分别为</w:t>
      </w:r>
    </w:p>
    <w:p>
      <w:pPr>
        <w:ind w:firstLine="420" w:firstLineChars="200"/>
        <w:jc w:val="both"/>
        <w:rPr>
          <w:rFonts w:hint="eastAsia"/>
        </w:rPr>
      </w:pPr>
      <w:r>
        <w:drawing>
          <wp:inline distT="0" distB="0" distL="114300" distR="114300">
            <wp:extent cx="5494020" cy="2553970"/>
            <wp:effectExtent l="4445" t="4445" r="6985" b="13335"/>
            <wp:docPr id="3" name="图片 1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keepNext w:val="0"/>
        <w:keepLines w:val="0"/>
        <w:pageBreakBefore w:val="0"/>
        <w:widowControl w:val="0"/>
        <w:kinsoku/>
        <w:wordWrap/>
        <w:overflowPunct/>
        <w:topLinePunct w:val="0"/>
        <w:autoSpaceDE/>
        <w:autoSpaceDN/>
        <w:bidi w:val="0"/>
        <w:adjustRightInd/>
        <w:snapToGrid/>
        <w:spacing w:before="156" w:beforeLines="50" w:after="156" w:afterLines="50" w:line="0" w:lineRule="atLeast"/>
        <w:ind w:left="0" w:leftChars="0" w:right="0" w:rightChars="0" w:firstLine="2741" w:firstLineChars="1300"/>
        <w:jc w:val="both"/>
        <w:textAlignment w:val="auto"/>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图1-</w:t>
      </w:r>
      <w:r>
        <w:rPr>
          <w:rFonts w:hint="eastAsia" w:ascii="宋体" w:hAnsi="宋体" w:cs="宋体"/>
          <w:b/>
          <w:bCs/>
          <w:color w:val="auto"/>
          <w:sz w:val="21"/>
          <w:szCs w:val="21"/>
          <w:lang w:val="en-US" w:eastAsia="zh-CN"/>
        </w:rPr>
        <w:t>3</w:t>
      </w:r>
      <w:r>
        <w:rPr>
          <w:rFonts w:hint="eastAsia" w:ascii="宋体" w:hAnsi="宋体" w:eastAsia="宋体" w:cs="宋体"/>
          <w:b/>
          <w:bCs/>
          <w:color w:val="auto"/>
          <w:sz w:val="21"/>
          <w:szCs w:val="21"/>
        </w:rPr>
        <w:t xml:space="preserve">  </w:t>
      </w:r>
      <w:r>
        <w:rPr>
          <w:rFonts w:hint="eastAsia" w:ascii="宋体" w:hAnsi="宋体" w:cs="宋体"/>
          <w:b/>
          <w:bCs/>
          <w:color w:val="auto"/>
          <w:sz w:val="21"/>
          <w:szCs w:val="21"/>
          <w:lang w:eastAsia="zh-CN"/>
        </w:rPr>
        <w:t>20</w:t>
      </w:r>
      <w:r>
        <w:rPr>
          <w:rFonts w:hint="default" w:ascii="宋体" w:hAnsi="宋体" w:cs="宋体"/>
          <w:b/>
          <w:bCs/>
          <w:color w:val="auto"/>
          <w:sz w:val="21"/>
          <w:szCs w:val="21"/>
          <w:lang w:eastAsia="zh-CN"/>
        </w:rPr>
        <w:t>20</w:t>
      </w:r>
      <w:r>
        <w:rPr>
          <w:rFonts w:hint="eastAsia" w:ascii="宋体" w:hAnsi="宋体" w:eastAsia="宋体" w:cs="宋体"/>
          <w:b/>
          <w:bCs/>
          <w:color w:val="auto"/>
          <w:sz w:val="21"/>
          <w:szCs w:val="21"/>
        </w:rPr>
        <w:t>届毕业生各专业就业率分布</w:t>
      </w:r>
      <w:bookmarkStart w:id="14" w:name="_Toc13440"/>
      <w:bookmarkStart w:id="15" w:name="_Toc31603"/>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（二）不同特征群体毕业生的就业率比较分析</w:t>
      </w:r>
      <w:bookmarkEnd w:id="14"/>
      <w:bookmarkEnd w:id="15"/>
    </w:p>
    <w:p>
      <w:pPr>
        <w:jc w:val="both"/>
        <w:rPr>
          <w:rFonts w:hint="eastAsia" w:ascii="仿宋" w:hAnsi="仿宋" w:eastAsia="仿宋" w:cs="仿宋"/>
          <w:b/>
          <w:bCs/>
          <w:color w:val="auto"/>
          <w:sz w:val="32"/>
          <w:szCs w:val="32"/>
          <w:lang w:val="en-US" w:eastAsia="zh-CN"/>
        </w:rPr>
      </w:pPr>
      <w:bookmarkStart w:id="16" w:name="_Toc24247"/>
      <w:r>
        <w:rPr>
          <w:rFonts w:hint="eastAsia" w:ascii="仿宋" w:hAnsi="仿宋" w:eastAsia="仿宋" w:cs="仿宋"/>
          <w:b/>
          <w:bCs/>
          <w:color w:val="auto"/>
          <w:sz w:val="32"/>
          <w:szCs w:val="32"/>
          <w:lang w:val="en-US" w:eastAsia="zh-CN"/>
        </w:rPr>
        <w:t>1.男/女毕业生专业就业率对比分析</w:t>
      </w:r>
      <w:bookmarkEnd w:id="16"/>
    </w:p>
    <w:p>
      <w:pPr>
        <w:pStyle w:val="3"/>
        <w:bidi w:val="0"/>
        <w:ind w:left="0" w:leftChars="0"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我院20</w:t>
      </w:r>
      <w:r>
        <w:rPr>
          <w:rFonts w:hint="default" w:ascii="仿宋" w:hAnsi="仿宋" w:eastAsia="仿宋" w:cs="仿宋"/>
          <w:color w:val="auto"/>
          <w:kern w:val="2"/>
          <w:sz w:val="32"/>
          <w:szCs w:val="32"/>
          <w:lang w:val="en-US" w:eastAsia="zh-CN"/>
        </w:rPr>
        <w:t>20</w:t>
      </w:r>
      <w:r>
        <w:rPr>
          <w:rFonts w:hint="eastAsia" w:ascii="仿宋" w:hAnsi="仿宋" w:eastAsia="仿宋" w:cs="仿宋"/>
          <w:color w:val="auto"/>
          <w:kern w:val="2"/>
          <w:sz w:val="32"/>
          <w:szCs w:val="32"/>
          <w:lang w:val="en-US" w:eastAsia="zh-CN"/>
        </w:rPr>
        <w:t>届毕业生中，女生就业率总体高于男生就业率，女生就业率为86.86%，男生为66.8%。各专业男女生就业率具体分布如下图所示，应用心理学、生物工程、制药工程、中医学、针灸推拿学、中西医临床医学、中药学、护理学专业女生就业率高于男生，而药学、康复治疗、药物制剂、市场营销专业就业率男生高于女生。</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auto"/>
          <w:sz w:val="28"/>
          <w:szCs w:val="28"/>
        </w:rPr>
      </w:pPr>
      <w:r>
        <w:drawing>
          <wp:inline distT="0" distB="0" distL="114300" distR="114300">
            <wp:extent cx="4572000" cy="2743200"/>
            <wp:effectExtent l="4445" t="4445" r="14605" b="14605"/>
            <wp:docPr id="4" name="图片 1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numPr>
          <w:ilvl w:val="0"/>
          <w:numId w:val="0"/>
        </w:numPr>
        <w:jc w:val="center"/>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图1-</w:t>
      </w:r>
      <w:r>
        <w:rPr>
          <w:rFonts w:hint="eastAsia" w:ascii="宋体" w:hAnsi="宋体" w:cs="宋体"/>
          <w:b/>
          <w:bCs/>
          <w:color w:val="auto"/>
          <w:sz w:val="21"/>
          <w:szCs w:val="21"/>
          <w:lang w:val="en-US" w:eastAsia="zh-CN"/>
        </w:rPr>
        <w:t>4</w:t>
      </w:r>
      <w:r>
        <w:rPr>
          <w:rFonts w:hint="eastAsia" w:ascii="宋体" w:hAnsi="宋体" w:eastAsia="宋体" w:cs="宋体"/>
          <w:b/>
          <w:bCs/>
          <w:color w:val="auto"/>
          <w:sz w:val="21"/>
          <w:szCs w:val="21"/>
          <w:lang w:val="en-US" w:eastAsia="zh-CN"/>
        </w:rPr>
        <w:t xml:space="preserve">  20</w:t>
      </w:r>
      <w:r>
        <w:rPr>
          <w:rFonts w:hint="eastAsia" w:ascii="宋体" w:hAnsi="宋体" w:cs="宋体"/>
          <w:b/>
          <w:bCs/>
          <w:color w:val="auto"/>
          <w:sz w:val="21"/>
          <w:szCs w:val="21"/>
          <w:lang w:val="en-US" w:eastAsia="zh-CN"/>
        </w:rPr>
        <w:t>20</w:t>
      </w:r>
      <w:r>
        <w:rPr>
          <w:rFonts w:hint="eastAsia" w:ascii="宋体" w:hAnsi="宋体" w:eastAsia="宋体" w:cs="宋体"/>
          <w:b/>
          <w:bCs/>
          <w:color w:val="auto"/>
          <w:sz w:val="21"/>
          <w:szCs w:val="21"/>
          <w:lang w:val="en-US" w:eastAsia="zh-CN"/>
        </w:rPr>
        <w:t>届毕业生各专业就业率对比</w:t>
      </w:r>
    </w:p>
    <w:p>
      <w:pPr>
        <w:jc w:val="both"/>
        <w:rPr>
          <w:rFonts w:hint="eastAsia" w:ascii="仿宋" w:hAnsi="仿宋" w:eastAsia="仿宋" w:cs="仿宋"/>
          <w:b/>
          <w:bCs/>
          <w:color w:val="auto"/>
          <w:sz w:val="32"/>
          <w:szCs w:val="32"/>
          <w:lang w:val="en-US" w:eastAsia="zh-CN"/>
        </w:rPr>
      </w:pPr>
      <w:bookmarkStart w:id="17" w:name="_Toc6688"/>
      <w:r>
        <w:rPr>
          <w:rFonts w:hint="eastAsia" w:ascii="仿宋" w:hAnsi="仿宋" w:eastAsia="仿宋" w:cs="仿宋"/>
          <w:b/>
          <w:bCs/>
          <w:color w:val="auto"/>
          <w:sz w:val="32"/>
          <w:szCs w:val="32"/>
          <w:lang w:val="en-US" w:eastAsia="zh-CN"/>
        </w:rPr>
        <w:t>2.本/外地生源毕业生的就业率对比分析</w:t>
      </w:r>
      <w:bookmarkEnd w:id="17"/>
    </w:p>
    <w:p>
      <w:p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我院2020届毕业生中，毕业总人数832人，实际毕业人数803人。本地（湖南省）生源毕业生的就业率为81.01%同比2019届下降了6.7%，外地生源毕业生的就业率为77.55%。其中，外地生源按照生源地统计就业人数及具体百分比，详见下表1-2。</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350"/>
        <w:gridCol w:w="2878"/>
        <w:gridCol w:w="1746"/>
        <w:gridCol w:w="16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tcBorders>
              <w:bottom w:val="single" w:color="000000" w:sz="1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bookmarkStart w:id="18" w:name="_Toc29802"/>
            <w:r>
              <w:rPr>
                <w:rFonts w:hint="eastAsia" w:ascii="宋体" w:hAnsi="宋体" w:eastAsia="宋体" w:cs="宋体"/>
                <w:i w:val="0"/>
                <w:color w:val="auto"/>
                <w:kern w:val="0"/>
                <w:sz w:val="24"/>
                <w:szCs w:val="24"/>
                <w:u w:val="none"/>
                <w:lang w:val="en-US" w:eastAsia="zh-CN" w:bidi="ar"/>
              </w:rPr>
              <w:t>生源省份</w:t>
            </w:r>
          </w:p>
        </w:tc>
        <w:tc>
          <w:tcPr>
            <w:tcW w:w="2878" w:type="dxa"/>
            <w:tcBorders>
              <w:bottom w:val="single" w:color="000000" w:sz="1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实际毕业</w:t>
            </w:r>
            <w:r>
              <w:rPr>
                <w:rFonts w:hint="eastAsia" w:ascii="宋体" w:hAnsi="宋体" w:eastAsia="宋体" w:cs="宋体"/>
                <w:i w:val="0"/>
                <w:color w:val="auto"/>
                <w:kern w:val="0"/>
                <w:sz w:val="24"/>
                <w:szCs w:val="24"/>
                <w:u w:val="none"/>
                <w:lang w:val="en-US" w:eastAsia="zh-CN" w:bidi="ar"/>
              </w:rPr>
              <w:t>总人数</w:t>
            </w:r>
          </w:p>
        </w:tc>
        <w:tc>
          <w:tcPr>
            <w:tcW w:w="1746" w:type="dxa"/>
            <w:tcBorders>
              <w:bottom w:val="single" w:color="000000" w:sz="1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就业人数</w:t>
            </w:r>
          </w:p>
        </w:tc>
        <w:tc>
          <w:tcPr>
            <w:tcW w:w="1623" w:type="dxa"/>
            <w:tcBorders>
              <w:bottom w:val="single" w:color="000000" w:sz="18"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就业率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湖南</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rPr>
            </w:pPr>
            <w:r>
              <w:rPr>
                <w:rFonts w:hint="eastAsia" w:ascii="宋体" w:hAnsi="宋体" w:cs="宋体"/>
                <w:i w:val="0"/>
                <w:color w:val="auto"/>
                <w:kern w:val="0"/>
                <w:sz w:val="24"/>
                <w:szCs w:val="24"/>
                <w:u w:val="none"/>
                <w:lang w:val="en-US" w:eastAsia="zh-CN" w:bidi="ar"/>
              </w:rPr>
              <w:t>713</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530</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74.33</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广东</w:t>
            </w:r>
          </w:p>
        </w:tc>
        <w:tc>
          <w:tcPr>
            <w:tcW w:w="2878"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7</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77.77</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新疆</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12</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10</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83.33</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浙江</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13</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11</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84.61</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广西</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7</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77.77</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福建</w:t>
            </w:r>
          </w:p>
        </w:tc>
        <w:tc>
          <w:tcPr>
            <w:tcW w:w="2878"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100.00</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江西</w:t>
            </w:r>
          </w:p>
        </w:tc>
        <w:tc>
          <w:tcPr>
            <w:tcW w:w="2878"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5</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3</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60.00</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安徽</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12</w:t>
            </w:r>
          </w:p>
        </w:tc>
        <w:tc>
          <w:tcPr>
            <w:tcW w:w="1746"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75.00</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湖北</w:t>
            </w:r>
          </w:p>
        </w:tc>
        <w:tc>
          <w:tcPr>
            <w:tcW w:w="2878"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9</w:t>
            </w:r>
          </w:p>
        </w:tc>
        <w:tc>
          <w:tcPr>
            <w:tcW w:w="1746" w:type="dxa"/>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7</w:t>
            </w:r>
          </w:p>
        </w:tc>
        <w:tc>
          <w:tcPr>
            <w:tcW w:w="1623" w:type="dxa"/>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77.77</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tcBorders>
              <w:bottom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重庆</w:t>
            </w:r>
          </w:p>
        </w:tc>
        <w:tc>
          <w:tcPr>
            <w:tcW w:w="2878" w:type="dxa"/>
            <w:tcBorders>
              <w:bottom w:val="nil"/>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10</w:t>
            </w:r>
          </w:p>
        </w:tc>
        <w:tc>
          <w:tcPr>
            <w:tcW w:w="1746" w:type="dxa"/>
            <w:tcBorders>
              <w:bottom w:val="nil"/>
            </w:tcBorders>
            <w:noWrap w:val="0"/>
            <w:vAlign w:val="center"/>
          </w:tcPr>
          <w:p>
            <w:pPr>
              <w:keepNext w:val="0"/>
              <w:keepLines w:val="0"/>
              <w:widowControl/>
              <w:suppressLineNumbers w:val="0"/>
              <w:jc w:val="center"/>
              <w:textAlignment w:val="center"/>
              <w:rPr>
                <w:rFonts w:hint="default" w:ascii="宋体" w:hAnsi="宋体" w:eastAsia="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8</w:t>
            </w:r>
          </w:p>
        </w:tc>
        <w:tc>
          <w:tcPr>
            <w:tcW w:w="1623" w:type="dxa"/>
            <w:tcBorders>
              <w:bottom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sz w:val="24"/>
                <w:szCs w:val="24"/>
                <w:u w:val="none"/>
              </w:rPr>
            </w:pPr>
            <w:r>
              <w:rPr>
                <w:rFonts w:hint="eastAsia" w:ascii="宋体" w:hAnsi="宋体" w:cs="宋体"/>
                <w:i w:val="0"/>
                <w:color w:val="auto"/>
                <w:kern w:val="0"/>
                <w:sz w:val="24"/>
                <w:szCs w:val="24"/>
                <w:u w:val="none"/>
                <w:lang w:val="en-US" w:eastAsia="zh-CN" w:bidi="ar"/>
              </w:rPr>
              <w:t>80.00</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u w:val="none"/>
                <w:lang w:val="en-US" w:eastAsia="zh-CN"/>
              </w:rPr>
            </w:pPr>
            <w:r>
              <w:rPr>
                <w:rFonts w:hint="eastAsia" w:ascii="宋体" w:hAnsi="宋体" w:cs="宋体"/>
                <w:i w:val="0"/>
                <w:color w:val="auto"/>
                <w:kern w:val="2"/>
                <w:sz w:val="24"/>
                <w:szCs w:val="24"/>
                <w:u w:val="none"/>
                <w:lang w:val="en-US" w:eastAsia="zh-CN"/>
              </w:rPr>
              <w:t>四川</w:t>
            </w:r>
          </w:p>
        </w:tc>
        <w:tc>
          <w:tcPr>
            <w:tcW w:w="2878" w:type="dxa"/>
            <w:tcBorders>
              <w:top w:val="nil"/>
              <w:bottom w:val="nil"/>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u w:val="none"/>
                <w:lang w:val="en-US" w:eastAsia="zh-CN"/>
              </w:rPr>
            </w:pPr>
            <w:r>
              <w:rPr>
                <w:rFonts w:hint="eastAsia" w:ascii="宋体" w:hAnsi="宋体" w:cs="宋体"/>
                <w:i w:val="0"/>
                <w:color w:val="auto"/>
                <w:kern w:val="2"/>
                <w:sz w:val="24"/>
                <w:szCs w:val="24"/>
                <w:u w:val="none"/>
                <w:lang w:val="en-US" w:eastAsia="zh-CN"/>
              </w:rPr>
              <w:t>2</w:t>
            </w:r>
          </w:p>
        </w:tc>
        <w:tc>
          <w:tcPr>
            <w:tcW w:w="1746" w:type="dxa"/>
            <w:tcBorders>
              <w:top w:val="nil"/>
              <w:bottom w:val="nil"/>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4"/>
                <w:szCs w:val="24"/>
                <w:u w:val="none"/>
                <w:lang w:val="en-US" w:eastAsia="zh-CN"/>
              </w:rPr>
            </w:pPr>
            <w:r>
              <w:rPr>
                <w:rFonts w:hint="eastAsia" w:ascii="宋体" w:hAnsi="宋体" w:cs="宋体"/>
                <w:i w:val="0"/>
                <w:color w:val="auto"/>
                <w:kern w:val="2"/>
                <w:sz w:val="24"/>
                <w:szCs w:val="24"/>
                <w:u w:val="none"/>
                <w:lang w:val="en-US" w:eastAsia="zh-CN"/>
              </w:rPr>
              <w:t>1</w:t>
            </w:r>
          </w:p>
        </w:tc>
        <w:tc>
          <w:tcPr>
            <w:tcW w:w="1623" w:type="dxa"/>
            <w:tcBorders>
              <w:top w:val="nil"/>
              <w:bottom w:val="nil"/>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2"/>
                <w:sz w:val="24"/>
                <w:szCs w:val="24"/>
                <w:u w:val="none"/>
                <w:lang w:val="en-US" w:eastAsia="zh-CN"/>
              </w:rPr>
            </w:pPr>
            <w:r>
              <w:rPr>
                <w:rFonts w:hint="eastAsia" w:ascii="宋体" w:hAnsi="宋体" w:cs="宋体"/>
                <w:i w:val="0"/>
                <w:color w:val="auto"/>
                <w:kern w:val="0"/>
                <w:sz w:val="24"/>
                <w:szCs w:val="24"/>
                <w:u w:val="none"/>
                <w:lang w:val="en-US" w:eastAsia="zh-CN" w:bidi="ar"/>
              </w:rPr>
              <w:t>50.00</w:t>
            </w:r>
            <w:r>
              <w:rPr>
                <w:rFonts w:hint="eastAsia" w:ascii="宋体" w:hAnsi="宋体" w:eastAsia="宋体" w:cs="宋体"/>
                <w:i w:val="0"/>
                <w:color w:val="auto"/>
                <w:kern w:val="0"/>
                <w:sz w:val="24"/>
                <w:szCs w:val="24"/>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keepNext w:val="0"/>
              <w:keepLines w:val="0"/>
              <w:widowControl/>
              <w:suppressLineNumbers w:val="0"/>
              <w:jc w:val="center"/>
              <w:textAlignment w:val="center"/>
              <w:rPr>
                <w:rFonts w:hint="default" w:ascii="宋体" w:hAnsi="宋体" w:eastAsia="宋体" w:cs="宋体"/>
                <w:b/>
                <w:bCs/>
                <w:i w:val="0"/>
                <w:color w:val="auto"/>
                <w:kern w:val="0"/>
                <w:sz w:val="24"/>
                <w:szCs w:val="24"/>
                <w:u w:val="none"/>
                <w:lang w:val="en-US" w:eastAsia="zh-CN" w:bidi="ar"/>
              </w:rPr>
            </w:pPr>
            <w:r>
              <w:rPr>
                <w:rFonts w:hint="eastAsia" w:ascii="宋体" w:hAnsi="宋体" w:cs="宋体"/>
                <w:b/>
                <w:bCs/>
                <w:i w:val="0"/>
                <w:color w:val="auto"/>
                <w:kern w:val="0"/>
                <w:sz w:val="24"/>
                <w:szCs w:val="24"/>
                <w:u w:val="none"/>
                <w:lang w:val="en-US" w:eastAsia="zh-CN" w:bidi="ar"/>
              </w:rPr>
              <w:t>合计</w:t>
            </w:r>
          </w:p>
        </w:tc>
        <w:tc>
          <w:tcPr>
            <w:tcW w:w="2878" w:type="dxa"/>
            <w:tcBorders>
              <w:top w:val="nil"/>
              <w:bottom w:val="nil"/>
            </w:tcBorders>
            <w:noWrap w:val="0"/>
            <w:vAlign w:val="center"/>
          </w:tcPr>
          <w:p>
            <w:pPr>
              <w:keepNext w:val="0"/>
              <w:keepLines w:val="0"/>
              <w:widowControl/>
              <w:suppressLineNumbers w:val="0"/>
              <w:jc w:val="center"/>
              <w:textAlignment w:val="center"/>
              <w:rPr>
                <w:rFonts w:hint="default" w:ascii="宋体" w:hAnsi="宋体" w:cs="宋体"/>
                <w:i w:val="0"/>
                <w:color w:val="auto"/>
                <w:kern w:val="2"/>
                <w:sz w:val="24"/>
                <w:szCs w:val="24"/>
                <w:u w:val="none"/>
                <w:lang w:val="en-US" w:eastAsia="zh-CN"/>
              </w:rPr>
            </w:pPr>
            <w:r>
              <w:rPr>
                <w:rFonts w:hint="eastAsia" w:ascii="宋体" w:hAnsi="宋体" w:cs="宋体"/>
                <w:i w:val="0"/>
                <w:color w:val="auto"/>
                <w:kern w:val="2"/>
                <w:sz w:val="24"/>
                <w:szCs w:val="24"/>
                <w:u w:val="none"/>
                <w:lang w:val="en-US" w:eastAsia="zh-CN"/>
              </w:rPr>
              <w:t>803</w:t>
            </w:r>
          </w:p>
        </w:tc>
        <w:tc>
          <w:tcPr>
            <w:tcW w:w="1746" w:type="dxa"/>
            <w:tcBorders>
              <w:top w:val="nil"/>
              <w:bottom w:val="nil"/>
            </w:tcBorders>
            <w:noWrap w:val="0"/>
            <w:vAlign w:val="center"/>
          </w:tcPr>
          <w:p>
            <w:pPr>
              <w:keepNext w:val="0"/>
              <w:keepLines w:val="0"/>
              <w:widowControl/>
              <w:suppressLineNumbers w:val="0"/>
              <w:jc w:val="center"/>
              <w:textAlignment w:val="center"/>
              <w:rPr>
                <w:rFonts w:hint="default" w:ascii="宋体" w:hAnsi="宋体" w:cs="宋体"/>
                <w:i w:val="0"/>
                <w:color w:val="auto"/>
                <w:sz w:val="24"/>
                <w:szCs w:val="24"/>
                <w:u w:val="none"/>
                <w:lang w:val="en-US" w:eastAsia="zh-CN"/>
              </w:rPr>
            </w:pPr>
            <w:r>
              <w:rPr>
                <w:rFonts w:hint="eastAsia" w:ascii="宋体" w:hAnsi="宋体" w:cs="宋体"/>
                <w:i w:val="0"/>
                <w:color w:val="auto"/>
                <w:sz w:val="24"/>
                <w:szCs w:val="24"/>
                <w:u w:val="none"/>
                <w:lang w:val="en-US" w:eastAsia="zh-CN"/>
              </w:rPr>
              <w:t>602</w:t>
            </w:r>
          </w:p>
        </w:tc>
        <w:tc>
          <w:tcPr>
            <w:tcW w:w="1623" w:type="dxa"/>
            <w:tcBorders>
              <w:top w:val="nil"/>
              <w:bottom w:val="nil"/>
            </w:tcBorders>
            <w:noWrap w:val="0"/>
            <w:vAlign w:val="center"/>
          </w:tcPr>
          <w:p>
            <w:pPr>
              <w:keepNext w:val="0"/>
              <w:keepLines w:val="0"/>
              <w:widowControl/>
              <w:suppressLineNumbers w:val="0"/>
              <w:jc w:val="center"/>
              <w:textAlignment w:val="center"/>
              <w:rPr>
                <w:rFonts w:hint="default" w:ascii="宋体" w:hAnsi="宋体" w:cs="宋体"/>
                <w:i w:val="0"/>
                <w:color w:val="auto"/>
                <w:kern w:val="0"/>
                <w:sz w:val="24"/>
                <w:szCs w:val="24"/>
                <w:u w:val="none"/>
                <w:lang w:val="en-US" w:eastAsia="zh-CN" w:bidi="ar"/>
              </w:rPr>
            </w:pPr>
            <w:r>
              <w:rPr>
                <w:rFonts w:hint="eastAsia" w:ascii="宋体" w:hAnsi="宋体" w:cs="宋体"/>
                <w:i w:val="0"/>
                <w:color w:val="auto"/>
                <w:kern w:val="0"/>
                <w:sz w:val="24"/>
                <w:szCs w:val="24"/>
                <w:u w:val="none"/>
                <w:lang w:val="en-US" w:eastAsia="zh-CN" w:bidi="ar"/>
              </w:rPr>
              <w:t>74.97%</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 xml:space="preserve">表1-2  </w:t>
      </w:r>
      <w:r>
        <w:rPr>
          <w:rFonts w:hint="eastAsia" w:ascii="宋体" w:hAnsi="宋体" w:cs="宋体"/>
          <w:b/>
          <w:bCs/>
          <w:color w:val="auto"/>
          <w:sz w:val="21"/>
          <w:szCs w:val="21"/>
          <w:lang w:val="en-US" w:eastAsia="zh-CN"/>
        </w:rPr>
        <w:t>20</w:t>
      </w:r>
      <w:r>
        <w:rPr>
          <w:rFonts w:hint="default" w:ascii="宋体" w:hAnsi="宋体" w:cs="宋体"/>
          <w:b/>
          <w:bCs/>
          <w:color w:val="auto"/>
          <w:sz w:val="21"/>
          <w:szCs w:val="21"/>
          <w:lang w:eastAsia="zh-CN"/>
        </w:rPr>
        <w:t>20</w:t>
      </w:r>
      <w:r>
        <w:rPr>
          <w:rFonts w:hint="eastAsia" w:ascii="宋体" w:hAnsi="宋体" w:eastAsia="宋体" w:cs="宋体"/>
          <w:b/>
          <w:bCs/>
          <w:color w:val="auto"/>
          <w:sz w:val="21"/>
          <w:szCs w:val="21"/>
          <w:lang w:val="en-US" w:eastAsia="zh-CN"/>
        </w:rPr>
        <w:t>届毕业生本/外地生源毕业生的就业率分布</w:t>
      </w: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3.少数民族群体的就业率对比分析</w:t>
      </w:r>
      <w:bookmarkEnd w:id="18"/>
    </w:p>
    <w:p>
      <w:pPr>
        <w:ind w:firstLine="640" w:firstLineChars="200"/>
        <w:jc w:val="both"/>
        <w:rPr>
          <w:rFonts w:hint="default"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截止2020年8月3</w:t>
      </w:r>
      <w:r>
        <w:rPr>
          <w:rFonts w:hint="default" w:ascii="仿宋" w:hAnsi="仿宋" w:eastAsia="仿宋" w:cs="仿宋"/>
          <w:color w:val="auto"/>
          <w:sz w:val="32"/>
          <w:szCs w:val="32"/>
          <w:lang w:eastAsia="zh-CN"/>
        </w:rPr>
        <w:t>1</w:t>
      </w:r>
      <w:r>
        <w:rPr>
          <w:rFonts w:hint="eastAsia" w:ascii="仿宋" w:hAnsi="仿宋" w:eastAsia="仿宋" w:cs="仿宋"/>
          <w:color w:val="auto"/>
          <w:sz w:val="32"/>
          <w:szCs w:val="32"/>
          <w:lang w:val="en-US" w:eastAsia="zh-CN"/>
        </w:rPr>
        <w:t>日，我院2020届毕业生中少数民族人数为70人，就业人数45人，少数民族毕业生的就业率为64.29 %。</w:t>
      </w:r>
    </w:p>
    <w:p>
      <w:pPr>
        <w:jc w:val="both"/>
        <w:rPr>
          <w:rFonts w:hint="eastAsia" w:ascii="仿宋" w:hAnsi="仿宋" w:eastAsia="仿宋" w:cs="仿宋"/>
          <w:b/>
          <w:bCs/>
          <w:color w:val="auto"/>
          <w:sz w:val="32"/>
          <w:szCs w:val="32"/>
          <w:lang w:val="en-US" w:eastAsia="zh-CN"/>
        </w:rPr>
      </w:pPr>
      <w:bookmarkStart w:id="19" w:name="_Toc20466"/>
      <w:r>
        <w:rPr>
          <w:rFonts w:hint="eastAsia" w:ascii="仿宋" w:hAnsi="仿宋" w:eastAsia="仿宋" w:cs="仿宋"/>
          <w:b/>
          <w:bCs/>
          <w:color w:val="auto"/>
          <w:sz w:val="32"/>
          <w:szCs w:val="32"/>
          <w:lang w:val="en-US" w:eastAsia="zh-CN"/>
        </w:rPr>
        <w:t>4.不同户口类别毕业生就业率对比分析</w:t>
      </w:r>
      <w:bookmarkEnd w:id="19"/>
    </w:p>
    <w:p>
      <w:pPr>
        <w:pStyle w:val="3"/>
        <w:bidi w:val="0"/>
        <w:ind w:left="0" w:leftChars="0"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我院2020届毕业生中城镇户口毕业生255人，就业人数为171人，占城镇户口毕业生总人数的67.06%。农村户口毕业生577人，就业人数为431人，占农村户口毕业生总人数的74.69%。</w:t>
      </w:r>
    </w:p>
    <w:p>
      <w:pPr>
        <w:pStyle w:val="3"/>
        <w:bidi w:val="0"/>
        <w:ind w:left="0" w:leftChars="0" w:firstLine="640" w:firstLineChars="200"/>
        <w:jc w:val="both"/>
        <w:rPr>
          <w:rFonts w:hint="eastAsia" w:ascii="仿宋" w:hAnsi="仿宋" w:eastAsia="仿宋" w:cs="仿宋"/>
          <w:color w:val="auto"/>
          <w:kern w:val="2"/>
          <w:sz w:val="32"/>
          <w:szCs w:val="32"/>
          <w:lang w:val="en-US" w:eastAsia="zh-CN"/>
        </w:rPr>
      </w:pPr>
    </w:p>
    <w:p>
      <w:p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四、毕业生毕业流向</w:t>
      </w:r>
    </w:p>
    <w:p>
      <w:pPr>
        <w:jc w:val="both"/>
        <w:rPr>
          <w:rFonts w:hint="eastAsia" w:ascii="仿宋" w:hAnsi="仿宋" w:eastAsia="仿宋" w:cs="仿宋"/>
          <w:b/>
          <w:bCs/>
          <w:color w:val="auto"/>
          <w:sz w:val="32"/>
          <w:szCs w:val="32"/>
          <w:lang w:val="en-US" w:eastAsia="zh-CN"/>
        </w:rPr>
      </w:pPr>
      <w:bookmarkStart w:id="20" w:name="_Toc26491"/>
      <w:bookmarkStart w:id="21" w:name="_Toc14072"/>
      <w:r>
        <w:rPr>
          <w:rFonts w:hint="eastAsia" w:ascii="仿宋" w:hAnsi="仿宋" w:eastAsia="仿宋" w:cs="仿宋"/>
          <w:b/>
          <w:bCs/>
          <w:color w:val="auto"/>
          <w:sz w:val="32"/>
          <w:szCs w:val="32"/>
          <w:lang w:val="en-US" w:eastAsia="zh-CN"/>
        </w:rPr>
        <w:t>（一）毕业生总体的毕业流向分析</w:t>
      </w:r>
      <w:bookmarkEnd w:id="20"/>
      <w:bookmarkEnd w:id="21"/>
    </w:p>
    <w:p>
      <w:pPr>
        <w:ind w:firstLine="640" w:firstLineChars="200"/>
        <w:jc w:val="both"/>
        <w:rPr>
          <w:rFonts w:hint="eastAsia" w:ascii="仿宋" w:hAnsi="仿宋" w:eastAsia="仿宋" w:cs="仿宋"/>
          <w:sz w:val="32"/>
          <w:szCs w:val="32"/>
        </w:rPr>
      </w:pPr>
      <w:bookmarkStart w:id="22" w:name="_Toc8106"/>
      <w:bookmarkStart w:id="23" w:name="_Toc32147"/>
      <w:r>
        <w:rPr>
          <w:rFonts w:hint="eastAsia" w:ascii="仿宋" w:hAnsi="仿宋" w:eastAsia="仿宋" w:cs="仿宋"/>
          <w:sz w:val="32"/>
          <w:szCs w:val="32"/>
        </w:rPr>
        <w:t>截止到20</w:t>
      </w:r>
      <w:r>
        <w:rPr>
          <w:rFonts w:hint="eastAsia" w:ascii="仿宋" w:hAnsi="仿宋" w:eastAsia="仿宋" w:cs="仿宋"/>
          <w:sz w:val="32"/>
          <w:szCs w:val="32"/>
          <w:lang w:val="en-US" w:eastAsia="zh-CN"/>
        </w:rPr>
        <w:t>20</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31</w:t>
      </w:r>
      <w:r>
        <w:rPr>
          <w:rFonts w:hint="eastAsia" w:ascii="仿宋" w:hAnsi="仿宋" w:eastAsia="仿宋" w:cs="仿宋"/>
          <w:sz w:val="32"/>
          <w:szCs w:val="32"/>
        </w:rPr>
        <w:t>日，根据全院毕业生上报的就业材料数据统计，毕业生毕业去向包括签就业形式就业、签劳动合同形式就业、其他录用形式就业、待就业、不就业拟升学、其他暂不就业、自主创业、升学及出国出境。</w:t>
      </w:r>
    </w:p>
    <w:p>
      <w:pPr>
        <w:jc w:val="both"/>
        <w:rPr>
          <w:rFonts w:hint="eastAsia" w:ascii="仿宋" w:hAnsi="仿宋" w:eastAsia="仿宋" w:cs="仿宋"/>
          <w:b/>
          <w:bCs/>
          <w:sz w:val="32"/>
          <w:szCs w:val="32"/>
        </w:rPr>
      </w:pPr>
      <w:bookmarkStart w:id="24" w:name="_Toc2048"/>
      <w:r>
        <w:rPr>
          <w:rFonts w:hint="eastAsia" w:ascii="仿宋" w:hAnsi="仿宋" w:eastAsia="仿宋" w:cs="仿宋"/>
          <w:b/>
          <w:bCs/>
          <w:sz w:val="32"/>
          <w:szCs w:val="32"/>
        </w:rPr>
        <w:t>1.毕业生总体的毕业流向</w:t>
      </w:r>
      <w:bookmarkEnd w:id="24"/>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按照就业类别将毕业生总体毕业流向划分升学、单位就业（签就业形式就业、签劳动合同形式就业、其他录用形式就业、国家/地方基层项目）、自主创业、应征义务兵。截止20</w:t>
      </w:r>
      <w:r>
        <w:rPr>
          <w:rFonts w:hint="eastAsia" w:ascii="仿宋" w:hAnsi="仿宋" w:eastAsia="仿宋" w:cs="仿宋"/>
          <w:sz w:val="32"/>
          <w:szCs w:val="32"/>
          <w:lang w:val="en-US" w:eastAsia="zh-CN"/>
        </w:rPr>
        <w:t>20</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31</w:t>
      </w:r>
      <w:r>
        <w:rPr>
          <w:rFonts w:hint="eastAsia" w:ascii="仿宋" w:hAnsi="仿宋" w:eastAsia="仿宋" w:cs="仿宋"/>
          <w:sz w:val="32"/>
          <w:szCs w:val="32"/>
        </w:rPr>
        <w:t>日，我院</w:t>
      </w:r>
      <w:r>
        <w:rPr>
          <w:rFonts w:hint="eastAsia" w:ascii="仿宋" w:hAnsi="仿宋" w:eastAsia="仿宋" w:cs="仿宋"/>
          <w:sz w:val="32"/>
          <w:szCs w:val="32"/>
          <w:lang w:val="en-US" w:eastAsia="zh-CN"/>
        </w:rPr>
        <w:t>803</w:t>
      </w:r>
      <w:r>
        <w:rPr>
          <w:rFonts w:hint="eastAsia" w:ascii="仿宋" w:hAnsi="仿宋" w:eastAsia="仿宋" w:cs="仿宋"/>
          <w:sz w:val="32"/>
          <w:szCs w:val="32"/>
        </w:rPr>
        <w:t>名毕业生中国内升学</w:t>
      </w:r>
      <w:r>
        <w:rPr>
          <w:rFonts w:hint="eastAsia" w:ascii="仿宋" w:hAnsi="仿宋" w:eastAsia="仿宋" w:cs="仿宋"/>
          <w:sz w:val="32"/>
          <w:szCs w:val="32"/>
          <w:lang w:val="en-US" w:eastAsia="zh-CN"/>
        </w:rPr>
        <w:t>63</w:t>
      </w:r>
      <w:r>
        <w:rPr>
          <w:rFonts w:hint="eastAsia" w:ascii="仿宋" w:hAnsi="仿宋" w:eastAsia="仿宋" w:cs="仿宋"/>
          <w:sz w:val="32"/>
          <w:szCs w:val="32"/>
        </w:rPr>
        <w:t>人（</w:t>
      </w:r>
      <w:r>
        <w:rPr>
          <w:rFonts w:hint="eastAsia" w:ascii="仿宋" w:hAnsi="仿宋" w:eastAsia="仿宋" w:cs="仿宋"/>
          <w:sz w:val="32"/>
          <w:szCs w:val="32"/>
          <w:lang w:val="en-US" w:eastAsia="zh-CN"/>
        </w:rPr>
        <w:t>7.85</w:t>
      </w:r>
      <w:r>
        <w:rPr>
          <w:rFonts w:hint="eastAsia" w:ascii="仿宋" w:hAnsi="仿宋" w:eastAsia="仿宋" w:cs="仿宋"/>
          <w:sz w:val="32"/>
          <w:szCs w:val="32"/>
        </w:rPr>
        <w:t>%）、待就业</w:t>
      </w:r>
      <w:r>
        <w:rPr>
          <w:rFonts w:hint="eastAsia" w:ascii="仿宋" w:hAnsi="仿宋" w:eastAsia="仿宋" w:cs="仿宋"/>
          <w:sz w:val="32"/>
          <w:szCs w:val="32"/>
          <w:lang w:val="en-US" w:eastAsia="zh-CN"/>
        </w:rPr>
        <w:t>201</w:t>
      </w:r>
      <w:r>
        <w:rPr>
          <w:rFonts w:hint="eastAsia" w:ascii="仿宋" w:hAnsi="仿宋" w:eastAsia="仿宋" w:cs="仿宋"/>
          <w:sz w:val="32"/>
          <w:szCs w:val="32"/>
        </w:rPr>
        <w:t>人（</w:t>
      </w:r>
      <w:r>
        <w:rPr>
          <w:rFonts w:hint="eastAsia" w:ascii="仿宋" w:hAnsi="仿宋" w:eastAsia="仿宋" w:cs="仿宋"/>
          <w:sz w:val="32"/>
          <w:szCs w:val="32"/>
          <w:lang w:val="en-US" w:eastAsia="zh-CN"/>
        </w:rPr>
        <w:t>25.03</w:t>
      </w:r>
      <w:r>
        <w:rPr>
          <w:rFonts w:hint="eastAsia" w:ascii="仿宋" w:hAnsi="仿宋" w:eastAsia="仿宋" w:cs="仿宋"/>
          <w:sz w:val="32"/>
          <w:szCs w:val="32"/>
        </w:rPr>
        <w:t>%）、其他录用形式就业</w:t>
      </w:r>
      <w:r>
        <w:rPr>
          <w:rFonts w:hint="eastAsia" w:ascii="仿宋" w:hAnsi="仿宋" w:eastAsia="仿宋" w:cs="仿宋"/>
          <w:sz w:val="32"/>
          <w:szCs w:val="32"/>
          <w:lang w:val="en-US" w:eastAsia="zh-CN"/>
        </w:rPr>
        <w:t>265</w:t>
      </w:r>
      <w:r>
        <w:rPr>
          <w:rFonts w:hint="eastAsia" w:ascii="仿宋" w:hAnsi="仿宋" w:eastAsia="仿宋" w:cs="仿宋"/>
          <w:sz w:val="32"/>
          <w:szCs w:val="32"/>
        </w:rPr>
        <w:t>人（3</w:t>
      </w:r>
      <w:r>
        <w:rPr>
          <w:rFonts w:hint="eastAsia" w:ascii="仿宋" w:hAnsi="仿宋" w:eastAsia="仿宋" w:cs="仿宋"/>
          <w:sz w:val="32"/>
          <w:szCs w:val="32"/>
          <w:lang w:val="en-US" w:eastAsia="zh-CN"/>
        </w:rPr>
        <w:t>3.00</w:t>
      </w:r>
      <w:r>
        <w:rPr>
          <w:rFonts w:hint="eastAsia" w:ascii="仿宋" w:hAnsi="仿宋" w:eastAsia="仿宋" w:cs="仿宋"/>
          <w:sz w:val="32"/>
          <w:szCs w:val="32"/>
        </w:rPr>
        <w:t>%）、签就业协议形式就业</w:t>
      </w:r>
      <w:r>
        <w:rPr>
          <w:rFonts w:hint="eastAsia" w:ascii="仿宋" w:hAnsi="仿宋" w:eastAsia="仿宋" w:cs="仿宋"/>
          <w:sz w:val="32"/>
          <w:szCs w:val="32"/>
          <w:lang w:val="en-US" w:eastAsia="zh-CN"/>
        </w:rPr>
        <w:t>228</w:t>
      </w:r>
      <w:r>
        <w:rPr>
          <w:rFonts w:hint="eastAsia" w:ascii="仿宋" w:hAnsi="仿宋" w:eastAsia="仿宋" w:cs="仿宋"/>
          <w:sz w:val="32"/>
          <w:szCs w:val="32"/>
        </w:rPr>
        <w:t>人（</w:t>
      </w:r>
      <w:r>
        <w:rPr>
          <w:rFonts w:hint="eastAsia" w:ascii="仿宋" w:hAnsi="仿宋" w:eastAsia="仿宋" w:cs="仿宋"/>
          <w:sz w:val="32"/>
          <w:szCs w:val="32"/>
          <w:lang w:val="en-US" w:eastAsia="zh-CN"/>
        </w:rPr>
        <w:t>28.39</w:t>
      </w:r>
      <w:r>
        <w:rPr>
          <w:rFonts w:hint="eastAsia" w:ascii="仿宋" w:hAnsi="仿宋" w:eastAsia="仿宋" w:cs="仿宋"/>
          <w:sz w:val="32"/>
          <w:szCs w:val="32"/>
        </w:rPr>
        <w:t>%）、签劳动协议形式就业45人（</w:t>
      </w:r>
      <w:r>
        <w:rPr>
          <w:rFonts w:hint="eastAsia" w:ascii="仿宋" w:hAnsi="仿宋" w:eastAsia="仿宋" w:cs="仿宋"/>
          <w:sz w:val="32"/>
          <w:szCs w:val="32"/>
          <w:lang w:val="en-US" w:eastAsia="zh-CN"/>
        </w:rPr>
        <w:t>5.60</w:t>
      </w:r>
      <w:r>
        <w:rPr>
          <w:rFonts w:hint="eastAsia" w:ascii="仿宋" w:hAnsi="仿宋" w:eastAsia="仿宋" w:cs="仿宋"/>
          <w:sz w:val="32"/>
          <w:szCs w:val="32"/>
        </w:rPr>
        <w:t>%），</w:t>
      </w:r>
      <w:r>
        <w:rPr>
          <w:rFonts w:hint="eastAsia" w:ascii="仿宋" w:hAnsi="仿宋" w:eastAsia="仿宋" w:cs="仿宋"/>
          <w:sz w:val="32"/>
          <w:szCs w:val="32"/>
          <w:lang w:val="en-US" w:eastAsia="zh-CN"/>
        </w:rPr>
        <w:t>应征义务兵1人（0.13%）</w:t>
      </w:r>
      <w:r>
        <w:rPr>
          <w:rFonts w:hint="eastAsia" w:ascii="仿宋" w:hAnsi="仿宋" w:eastAsia="仿宋" w:cs="仿宋"/>
          <w:sz w:val="32"/>
          <w:szCs w:val="32"/>
        </w:rPr>
        <w:t>如图1-5。</w:t>
      </w:r>
    </w:p>
    <w:p>
      <w:pPr>
        <w:spacing w:line="360" w:lineRule="auto"/>
        <w:jc w:val="both"/>
        <w:rPr>
          <w:rFonts w:ascii="宋体" w:hAnsi="宋体" w:cs="宋体"/>
          <w:b/>
          <w:bCs/>
          <w:szCs w:val="21"/>
        </w:rPr>
      </w:pPr>
    </w:p>
    <w:p>
      <w:pPr>
        <w:spacing w:line="360" w:lineRule="auto"/>
        <w:jc w:val="center"/>
        <w:rPr>
          <w:rFonts w:ascii="宋体" w:hAnsi="宋体" w:cs="宋体"/>
          <w:b/>
          <w:bCs/>
          <w:szCs w:val="21"/>
        </w:rPr>
      </w:pPr>
      <w:r>
        <w:drawing>
          <wp:inline distT="0" distB="0" distL="114300" distR="114300">
            <wp:extent cx="4572000" cy="2743200"/>
            <wp:effectExtent l="4445" t="4445" r="14605" b="52705"/>
            <wp:docPr id="5" name="图片 1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Bdr>
          <w:top w:val="none" w:color="auto" w:sz="0" w:space="1"/>
          <w:left w:val="none" w:color="auto" w:sz="0" w:space="4"/>
          <w:bottom w:val="none" w:color="auto" w:sz="0" w:space="1"/>
          <w:right w:val="none" w:color="auto" w:sz="0" w:space="4"/>
        </w:pBdr>
        <w:jc w:val="center"/>
        <w:rPr>
          <w:rFonts w:hint="eastAsia" w:ascii="宋体" w:hAnsi="宋体" w:cs="宋体"/>
          <w:b/>
          <w:bCs/>
          <w:szCs w:val="21"/>
        </w:rPr>
      </w:pPr>
      <w:r>
        <w:rPr>
          <w:rFonts w:hint="eastAsia" w:ascii="宋体" w:hAnsi="宋体" w:cs="宋体"/>
          <w:b/>
          <w:bCs/>
          <w:szCs w:val="21"/>
        </w:rPr>
        <w:t>图1-5 20</w:t>
      </w:r>
      <w:r>
        <w:rPr>
          <w:rFonts w:hint="eastAsia" w:ascii="宋体" w:hAnsi="宋体" w:cs="宋体"/>
          <w:b/>
          <w:bCs/>
          <w:szCs w:val="21"/>
          <w:lang w:val="en-US" w:eastAsia="zh-CN"/>
        </w:rPr>
        <w:t>20</w:t>
      </w:r>
      <w:r>
        <w:rPr>
          <w:rFonts w:hint="eastAsia" w:ascii="宋体" w:hAnsi="宋体" w:cs="宋体"/>
          <w:b/>
          <w:bCs/>
          <w:szCs w:val="21"/>
        </w:rPr>
        <w:t>届毕业生就业类别流向分布</w:t>
      </w:r>
    </w:p>
    <w:p>
      <w:pPr>
        <w:pBdr>
          <w:top w:val="none" w:color="auto" w:sz="0" w:space="1"/>
          <w:left w:val="none" w:color="auto" w:sz="0" w:space="4"/>
          <w:bottom w:val="none" w:color="auto" w:sz="0" w:space="1"/>
          <w:right w:val="none" w:color="auto" w:sz="0" w:space="4"/>
        </w:pBdr>
        <w:jc w:val="both"/>
        <w:rPr>
          <w:rFonts w:hint="eastAsia" w:ascii="宋体" w:hAnsi="宋体" w:cs="宋体"/>
          <w:b/>
          <w:bCs/>
          <w:szCs w:val="21"/>
        </w:rPr>
      </w:pPr>
    </w:p>
    <w:p>
      <w:pPr>
        <w:jc w:val="both"/>
        <w:rPr>
          <w:rFonts w:hint="eastAsia" w:ascii="仿宋" w:hAnsi="仿宋" w:eastAsia="仿宋" w:cs="仿宋"/>
          <w:b/>
          <w:bCs/>
          <w:sz w:val="32"/>
          <w:szCs w:val="32"/>
        </w:rPr>
      </w:pPr>
      <w:bookmarkStart w:id="25" w:name="_Toc5386"/>
      <w:r>
        <w:rPr>
          <w:rFonts w:hint="eastAsia" w:ascii="仿宋" w:hAnsi="仿宋" w:eastAsia="仿宋" w:cs="仿宋"/>
          <w:b/>
          <w:bCs/>
          <w:sz w:val="32"/>
          <w:szCs w:val="32"/>
        </w:rPr>
        <w:t>2.毕业生派遣就业情况</w:t>
      </w:r>
      <w:bookmarkEnd w:id="25"/>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届毕业生正式签订就业协议书和劳动合同的有</w:t>
      </w:r>
      <w:r>
        <w:rPr>
          <w:rFonts w:hint="eastAsia" w:ascii="仿宋" w:hAnsi="仿宋" w:eastAsia="仿宋" w:cs="仿宋"/>
          <w:sz w:val="32"/>
          <w:szCs w:val="32"/>
          <w:lang w:val="en-US" w:eastAsia="zh-CN"/>
        </w:rPr>
        <w:t>273</w:t>
      </w:r>
      <w:r>
        <w:rPr>
          <w:rFonts w:hint="eastAsia" w:ascii="仿宋" w:hAnsi="仿宋" w:eastAsia="仿宋" w:cs="仿宋"/>
          <w:sz w:val="32"/>
          <w:szCs w:val="32"/>
        </w:rPr>
        <w:t>人，占单位就业人数（</w:t>
      </w:r>
      <w:r>
        <w:rPr>
          <w:rFonts w:hint="eastAsia" w:ascii="仿宋" w:hAnsi="仿宋" w:eastAsia="仿宋" w:cs="仿宋"/>
          <w:sz w:val="32"/>
          <w:szCs w:val="32"/>
          <w:lang w:val="en-US" w:eastAsia="zh-CN"/>
        </w:rPr>
        <w:t>539</w:t>
      </w:r>
      <w:r>
        <w:rPr>
          <w:rFonts w:hint="eastAsia" w:ascii="仿宋" w:hAnsi="仿宋" w:eastAsia="仿宋" w:cs="仿宋"/>
          <w:sz w:val="32"/>
          <w:szCs w:val="32"/>
        </w:rPr>
        <w:t>人）的</w:t>
      </w:r>
      <w:r>
        <w:rPr>
          <w:rFonts w:hint="eastAsia" w:ascii="仿宋" w:hAnsi="仿宋" w:eastAsia="仿宋" w:cs="仿宋"/>
          <w:sz w:val="32"/>
          <w:szCs w:val="32"/>
          <w:lang w:val="en-US" w:eastAsia="zh-CN"/>
        </w:rPr>
        <w:t>50.65</w:t>
      </w:r>
      <w:r>
        <w:rPr>
          <w:rFonts w:hint="eastAsia" w:ascii="仿宋" w:hAnsi="仿宋" w:eastAsia="仿宋" w:cs="仿宋"/>
          <w:sz w:val="32"/>
          <w:szCs w:val="32"/>
        </w:rPr>
        <w:t>%，占总毕业生人数（8</w:t>
      </w:r>
      <w:r>
        <w:rPr>
          <w:rFonts w:hint="eastAsia" w:ascii="仿宋" w:hAnsi="仿宋" w:eastAsia="仿宋" w:cs="仿宋"/>
          <w:sz w:val="32"/>
          <w:szCs w:val="32"/>
          <w:lang w:val="en-US" w:eastAsia="zh-CN"/>
        </w:rPr>
        <w:t>03</w:t>
      </w:r>
      <w:r>
        <w:rPr>
          <w:rFonts w:hint="eastAsia" w:ascii="仿宋" w:hAnsi="仿宋" w:eastAsia="仿宋" w:cs="仿宋"/>
          <w:sz w:val="32"/>
          <w:szCs w:val="32"/>
        </w:rPr>
        <w:t>人）的</w:t>
      </w:r>
      <w:r>
        <w:rPr>
          <w:rFonts w:hint="eastAsia" w:ascii="仿宋" w:hAnsi="仿宋" w:eastAsia="仿宋" w:cs="仿宋"/>
          <w:sz w:val="32"/>
          <w:szCs w:val="32"/>
          <w:lang w:val="en-US" w:eastAsia="zh-CN"/>
        </w:rPr>
        <w:t>34.00</w:t>
      </w:r>
      <w:r>
        <w:rPr>
          <w:rFonts w:hint="eastAsia" w:ascii="仿宋" w:hAnsi="仿宋" w:eastAsia="仿宋" w:cs="仿宋"/>
          <w:sz w:val="32"/>
          <w:szCs w:val="32"/>
        </w:rPr>
        <w:t>%。</w:t>
      </w:r>
    </w:p>
    <w:p>
      <w:pPr>
        <w:jc w:val="both"/>
        <w:rPr>
          <w:rFonts w:hint="eastAsia" w:ascii="仿宋" w:hAnsi="仿宋" w:eastAsia="仿宋" w:cs="仿宋"/>
          <w:b/>
          <w:bCs/>
          <w:sz w:val="32"/>
          <w:szCs w:val="32"/>
        </w:rPr>
      </w:pPr>
      <w:bookmarkStart w:id="26" w:name="_Toc2753"/>
      <w:r>
        <w:rPr>
          <w:rFonts w:hint="eastAsia" w:ascii="仿宋" w:hAnsi="仿宋" w:eastAsia="仿宋" w:cs="仿宋"/>
          <w:b/>
          <w:bCs/>
          <w:sz w:val="32"/>
          <w:szCs w:val="32"/>
        </w:rPr>
        <w:t>3.毕业生升学情况</w:t>
      </w:r>
      <w:bookmarkEnd w:id="26"/>
      <w:r>
        <w:rPr>
          <w:rFonts w:hint="eastAsia" w:ascii="仿宋" w:hAnsi="仿宋" w:eastAsia="仿宋" w:cs="仿宋"/>
          <w:b/>
          <w:bCs/>
          <w:sz w:val="32"/>
          <w:szCs w:val="32"/>
        </w:rPr>
        <w:tab/>
      </w:r>
    </w:p>
    <w:p>
      <w:pPr>
        <w:ind w:firstLine="640" w:firstLineChars="200"/>
        <w:jc w:val="both"/>
        <w:rPr>
          <w:rFonts w:hint="eastAsia" w:ascii="宋体" w:hAnsi="宋体" w:eastAsia="仿宋" w:cs="宋体"/>
          <w:b/>
          <w:bCs/>
          <w:szCs w:val="21"/>
          <w:lang w:eastAsia="zh-CN"/>
        </w:rPr>
      </w:pPr>
      <w:r>
        <w:rPr>
          <w:rFonts w:hint="eastAsia" w:ascii="仿宋" w:hAnsi="仿宋" w:eastAsia="仿宋" w:cs="仿宋"/>
          <w:sz w:val="32"/>
          <w:szCs w:val="32"/>
        </w:rPr>
        <w:t>我院20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届毕业生中毕业去向为升学的有</w:t>
      </w:r>
      <w:r>
        <w:rPr>
          <w:rFonts w:hint="eastAsia" w:ascii="仿宋" w:hAnsi="仿宋" w:eastAsia="仿宋" w:cs="仿宋"/>
          <w:sz w:val="32"/>
          <w:szCs w:val="32"/>
          <w:lang w:val="en-US" w:eastAsia="zh-CN"/>
        </w:rPr>
        <w:t>63</w:t>
      </w:r>
      <w:r>
        <w:rPr>
          <w:rFonts w:hint="eastAsia" w:ascii="仿宋" w:hAnsi="仿宋" w:eastAsia="仿宋" w:cs="仿宋"/>
          <w:sz w:val="32"/>
          <w:szCs w:val="32"/>
        </w:rPr>
        <w:t>人，占我院20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届毕业生的总人数的</w:t>
      </w:r>
      <w:r>
        <w:rPr>
          <w:rFonts w:hint="eastAsia" w:ascii="仿宋" w:hAnsi="仿宋" w:eastAsia="仿宋" w:cs="仿宋"/>
          <w:sz w:val="32"/>
          <w:szCs w:val="32"/>
          <w:lang w:val="en-US" w:eastAsia="zh-CN"/>
        </w:rPr>
        <w:t>7.85</w:t>
      </w:r>
      <w:r>
        <w:rPr>
          <w:rFonts w:hint="eastAsia" w:ascii="仿宋" w:hAnsi="仿宋" w:eastAsia="仿宋" w:cs="仿宋"/>
          <w:sz w:val="32"/>
          <w:szCs w:val="32"/>
        </w:rPr>
        <w:t>%。中西医临床医学、中医学等临床专业因本科就业相对较难，考研人数相对较多，而药类相关专业、护理学等专业本科生就业相对乐观，考研人数较少，具体专业考研情况如图1-6。</w:t>
      </w:r>
    </w:p>
    <w:p>
      <w:pPr>
        <w:pBdr>
          <w:top w:val="none" w:color="auto" w:sz="0" w:space="1"/>
          <w:left w:val="none" w:color="auto" w:sz="0" w:space="4"/>
          <w:bottom w:val="none" w:color="auto" w:sz="0" w:space="1"/>
          <w:right w:val="none" w:color="auto" w:sz="0" w:space="4"/>
        </w:pBdr>
        <w:jc w:val="center"/>
        <w:rPr>
          <w:rFonts w:hint="eastAsia" w:ascii="宋体" w:hAnsi="宋体" w:cs="宋体"/>
          <w:b/>
          <w:bCs/>
          <w:szCs w:val="21"/>
        </w:rPr>
      </w:pPr>
      <w:r>
        <w:drawing>
          <wp:inline distT="0" distB="0" distL="114300" distR="114300">
            <wp:extent cx="5163185" cy="3014345"/>
            <wp:effectExtent l="4445" t="4445" r="13970" b="10160"/>
            <wp:docPr id="6" name="图片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pBdr>
          <w:top w:val="none" w:color="auto" w:sz="0" w:space="1"/>
          <w:left w:val="none" w:color="auto" w:sz="0" w:space="4"/>
          <w:bottom w:val="none" w:color="auto" w:sz="0" w:space="1"/>
          <w:right w:val="none" w:color="auto" w:sz="0" w:space="4"/>
        </w:pBdr>
        <w:jc w:val="center"/>
        <w:rPr>
          <w:rFonts w:hint="eastAsia" w:ascii="宋体" w:hAnsi="宋体" w:cs="宋体"/>
          <w:b/>
          <w:bCs/>
          <w:szCs w:val="21"/>
        </w:rPr>
      </w:pPr>
      <w:r>
        <w:rPr>
          <w:rFonts w:hint="eastAsia" w:ascii="宋体" w:hAnsi="宋体" w:cs="宋体"/>
          <w:b/>
          <w:bCs/>
          <w:szCs w:val="21"/>
        </w:rPr>
        <w:t>图1-6  20</w:t>
      </w:r>
      <w:r>
        <w:rPr>
          <w:rFonts w:hint="eastAsia" w:ascii="宋体" w:hAnsi="宋体" w:cs="宋体"/>
          <w:b/>
          <w:bCs/>
          <w:szCs w:val="21"/>
          <w:lang w:val="en-US" w:eastAsia="zh-CN"/>
        </w:rPr>
        <w:t>20</w:t>
      </w:r>
      <w:r>
        <w:rPr>
          <w:rFonts w:hint="eastAsia" w:ascii="宋体" w:hAnsi="宋体" w:cs="宋体"/>
          <w:b/>
          <w:bCs/>
          <w:szCs w:val="21"/>
        </w:rPr>
        <w:t>届毕业生专业考研情况</w:t>
      </w:r>
      <w:bookmarkStart w:id="27" w:name="_Toc13705"/>
      <w:bookmarkEnd w:id="27"/>
    </w:p>
    <w:p>
      <w:pPr>
        <w:numPr>
          <w:ilvl w:val="0"/>
          <w:numId w:val="0"/>
        </w:numPr>
        <w:jc w:val="both"/>
        <w:rPr>
          <w:rFonts w:hint="eastAsia" w:ascii="仿宋" w:hAnsi="仿宋" w:eastAsia="仿宋" w:cs="仿宋"/>
          <w:b/>
          <w:bCs/>
          <w:sz w:val="32"/>
          <w:szCs w:val="32"/>
        </w:rPr>
      </w:pPr>
      <w:bookmarkStart w:id="28" w:name="_Toc10774"/>
      <w:r>
        <w:rPr>
          <w:rFonts w:hint="eastAsia" w:ascii="仿宋" w:hAnsi="仿宋" w:eastAsia="仿宋" w:cs="仿宋"/>
          <w:b/>
          <w:bCs/>
          <w:sz w:val="32"/>
          <w:szCs w:val="32"/>
          <w:lang w:val="en-US" w:eastAsia="zh-CN"/>
        </w:rPr>
        <w:t>4.</w:t>
      </w:r>
      <w:r>
        <w:rPr>
          <w:rFonts w:hint="eastAsia" w:ascii="仿宋" w:hAnsi="仿宋" w:eastAsia="仿宋" w:cs="仿宋"/>
          <w:b/>
          <w:bCs/>
          <w:sz w:val="32"/>
          <w:szCs w:val="32"/>
        </w:rPr>
        <w:t>毕业生灵活就业情况</w:t>
      </w:r>
      <w:bookmarkEnd w:id="28"/>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灵活就业为已就业但未办理报到证到单位的就业情况</w:t>
      </w:r>
      <w:r>
        <w:rPr>
          <w:rFonts w:hint="eastAsia" w:ascii="仿宋" w:hAnsi="仿宋" w:eastAsia="仿宋" w:cs="仿宋"/>
          <w:sz w:val="32"/>
          <w:szCs w:val="32"/>
          <w:lang w:eastAsia="zh-CN"/>
        </w:rPr>
        <w:t>。</w:t>
      </w:r>
      <w:r>
        <w:rPr>
          <w:rFonts w:hint="eastAsia" w:ascii="仿宋" w:hAnsi="仿宋" w:eastAsia="仿宋" w:cs="仿宋"/>
          <w:sz w:val="32"/>
          <w:szCs w:val="32"/>
        </w:rPr>
        <w:t>我院20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届毕业生灵活就业为</w:t>
      </w:r>
      <w:r>
        <w:rPr>
          <w:rFonts w:hint="eastAsia" w:ascii="仿宋" w:hAnsi="仿宋" w:eastAsia="仿宋" w:cs="仿宋"/>
          <w:sz w:val="32"/>
          <w:szCs w:val="32"/>
          <w:lang w:val="en-US" w:eastAsia="zh-CN"/>
        </w:rPr>
        <w:t>452</w:t>
      </w:r>
      <w:r>
        <w:rPr>
          <w:rFonts w:hint="eastAsia" w:ascii="仿宋" w:hAnsi="仿宋" w:eastAsia="仿宋" w:cs="仿宋"/>
          <w:sz w:val="32"/>
          <w:szCs w:val="32"/>
        </w:rPr>
        <w:t>人，占毕业生总数的</w:t>
      </w:r>
      <w:r>
        <w:rPr>
          <w:rFonts w:hint="eastAsia" w:ascii="仿宋" w:hAnsi="仿宋" w:eastAsia="仿宋" w:cs="仿宋"/>
          <w:sz w:val="32"/>
          <w:szCs w:val="32"/>
          <w:lang w:val="en-US" w:eastAsia="zh-CN"/>
        </w:rPr>
        <w:t>56.29</w:t>
      </w:r>
      <w:r>
        <w:rPr>
          <w:rFonts w:hint="eastAsia" w:ascii="仿宋" w:hAnsi="仿宋" w:eastAsia="仿宋" w:cs="仿宋"/>
          <w:sz w:val="32"/>
          <w:szCs w:val="32"/>
        </w:rPr>
        <w:t>%。其中正式签订就业协议书和劳动合同的灵活就业人数为</w:t>
      </w:r>
      <w:r>
        <w:rPr>
          <w:rFonts w:hint="eastAsia" w:ascii="仿宋" w:hAnsi="仿宋" w:eastAsia="仿宋" w:cs="仿宋"/>
          <w:sz w:val="32"/>
          <w:szCs w:val="32"/>
          <w:lang w:val="en-US" w:eastAsia="zh-CN"/>
        </w:rPr>
        <w:t>273</w:t>
      </w:r>
      <w:r>
        <w:rPr>
          <w:rFonts w:hint="eastAsia" w:ascii="仿宋" w:hAnsi="仿宋" w:eastAsia="仿宋" w:cs="仿宋"/>
          <w:sz w:val="32"/>
          <w:szCs w:val="32"/>
        </w:rPr>
        <w:t>人，占灵活就业人数的6</w:t>
      </w:r>
      <w:r>
        <w:rPr>
          <w:rFonts w:hint="eastAsia" w:ascii="仿宋" w:hAnsi="仿宋" w:eastAsia="仿宋" w:cs="仿宋"/>
          <w:sz w:val="32"/>
          <w:szCs w:val="32"/>
          <w:lang w:val="en-US" w:eastAsia="zh-CN"/>
        </w:rPr>
        <w:t>0.40</w:t>
      </w:r>
      <w:r>
        <w:rPr>
          <w:rFonts w:hint="eastAsia" w:ascii="仿宋" w:hAnsi="仿宋" w:eastAsia="仿宋" w:cs="仿宋"/>
          <w:sz w:val="32"/>
          <w:szCs w:val="32"/>
        </w:rPr>
        <w:t>%，其他形式就业（主要是用人单位开具相关就业证明）</w:t>
      </w:r>
      <w:r>
        <w:rPr>
          <w:rFonts w:hint="eastAsia" w:ascii="仿宋" w:hAnsi="仿宋" w:eastAsia="仿宋" w:cs="仿宋"/>
          <w:sz w:val="32"/>
          <w:szCs w:val="32"/>
          <w:lang w:val="en-US" w:eastAsia="zh-CN"/>
        </w:rPr>
        <w:t>265</w:t>
      </w:r>
      <w:r>
        <w:rPr>
          <w:rFonts w:hint="eastAsia" w:ascii="仿宋" w:hAnsi="仿宋" w:eastAsia="仿宋" w:cs="仿宋"/>
          <w:sz w:val="32"/>
          <w:szCs w:val="32"/>
        </w:rPr>
        <w:t>人，占灵活就业人数的5</w:t>
      </w:r>
      <w:r>
        <w:rPr>
          <w:rFonts w:hint="eastAsia" w:ascii="仿宋" w:hAnsi="仿宋" w:eastAsia="仿宋" w:cs="仿宋"/>
          <w:sz w:val="32"/>
          <w:szCs w:val="32"/>
          <w:lang w:val="en-US" w:eastAsia="zh-CN"/>
        </w:rPr>
        <w:t>8.63</w:t>
      </w:r>
      <w:r>
        <w:rPr>
          <w:rFonts w:hint="eastAsia" w:ascii="仿宋" w:hAnsi="仿宋" w:eastAsia="仿宋" w:cs="仿宋"/>
          <w:sz w:val="32"/>
          <w:szCs w:val="32"/>
        </w:rPr>
        <w:t>%。</w:t>
      </w:r>
    </w:p>
    <w:p>
      <w:pPr>
        <w:numPr>
          <w:ilvl w:val="0"/>
          <w:numId w:val="1"/>
        </w:numPr>
        <w:jc w:val="both"/>
        <w:rPr>
          <w:rFonts w:hint="eastAsia" w:ascii="仿宋" w:hAnsi="仿宋" w:eastAsia="仿宋" w:cs="仿宋"/>
          <w:b/>
          <w:bCs/>
          <w:sz w:val="32"/>
          <w:szCs w:val="32"/>
        </w:rPr>
      </w:pPr>
      <w:bookmarkStart w:id="29" w:name="_Toc25522"/>
      <w:r>
        <w:rPr>
          <w:rFonts w:hint="eastAsia" w:ascii="仿宋" w:hAnsi="仿宋" w:eastAsia="仿宋" w:cs="仿宋"/>
          <w:b/>
          <w:bCs/>
          <w:sz w:val="32"/>
          <w:szCs w:val="32"/>
        </w:rPr>
        <w:t>毕业生未就业情况</w:t>
      </w:r>
      <w:bookmarkEnd w:id="29"/>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未就业包括“不就业拟升学”、“其他暂不就业”、“待就业”三种毕业去向，截止到20</w:t>
      </w:r>
      <w:r>
        <w:rPr>
          <w:rFonts w:hint="eastAsia" w:ascii="仿宋" w:hAnsi="仿宋" w:eastAsia="仿宋" w:cs="仿宋"/>
          <w:sz w:val="32"/>
          <w:szCs w:val="32"/>
          <w:lang w:val="en-US" w:eastAsia="zh-CN"/>
        </w:rPr>
        <w:t>20</w:t>
      </w:r>
      <w:r>
        <w:rPr>
          <w:rFonts w:hint="eastAsia" w:ascii="仿宋" w:hAnsi="仿宋" w:eastAsia="仿宋" w:cs="仿宋"/>
          <w:sz w:val="32"/>
          <w:szCs w:val="32"/>
        </w:rPr>
        <w:t>年</w:t>
      </w:r>
      <w:r>
        <w:rPr>
          <w:rFonts w:hint="eastAsia" w:ascii="仿宋" w:hAnsi="仿宋" w:eastAsia="仿宋" w:cs="仿宋"/>
          <w:sz w:val="32"/>
          <w:szCs w:val="32"/>
          <w:lang w:val="en-US" w:eastAsia="zh-CN"/>
        </w:rPr>
        <w:t>8</w:t>
      </w:r>
      <w:r>
        <w:rPr>
          <w:rFonts w:hint="eastAsia" w:ascii="仿宋" w:hAnsi="仿宋" w:eastAsia="仿宋" w:cs="仿宋"/>
          <w:sz w:val="32"/>
          <w:szCs w:val="32"/>
        </w:rPr>
        <w:t>月</w:t>
      </w:r>
      <w:r>
        <w:rPr>
          <w:rFonts w:hint="eastAsia" w:ascii="仿宋" w:hAnsi="仿宋" w:eastAsia="仿宋" w:cs="仿宋"/>
          <w:sz w:val="32"/>
          <w:szCs w:val="32"/>
          <w:lang w:val="en-US" w:eastAsia="zh-CN"/>
        </w:rPr>
        <w:t>31</w:t>
      </w:r>
      <w:r>
        <w:rPr>
          <w:rFonts w:hint="eastAsia" w:ascii="仿宋" w:hAnsi="仿宋" w:eastAsia="仿宋" w:cs="仿宋"/>
          <w:sz w:val="32"/>
          <w:szCs w:val="32"/>
        </w:rPr>
        <w:t>日，我院20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届毕业生中未就业人数共计</w:t>
      </w:r>
      <w:r>
        <w:rPr>
          <w:rFonts w:hint="eastAsia" w:ascii="仿宋" w:hAnsi="仿宋" w:eastAsia="仿宋" w:cs="仿宋"/>
          <w:sz w:val="32"/>
          <w:szCs w:val="32"/>
          <w:lang w:val="en-US" w:eastAsia="zh-CN"/>
        </w:rPr>
        <w:t>264</w:t>
      </w:r>
      <w:r>
        <w:rPr>
          <w:rFonts w:hint="eastAsia" w:ascii="仿宋" w:hAnsi="仿宋" w:eastAsia="仿宋" w:cs="仿宋"/>
          <w:sz w:val="32"/>
          <w:szCs w:val="32"/>
        </w:rPr>
        <w:t>人，占毕业生比例</w:t>
      </w:r>
      <w:r>
        <w:rPr>
          <w:rFonts w:hint="eastAsia" w:ascii="仿宋" w:hAnsi="仿宋" w:eastAsia="仿宋" w:cs="仿宋"/>
          <w:sz w:val="32"/>
          <w:szCs w:val="32"/>
          <w:lang w:val="en-US" w:eastAsia="zh-CN"/>
        </w:rPr>
        <w:t>32.88</w:t>
      </w:r>
      <w:r>
        <w:rPr>
          <w:rFonts w:hint="eastAsia" w:ascii="仿宋" w:hAnsi="仿宋" w:eastAsia="仿宋" w:cs="仿宋"/>
          <w:sz w:val="32"/>
          <w:szCs w:val="32"/>
        </w:rPr>
        <w:t>%。</w:t>
      </w:r>
    </w:p>
    <w:p>
      <w:pPr>
        <w:jc w:val="both"/>
        <w:rPr>
          <w:rFonts w:hint="eastAsia" w:ascii="仿宋" w:hAnsi="仿宋" w:eastAsia="仿宋" w:cs="仿宋"/>
          <w:b/>
          <w:bCs/>
          <w:sz w:val="32"/>
          <w:szCs w:val="32"/>
        </w:rPr>
      </w:pPr>
      <w:bookmarkStart w:id="30" w:name="_Toc20295"/>
      <w:r>
        <w:rPr>
          <w:rFonts w:hint="eastAsia" w:ascii="仿宋" w:hAnsi="仿宋" w:eastAsia="仿宋" w:cs="仿宋"/>
          <w:b/>
          <w:bCs/>
          <w:sz w:val="32"/>
          <w:szCs w:val="32"/>
        </w:rPr>
        <w:t>（二）不同特征群体毕业生毕业流向分析</w:t>
      </w:r>
      <w:bookmarkEnd w:id="30"/>
    </w:p>
    <w:p>
      <w:pPr>
        <w:jc w:val="both"/>
        <w:rPr>
          <w:rFonts w:hint="eastAsia" w:ascii="仿宋" w:hAnsi="仿宋" w:eastAsia="仿宋" w:cs="仿宋"/>
          <w:b/>
          <w:bCs/>
          <w:sz w:val="32"/>
          <w:szCs w:val="32"/>
        </w:rPr>
      </w:pPr>
      <w:bookmarkStart w:id="31" w:name="_Toc6494"/>
      <w:r>
        <w:rPr>
          <w:rFonts w:hint="eastAsia" w:ascii="仿宋" w:hAnsi="仿宋" w:eastAsia="仿宋" w:cs="仿宋"/>
          <w:b/>
          <w:bCs/>
          <w:sz w:val="32"/>
          <w:szCs w:val="32"/>
        </w:rPr>
        <w:t>1.男/女毕业生的毕业流向分析</w:t>
      </w:r>
      <w:bookmarkEnd w:id="31"/>
    </w:p>
    <w:p>
      <w:pPr>
        <w:ind w:firstLine="640" w:firstLineChars="200"/>
        <w:jc w:val="both"/>
        <w:rPr>
          <w:rFonts w:hint="eastAsia" w:ascii="仿宋" w:hAnsi="仿宋" w:eastAsia="仿宋" w:cs="仿宋"/>
          <w:sz w:val="32"/>
          <w:szCs w:val="32"/>
          <w:lang w:eastAsia="zh-CN"/>
        </w:rPr>
      </w:pPr>
      <w:r>
        <w:rPr>
          <w:rFonts w:hint="eastAsia" w:ascii="仿宋" w:hAnsi="仿宋" w:eastAsia="仿宋" w:cs="仿宋"/>
          <w:sz w:val="32"/>
          <w:szCs w:val="32"/>
        </w:rPr>
        <w:t>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w:t>
      </w:r>
      <w:r>
        <w:rPr>
          <w:rFonts w:hint="eastAsia" w:ascii="仿宋" w:hAnsi="仿宋" w:eastAsia="仿宋" w:cs="仿宋"/>
          <w:sz w:val="32"/>
          <w:szCs w:val="32"/>
          <w:lang w:val="en-US" w:eastAsia="zh-CN"/>
        </w:rPr>
        <w:t>803人</w:t>
      </w:r>
      <w:r>
        <w:rPr>
          <w:rFonts w:hint="eastAsia" w:ascii="仿宋" w:hAnsi="仿宋" w:eastAsia="仿宋" w:cs="仿宋"/>
          <w:sz w:val="32"/>
          <w:szCs w:val="32"/>
        </w:rPr>
        <w:t>中，男生</w:t>
      </w:r>
      <w:r>
        <w:rPr>
          <w:rFonts w:hint="eastAsia" w:ascii="仿宋" w:hAnsi="仿宋" w:eastAsia="仿宋" w:cs="仿宋"/>
          <w:sz w:val="32"/>
          <w:szCs w:val="32"/>
          <w:lang w:val="en-US" w:eastAsia="zh-CN"/>
        </w:rPr>
        <w:t>247</w:t>
      </w:r>
      <w:r>
        <w:rPr>
          <w:rFonts w:hint="eastAsia" w:ascii="仿宋" w:hAnsi="仿宋" w:eastAsia="仿宋" w:cs="仿宋"/>
          <w:sz w:val="32"/>
          <w:szCs w:val="32"/>
        </w:rPr>
        <w:t>人，女生</w:t>
      </w:r>
      <w:r>
        <w:rPr>
          <w:rFonts w:hint="eastAsia" w:ascii="仿宋" w:hAnsi="仿宋" w:eastAsia="仿宋" w:cs="仿宋"/>
          <w:sz w:val="32"/>
          <w:szCs w:val="32"/>
          <w:lang w:val="en-US" w:eastAsia="zh-CN"/>
        </w:rPr>
        <w:t>556</w:t>
      </w:r>
      <w:r>
        <w:rPr>
          <w:rFonts w:hint="eastAsia" w:ascii="仿宋" w:hAnsi="仿宋" w:eastAsia="仿宋" w:cs="仿宋"/>
          <w:sz w:val="32"/>
          <w:szCs w:val="32"/>
        </w:rPr>
        <w:t>人</w:t>
      </w:r>
      <w:r>
        <w:rPr>
          <w:rFonts w:hint="eastAsia" w:ascii="仿宋" w:hAnsi="仿宋" w:eastAsia="仿宋" w:cs="仿宋"/>
          <w:sz w:val="32"/>
          <w:szCs w:val="32"/>
          <w:lang w:eastAsia="zh-CN"/>
        </w:rPr>
        <w:t>，</w:t>
      </w:r>
      <w:r>
        <w:rPr>
          <w:rFonts w:hint="eastAsia" w:ascii="仿宋" w:hAnsi="仿宋" w:eastAsia="仿宋" w:cs="仿宋"/>
          <w:sz w:val="32"/>
          <w:szCs w:val="32"/>
        </w:rPr>
        <w:t>毕业生男女性别比为1:2.</w:t>
      </w:r>
      <w:r>
        <w:rPr>
          <w:rFonts w:hint="eastAsia" w:ascii="仿宋" w:hAnsi="仿宋" w:eastAsia="仿宋" w:cs="仿宋"/>
          <w:sz w:val="32"/>
          <w:szCs w:val="32"/>
          <w:lang w:val="en-US" w:eastAsia="zh-CN"/>
        </w:rPr>
        <w:t>25，</w:t>
      </w:r>
      <w:r>
        <w:rPr>
          <w:rFonts w:hint="eastAsia" w:ascii="仿宋" w:hAnsi="仿宋" w:eastAsia="仿宋" w:cs="仿宋"/>
          <w:sz w:val="32"/>
          <w:szCs w:val="32"/>
        </w:rPr>
        <w:t>女生的单位就业、待就业、升学比例</w:t>
      </w:r>
      <w:r>
        <w:rPr>
          <w:rFonts w:hint="eastAsia" w:ascii="仿宋" w:hAnsi="仿宋" w:eastAsia="仿宋" w:cs="仿宋"/>
          <w:sz w:val="32"/>
          <w:szCs w:val="32"/>
          <w:lang w:val="en-US" w:eastAsia="zh-CN"/>
        </w:rPr>
        <w:t>略</w:t>
      </w:r>
      <w:r>
        <w:rPr>
          <w:rFonts w:hint="eastAsia" w:ascii="仿宋" w:hAnsi="仿宋" w:eastAsia="仿宋" w:cs="仿宋"/>
          <w:sz w:val="32"/>
          <w:szCs w:val="32"/>
        </w:rPr>
        <w:t>都高于男生</w:t>
      </w:r>
      <w:r>
        <w:rPr>
          <w:rFonts w:hint="eastAsia" w:ascii="仿宋" w:hAnsi="仿宋" w:eastAsia="仿宋" w:cs="仿宋"/>
          <w:sz w:val="32"/>
          <w:szCs w:val="32"/>
          <w:lang w:eastAsia="zh-CN"/>
        </w:rPr>
        <w:t>。</w:t>
      </w:r>
    </w:p>
    <w:p>
      <w:pPr>
        <w:jc w:val="center"/>
        <w:rPr>
          <w:rFonts w:hint="eastAsia" w:ascii="仿宋" w:hAnsi="仿宋" w:eastAsia="仿宋" w:cs="仿宋"/>
          <w:sz w:val="32"/>
          <w:szCs w:val="32"/>
        </w:rPr>
      </w:pPr>
      <w:r>
        <w:drawing>
          <wp:inline distT="0" distB="0" distL="114300" distR="114300">
            <wp:extent cx="5205095" cy="2680970"/>
            <wp:effectExtent l="4445" t="4445" r="10160" b="57785"/>
            <wp:docPr id="7" name="图片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pBdr>
          <w:top w:val="none" w:color="auto" w:sz="0" w:space="1"/>
          <w:left w:val="none" w:color="auto" w:sz="0" w:space="4"/>
          <w:bottom w:val="none" w:color="auto" w:sz="0" w:space="1"/>
          <w:right w:val="none" w:color="auto" w:sz="0" w:space="4"/>
        </w:pBdr>
        <w:spacing w:before="156" w:beforeLines="50" w:after="156" w:afterLines="50" w:line="360" w:lineRule="auto"/>
        <w:ind w:firstLine="422" w:firstLineChars="200"/>
        <w:jc w:val="center"/>
        <w:rPr>
          <w:rFonts w:hint="eastAsia" w:ascii="宋体" w:hAnsi="宋体" w:cs="宋体"/>
          <w:b/>
          <w:bCs/>
          <w:szCs w:val="21"/>
        </w:rPr>
      </w:pPr>
      <w:r>
        <w:rPr>
          <w:rFonts w:hint="eastAsia" w:ascii="宋体" w:hAnsi="宋体" w:cs="宋体"/>
          <w:b/>
          <w:bCs/>
          <w:szCs w:val="21"/>
        </w:rPr>
        <w:t>图1-7  20</w:t>
      </w:r>
      <w:r>
        <w:rPr>
          <w:rFonts w:hint="eastAsia" w:ascii="宋体" w:hAnsi="宋体" w:cs="宋体"/>
          <w:b/>
          <w:bCs/>
          <w:szCs w:val="21"/>
          <w:lang w:val="en-US" w:eastAsia="zh-CN"/>
        </w:rPr>
        <w:t>20</w:t>
      </w:r>
      <w:r>
        <w:rPr>
          <w:rFonts w:hint="eastAsia" w:ascii="宋体" w:hAnsi="宋体" w:cs="宋体"/>
          <w:b/>
          <w:bCs/>
          <w:szCs w:val="21"/>
        </w:rPr>
        <w:t>届不同性别毕业生的毕业流向</w:t>
      </w:r>
    </w:p>
    <w:p>
      <w:pPr>
        <w:jc w:val="both"/>
        <w:rPr>
          <w:rFonts w:hint="eastAsia" w:ascii="仿宋" w:hAnsi="仿宋" w:eastAsia="仿宋" w:cs="仿宋"/>
          <w:b/>
          <w:bCs/>
          <w:sz w:val="32"/>
          <w:szCs w:val="32"/>
        </w:rPr>
      </w:pPr>
      <w:bookmarkStart w:id="32" w:name="_Toc22590"/>
      <w:r>
        <w:rPr>
          <w:rFonts w:hint="eastAsia" w:ascii="仿宋" w:hAnsi="仿宋" w:eastAsia="仿宋" w:cs="仿宋"/>
          <w:b/>
          <w:bCs/>
          <w:sz w:val="32"/>
          <w:szCs w:val="32"/>
        </w:rPr>
        <w:t>2.本/外地生源毕业生的毕业流向分析</w:t>
      </w:r>
      <w:bookmarkEnd w:id="32"/>
    </w:p>
    <w:p>
      <w:pPr>
        <w:ind w:firstLine="640" w:firstLineChars="200"/>
        <w:jc w:val="both"/>
        <w:rPr>
          <w:rFonts w:hint="eastAsia" w:ascii="宋体" w:hAnsi="宋体" w:cs="宋体"/>
          <w:b/>
          <w:bCs/>
          <w:szCs w:val="21"/>
        </w:rPr>
      </w:pPr>
      <w:r>
        <w:rPr>
          <w:rFonts w:hint="eastAsia" w:ascii="仿宋" w:hAnsi="仿宋" w:eastAsia="仿宋" w:cs="仿宋"/>
          <w:sz w:val="32"/>
          <w:szCs w:val="32"/>
        </w:rPr>
        <w:t>2019届毕业生升学总人数为</w:t>
      </w:r>
      <w:r>
        <w:rPr>
          <w:rFonts w:hint="eastAsia" w:ascii="仿宋" w:hAnsi="仿宋" w:eastAsia="仿宋" w:cs="仿宋"/>
          <w:sz w:val="32"/>
          <w:szCs w:val="32"/>
          <w:lang w:val="en-US" w:eastAsia="zh-CN"/>
        </w:rPr>
        <w:t>63</w:t>
      </w:r>
      <w:r>
        <w:rPr>
          <w:rFonts w:hint="eastAsia" w:ascii="仿宋" w:hAnsi="仿宋" w:eastAsia="仿宋" w:cs="仿宋"/>
          <w:sz w:val="32"/>
          <w:szCs w:val="32"/>
        </w:rPr>
        <w:t>人（湖南省内生源3</w:t>
      </w:r>
      <w:r>
        <w:rPr>
          <w:rFonts w:hint="eastAsia" w:ascii="仿宋" w:hAnsi="仿宋" w:eastAsia="仿宋" w:cs="仿宋"/>
          <w:sz w:val="32"/>
          <w:szCs w:val="32"/>
          <w:lang w:val="en-US" w:eastAsia="zh-CN"/>
        </w:rPr>
        <w:t>5</w:t>
      </w:r>
      <w:r>
        <w:rPr>
          <w:rFonts w:hint="eastAsia" w:ascii="仿宋" w:hAnsi="仿宋" w:eastAsia="仿宋" w:cs="仿宋"/>
          <w:sz w:val="32"/>
          <w:szCs w:val="32"/>
        </w:rPr>
        <w:t>人，省外生源</w:t>
      </w:r>
      <w:r>
        <w:rPr>
          <w:rFonts w:hint="eastAsia" w:ascii="仿宋" w:hAnsi="仿宋" w:eastAsia="仿宋" w:cs="仿宋"/>
          <w:sz w:val="32"/>
          <w:szCs w:val="32"/>
          <w:lang w:val="en-US" w:eastAsia="zh-CN"/>
        </w:rPr>
        <w:t>28</w:t>
      </w:r>
      <w:r>
        <w:rPr>
          <w:rFonts w:hint="eastAsia" w:ascii="仿宋" w:hAnsi="仿宋" w:eastAsia="仿宋" w:cs="仿宋"/>
          <w:sz w:val="32"/>
          <w:szCs w:val="32"/>
        </w:rPr>
        <w:t>人）。其中，湖南省内生源毕业生就业人数为7</w:t>
      </w:r>
      <w:r>
        <w:rPr>
          <w:rFonts w:hint="eastAsia" w:ascii="仿宋" w:hAnsi="仿宋" w:eastAsia="仿宋" w:cs="仿宋"/>
          <w:sz w:val="32"/>
          <w:szCs w:val="32"/>
          <w:lang w:val="en-US" w:eastAsia="zh-CN"/>
        </w:rPr>
        <w:t>13</w:t>
      </w:r>
      <w:r>
        <w:rPr>
          <w:rFonts w:hint="eastAsia" w:ascii="仿宋" w:hAnsi="仿宋" w:eastAsia="仿宋" w:cs="仿宋"/>
          <w:sz w:val="32"/>
          <w:szCs w:val="32"/>
        </w:rPr>
        <w:t>人，升学率为4.</w:t>
      </w:r>
      <w:r>
        <w:rPr>
          <w:rFonts w:hint="eastAsia" w:ascii="仿宋" w:hAnsi="仿宋" w:eastAsia="仿宋" w:cs="仿宋"/>
          <w:sz w:val="32"/>
          <w:szCs w:val="32"/>
          <w:lang w:val="en-US" w:eastAsia="zh-CN"/>
        </w:rPr>
        <w:t>91</w:t>
      </w:r>
      <w:r>
        <w:rPr>
          <w:rFonts w:hint="eastAsia" w:ascii="仿宋" w:hAnsi="仿宋" w:eastAsia="仿宋" w:cs="仿宋"/>
          <w:sz w:val="32"/>
          <w:szCs w:val="32"/>
        </w:rPr>
        <w:t>%；湖南省外生源毕业生就业人数为</w:t>
      </w:r>
      <w:r>
        <w:rPr>
          <w:rFonts w:hint="eastAsia" w:ascii="仿宋" w:hAnsi="仿宋" w:eastAsia="仿宋" w:cs="仿宋"/>
          <w:sz w:val="32"/>
          <w:szCs w:val="32"/>
          <w:lang w:val="en-US" w:eastAsia="zh-CN"/>
        </w:rPr>
        <w:t>90</w:t>
      </w:r>
      <w:r>
        <w:rPr>
          <w:rFonts w:hint="eastAsia" w:ascii="仿宋" w:hAnsi="仿宋" w:eastAsia="仿宋" w:cs="仿宋"/>
          <w:sz w:val="32"/>
          <w:szCs w:val="32"/>
        </w:rPr>
        <w:t>人，升学率为</w:t>
      </w:r>
      <w:r>
        <w:rPr>
          <w:rFonts w:hint="eastAsia" w:ascii="仿宋" w:hAnsi="仿宋" w:eastAsia="仿宋" w:cs="仿宋"/>
          <w:sz w:val="32"/>
          <w:szCs w:val="32"/>
          <w:lang w:val="en-US" w:eastAsia="zh-CN"/>
        </w:rPr>
        <w:t>31.11</w:t>
      </w:r>
      <w:r>
        <w:rPr>
          <w:rFonts w:hint="eastAsia" w:ascii="仿宋" w:hAnsi="仿宋" w:eastAsia="仿宋" w:cs="仿宋"/>
          <w:sz w:val="32"/>
          <w:szCs w:val="32"/>
        </w:rPr>
        <w:t>%。</w:t>
      </w:r>
    </w:p>
    <w:p>
      <w:pPr>
        <w:pBdr>
          <w:top w:val="none" w:color="auto" w:sz="0" w:space="1"/>
          <w:left w:val="none" w:color="auto" w:sz="0" w:space="4"/>
          <w:bottom w:val="none" w:color="auto" w:sz="0" w:space="1"/>
          <w:right w:val="none" w:color="auto" w:sz="0" w:space="4"/>
        </w:pBdr>
        <w:spacing w:before="156" w:beforeLines="50" w:after="156" w:afterLines="50" w:line="360" w:lineRule="auto"/>
        <w:jc w:val="center"/>
      </w:pPr>
      <w:r>
        <w:drawing>
          <wp:inline distT="0" distB="0" distL="114300" distR="114300">
            <wp:extent cx="4659630" cy="2893695"/>
            <wp:effectExtent l="4445" t="4445" r="22225" b="16510"/>
            <wp:docPr id="8" name="图片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Bdr>
          <w:top w:val="none" w:color="auto" w:sz="0" w:space="1"/>
          <w:left w:val="none" w:color="auto" w:sz="0" w:space="4"/>
          <w:bottom w:val="none" w:color="auto" w:sz="0" w:space="1"/>
          <w:right w:val="none" w:color="auto" w:sz="0" w:space="4"/>
        </w:pBdr>
        <w:spacing w:before="156" w:beforeLines="50" w:after="156" w:afterLines="50" w:line="360" w:lineRule="auto"/>
        <w:jc w:val="center"/>
        <w:rPr>
          <w:rFonts w:hint="eastAsia" w:ascii="宋体" w:hAnsi="宋体" w:cs="宋体"/>
          <w:b/>
          <w:bCs/>
          <w:szCs w:val="21"/>
        </w:rPr>
      </w:pPr>
      <w:r>
        <w:rPr>
          <w:rFonts w:hint="eastAsia" w:ascii="宋体" w:hAnsi="宋体" w:cs="宋体"/>
          <w:b/>
          <w:bCs/>
          <w:szCs w:val="21"/>
        </w:rPr>
        <w:t>图1-8  20</w:t>
      </w:r>
      <w:r>
        <w:rPr>
          <w:rFonts w:hint="eastAsia" w:ascii="宋体" w:hAnsi="宋体" w:cs="宋体"/>
          <w:b/>
          <w:bCs/>
          <w:szCs w:val="21"/>
          <w:lang w:val="en-US" w:eastAsia="zh-CN"/>
        </w:rPr>
        <w:t>20</w:t>
      </w:r>
      <w:r>
        <w:rPr>
          <w:rFonts w:hint="eastAsia" w:ascii="宋体" w:hAnsi="宋体" w:cs="宋体"/>
          <w:b/>
          <w:bCs/>
          <w:szCs w:val="21"/>
        </w:rPr>
        <w:t>届本/外地生源毕业生的毕业流向</w:t>
      </w:r>
      <w:bookmarkStart w:id="33" w:name="_Toc8951"/>
    </w:p>
    <w:p>
      <w:pPr>
        <w:jc w:val="both"/>
        <w:rPr>
          <w:rFonts w:hint="eastAsia" w:ascii="仿宋" w:hAnsi="仿宋" w:eastAsia="仿宋" w:cs="仿宋"/>
          <w:b/>
          <w:bCs/>
          <w:sz w:val="32"/>
          <w:szCs w:val="32"/>
        </w:rPr>
      </w:pPr>
      <w:r>
        <w:rPr>
          <w:rFonts w:hint="eastAsia" w:ascii="仿宋" w:hAnsi="仿宋" w:eastAsia="仿宋" w:cs="仿宋"/>
          <w:b/>
          <w:bCs/>
          <w:sz w:val="32"/>
          <w:szCs w:val="32"/>
        </w:rPr>
        <w:t>3.少数民族群体的毕业流向分析</w:t>
      </w:r>
      <w:bookmarkEnd w:id="33"/>
    </w:p>
    <w:p>
      <w:pPr>
        <w:ind w:firstLine="640" w:firstLineChars="200"/>
        <w:jc w:val="both"/>
        <w:rPr>
          <w:rFonts w:hint="eastAsia" w:ascii="仿宋" w:hAnsi="仿宋" w:eastAsia="仿宋" w:cs="仿宋"/>
          <w:sz w:val="32"/>
          <w:szCs w:val="32"/>
        </w:rPr>
      </w:pPr>
      <w:r>
        <w:rPr>
          <w:rFonts w:hint="eastAsia" w:ascii="仿宋" w:hAnsi="仿宋" w:eastAsia="仿宋" w:cs="仿宋"/>
          <w:sz w:val="32"/>
          <w:szCs w:val="32"/>
        </w:rPr>
        <w:t>我院20</w:t>
      </w:r>
      <w:r>
        <w:rPr>
          <w:rFonts w:hint="eastAsia" w:ascii="仿宋" w:hAnsi="仿宋" w:eastAsia="仿宋" w:cs="仿宋"/>
          <w:sz w:val="32"/>
          <w:szCs w:val="32"/>
          <w:lang w:val="en-US" w:eastAsia="zh-CN"/>
        </w:rPr>
        <w:t>20</w:t>
      </w:r>
      <w:r>
        <w:rPr>
          <w:rFonts w:hint="eastAsia" w:ascii="仿宋" w:hAnsi="仿宋" w:eastAsia="仿宋" w:cs="仿宋"/>
          <w:sz w:val="32"/>
          <w:szCs w:val="32"/>
        </w:rPr>
        <w:t>届毕业生中少数民族人数为</w:t>
      </w:r>
      <w:r>
        <w:rPr>
          <w:rFonts w:hint="eastAsia" w:ascii="仿宋" w:hAnsi="仿宋" w:eastAsia="仿宋" w:cs="仿宋"/>
          <w:sz w:val="32"/>
          <w:szCs w:val="32"/>
          <w:lang w:val="en-US" w:eastAsia="zh-CN"/>
        </w:rPr>
        <w:t>70</w:t>
      </w:r>
      <w:r>
        <w:rPr>
          <w:rFonts w:hint="eastAsia" w:ascii="仿宋" w:hAnsi="仿宋" w:eastAsia="仿宋" w:cs="仿宋"/>
          <w:sz w:val="32"/>
          <w:szCs w:val="32"/>
        </w:rPr>
        <w:t>人，就业人数</w:t>
      </w:r>
      <w:r>
        <w:rPr>
          <w:rFonts w:hint="eastAsia" w:ascii="仿宋" w:hAnsi="仿宋" w:eastAsia="仿宋" w:cs="仿宋"/>
          <w:sz w:val="32"/>
          <w:szCs w:val="32"/>
          <w:lang w:val="en-US" w:eastAsia="zh-CN"/>
        </w:rPr>
        <w:t>45</w:t>
      </w:r>
      <w:r>
        <w:rPr>
          <w:rFonts w:hint="eastAsia" w:ascii="仿宋" w:hAnsi="仿宋" w:eastAsia="仿宋" w:cs="仿宋"/>
          <w:sz w:val="32"/>
          <w:szCs w:val="32"/>
        </w:rPr>
        <w:t>人，未就业</w:t>
      </w:r>
      <w:r>
        <w:rPr>
          <w:rFonts w:hint="eastAsia" w:ascii="仿宋" w:hAnsi="仿宋" w:eastAsia="仿宋" w:cs="仿宋"/>
          <w:sz w:val="32"/>
          <w:szCs w:val="32"/>
          <w:lang w:val="en-US" w:eastAsia="zh-CN"/>
        </w:rPr>
        <w:t>24</w:t>
      </w:r>
      <w:r>
        <w:rPr>
          <w:rFonts w:hint="eastAsia" w:ascii="仿宋" w:hAnsi="仿宋" w:eastAsia="仿宋" w:cs="仿宋"/>
          <w:sz w:val="32"/>
          <w:szCs w:val="32"/>
        </w:rPr>
        <w:t>人，少数民族毕业生的就业率为</w:t>
      </w:r>
      <w:r>
        <w:rPr>
          <w:rFonts w:hint="eastAsia" w:ascii="仿宋" w:hAnsi="仿宋" w:eastAsia="仿宋" w:cs="仿宋"/>
          <w:sz w:val="32"/>
          <w:szCs w:val="32"/>
          <w:lang w:val="en-US" w:eastAsia="zh-CN"/>
        </w:rPr>
        <w:t>64.29</w:t>
      </w:r>
      <w:r>
        <w:rPr>
          <w:rFonts w:hint="eastAsia" w:ascii="仿宋" w:hAnsi="仿宋" w:eastAsia="仿宋" w:cs="仿宋"/>
          <w:sz w:val="32"/>
          <w:szCs w:val="32"/>
        </w:rPr>
        <w:t>%，升学率为</w:t>
      </w:r>
      <w:r>
        <w:rPr>
          <w:rFonts w:hint="eastAsia" w:ascii="仿宋" w:hAnsi="仿宋" w:eastAsia="仿宋" w:cs="仿宋"/>
          <w:sz w:val="32"/>
          <w:szCs w:val="32"/>
          <w:lang w:val="en-US" w:eastAsia="zh-CN"/>
        </w:rPr>
        <w:t>5.71</w:t>
      </w:r>
      <w:r>
        <w:rPr>
          <w:rFonts w:hint="eastAsia" w:ascii="仿宋" w:hAnsi="仿宋" w:eastAsia="仿宋" w:cs="仿宋"/>
          <w:sz w:val="32"/>
          <w:szCs w:val="32"/>
        </w:rPr>
        <w:t>%。</w:t>
      </w:r>
    </w:p>
    <w:p>
      <w:pPr>
        <w:pBdr>
          <w:top w:val="none" w:color="auto" w:sz="0" w:space="1"/>
          <w:left w:val="none" w:color="auto" w:sz="0" w:space="4"/>
          <w:bottom w:val="none" w:color="auto" w:sz="0" w:space="1"/>
          <w:right w:val="none" w:color="auto" w:sz="0" w:space="4"/>
        </w:pBdr>
        <w:spacing w:before="156" w:beforeLines="50" w:after="156" w:afterLines="50" w:line="360" w:lineRule="auto"/>
        <w:jc w:val="center"/>
      </w:pPr>
      <w:r>
        <w:drawing>
          <wp:inline distT="0" distB="0" distL="114300" distR="114300">
            <wp:extent cx="4595495" cy="2933700"/>
            <wp:effectExtent l="0" t="0" r="14605" b="0"/>
            <wp:docPr id="9" name="图片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Bdr>
          <w:top w:val="none" w:color="auto" w:sz="0" w:space="1"/>
          <w:left w:val="none" w:color="auto" w:sz="0" w:space="4"/>
          <w:bottom w:val="none" w:color="auto" w:sz="0" w:space="1"/>
          <w:right w:val="none" w:color="auto" w:sz="0" w:space="4"/>
        </w:pBdr>
        <w:spacing w:before="156" w:beforeLines="50" w:after="156" w:afterLines="50" w:line="360" w:lineRule="auto"/>
        <w:jc w:val="center"/>
        <w:rPr>
          <w:rFonts w:hint="eastAsia" w:ascii="宋体" w:hAnsi="宋体" w:cs="宋体"/>
          <w:b/>
          <w:bCs/>
          <w:szCs w:val="21"/>
        </w:rPr>
      </w:pPr>
      <w:r>
        <w:rPr>
          <w:rFonts w:hint="eastAsia" w:ascii="宋体" w:hAnsi="宋体" w:cs="宋体"/>
          <w:b/>
          <w:bCs/>
          <w:szCs w:val="21"/>
        </w:rPr>
        <w:t>图1-9  20</w:t>
      </w:r>
      <w:r>
        <w:rPr>
          <w:rFonts w:hint="eastAsia" w:ascii="宋体" w:hAnsi="宋体" w:cs="宋体"/>
          <w:b/>
          <w:bCs/>
          <w:szCs w:val="21"/>
          <w:lang w:val="en-US" w:eastAsia="zh-CN"/>
        </w:rPr>
        <w:t>20</w:t>
      </w:r>
      <w:r>
        <w:rPr>
          <w:rFonts w:hint="eastAsia" w:ascii="宋体" w:hAnsi="宋体" w:cs="宋体"/>
          <w:b/>
          <w:bCs/>
          <w:szCs w:val="21"/>
        </w:rPr>
        <w:t>届少数民族毕业生的毕业流向</w:t>
      </w:r>
      <w:bookmarkEnd w:id="22"/>
      <w:bookmarkEnd w:id="23"/>
    </w:p>
    <w:p>
      <w:pPr>
        <w:pBdr>
          <w:top w:val="none" w:color="auto" w:sz="0" w:space="1"/>
          <w:left w:val="none" w:color="auto" w:sz="0" w:space="4"/>
          <w:bottom w:val="none" w:color="auto" w:sz="0" w:space="1"/>
          <w:right w:val="none" w:color="auto" w:sz="0" w:space="4"/>
        </w:pBdr>
        <w:spacing w:before="156" w:beforeLines="50" w:after="156" w:afterLines="50" w:line="360" w:lineRule="auto"/>
        <w:jc w:val="center"/>
        <w:rPr>
          <w:rFonts w:hint="eastAsia" w:ascii="宋体" w:hAnsi="宋体" w:cs="宋体"/>
          <w:b/>
          <w:bCs/>
          <w:szCs w:val="21"/>
        </w:rPr>
      </w:pPr>
    </w:p>
    <w:p>
      <w:pPr>
        <w:keepNext w:val="0"/>
        <w:keepLines w:val="0"/>
        <w:pageBreakBefore w:val="0"/>
        <w:kinsoku/>
        <w:wordWrap/>
        <w:overflowPunct/>
        <w:topLinePunct w:val="0"/>
        <w:autoSpaceDE/>
        <w:autoSpaceDN/>
        <w:bidi w:val="0"/>
        <w:adjustRightInd/>
        <w:snapToGrid/>
        <w:spacing w:line="0" w:lineRule="atLeast"/>
        <w:ind w:left="0" w:leftChars="0" w:right="0" w:rightChars="0"/>
        <w:jc w:val="center"/>
        <w:outlineLvl w:val="0"/>
        <w:rPr>
          <w:rFonts w:hint="eastAsia" w:ascii="宋体" w:hAnsi="宋体" w:eastAsia="宋体" w:cs="宋体"/>
          <w:b/>
          <w:bCs/>
          <w:color w:val="auto"/>
          <w:sz w:val="44"/>
          <w:szCs w:val="44"/>
        </w:rPr>
      </w:pPr>
    </w:p>
    <w:p>
      <w:pPr>
        <w:keepNext w:val="0"/>
        <w:keepLines w:val="0"/>
        <w:pageBreakBefore w:val="0"/>
        <w:kinsoku/>
        <w:wordWrap/>
        <w:overflowPunct/>
        <w:topLinePunct w:val="0"/>
        <w:autoSpaceDE/>
        <w:autoSpaceDN/>
        <w:bidi w:val="0"/>
        <w:adjustRightInd/>
        <w:snapToGrid/>
        <w:spacing w:line="0" w:lineRule="atLeast"/>
        <w:ind w:left="0" w:leftChars="0" w:right="0" w:rightChars="0"/>
        <w:jc w:val="center"/>
        <w:outlineLvl w:val="0"/>
        <w:rPr>
          <w:rFonts w:hint="eastAsia" w:ascii="宋体" w:hAnsi="宋体" w:eastAsia="宋体" w:cs="宋体"/>
          <w:b/>
          <w:bCs/>
          <w:color w:val="auto"/>
          <w:sz w:val="44"/>
          <w:szCs w:val="44"/>
        </w:rPr>
      </w:pPr>
      <w:r>
        <w:rPr>
          <w:rFonts w:hint="eastAsia" w:ascii="宋体" w:hAnsi="宋体" w:eastAsia="宋体" w:cs="宋体"/>
          <w:b/>
          <w:bCs/>
          <w:color w:val="auto"/>
          <w:sz w:val="44"/>
          <w:szCs w:val="44"/>
        </w:rPr>
        <w:t>第二部分：就业</w:t>
      </w:r>
      <w:r>
        <w:rPr>
          <w:rFonts w:hint="eastAsia" w:ascii="宋体" w:hAnsi="宋体" w:cs="宋体"/>
          <w:b/>
          <w:bCs/>
          <w:color w:val="auto"/>
          <w:sz w:val="44"/>
          <w:szCs w:val="44"/>
          <w:lang w:eastAsia="zh-CN"/>
        </w:rPr>
        <w:t>工作</w:t>
      </w:r>
      <w:r>
        <w:rPr>
          <w:rFonts w:hint="eastAsia" w:ascii="宋体" w:hAnsi="宋体" w:eastAsia="宋体" w:cs="宋体"/>
          <w:b/>
          <w:bCs/>
          <w:color w:val="auto"/>
          <w:sz w:val="44"/>
          <w:szCs w:val="44"/>
        </w:rPr>
        <w:t>相关分析</w:t>
      </w:r>
    </w:p>
    <w:p>
      <w:pPr>
        <w:pStyle w:val="3"/>
        <w:bidi w:val="0"/>
        <w:ind w:left="0" w:leftChars="0"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为了更加全面地分析研究2020届毕业生就业情况，对2020届毕业生毕业离校时至毕业离校后2个月内的就业状况进行了调查，内容主要包括：毕业生就业状况、对母校就业指导服务的评价、对人才培养的评价等模块。调查从2020年7月15日开始，持续到9月15日，历时2个月，共收到有效问卷816份，回收率达100%。其中男生占有效样本的26.37%，女生占73.63%。参与调研的毕业生覆盖了我院2020届毕业生所有专业。具体样本，如下表所示：</w:t>
      </w:r>
    </w:p>
    <w:tbl>
      <w:tblPr>
        <w:tblStyle w:val="16"/>
        <w:tblW w:w="8877" w:type="dxa"/>
        <w:jc w:val="center"/>
        <w:tblLayout w:type="fixed"/>
        <w:tblCellMar>
          <w:top w:w="15" w:type="dxa"/>
          <w:left w:w="15" w:type="dxa"/>
          <w:bottom w:w="15" w:type="dxa"/>
          <w:right w:w="15" w:type="dxa"/>
        </w:tblCellMar>
      </w:tblPr>
      <w:tblGrid>
        <w:gridCol w:w="1442"/>
        <w:gridCol w:w="1442"/>
        <w:gridCol w:w="1664"/>
        <w:gridCol w:w="1442"/>
        <w:gridCol w:w="1445"/>
        <w:gridCol w:w="1442"/>
      </w:tblGrid>
      <w:tr>
        <w:tblPrEx>
          <w:tblCellMar>
            <w:top w:w="15" w:type="dxa"/>
            <w:left w:w="15" w:type="dxa"/>
            <w:bottom w:w="15" w:type="dxa"/>
            <w:right w:w="15" w:type="dxa"/>
          </w:tblCellMar>
        </w:tblPrEx>
        <w:trPr>
          <w:trHeight w:val="389" w:hRule="exact"/>
          <w:jc w:val="center"/>
        </w:trPr>
        <w:tc>
          <w:tcPr>
            <w:tcW w:w="1442" w:type="dxa"/>
            <w:tcBorders>
              <w:top w:val="single" w:color="000000" w:sz="12" w:space="0"/>
              <w:bottom w:val="single" w:color="000000" w:sz="12" w:space="0"/>
            </w:tcBorders>
            <w:shd w:val="clear" w:color="auto" w:fill="FFFFFF"/>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专业名称</w:t>
            </w:r>
          </w:p>
        </w:tc>
        <w:tc>
          <w:tcPr>
            <w:tcW w:w="3106" w:type="dxa"/>
            <w:gridSpan w:val="2"/>
            <w:tcBorders>
              <w:top w:val="single" w:color="000000" w:sz="12" w:space="0"/>
              <w:bottom w:val="single" w:color="000000" w:sz="12" w:space="0"/>
            </w:tcBorders>
            <w:shd w:val="clear" w:color="auto" w:fill="FFFFFF"/>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毕业生人数及所占比例</w:t>
            </w:r>
          </w:p>
        </w:tc>
        <w:tc>
          <w:tcPr>
            <w:tcW w:w="2887" w:type="dxa"/>
            <w:gridSpan w:val="2"/>
            <w:tcBorders>
              <w:top w:val="single" w:color="000000" w:sz="12" w:space="0"/>
              <w:bottom w:val="single" w:color="000000" w:sz="12" w:space="0"/>
            </w:tcBorders>
            <w:shd w:val="clear" w:color="auto" w:fill="FFFFFF"/>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有效样本数及所占比例</w:t>
            </w:r>
          </w:p>
        </w:tc>
        <w:tc>
          <w:tcPr>
            <w:tcW w:w="1442" w:type="dxa"/>
            <w:tcBorders>
              <w:top w:val="single" w:color="000000" w:sz="12" w:space="0"/>
              <w:bottom w:val="single" w:color="000000" w:sz="12" w:space="0"/>
            </w:tcBorders>
            <w:shd w:val="clear" w:color="auto" w:fill="FFFFFF"/>
            <w:noWrap w:val="0"/>
            <w:vAlign w:val="center"/>
          </w:tcPr>
          <w:p>
            <w:pPr>
              <w:widowControl/>
              <w:jc w:val="center"/>
              <w:textAlignment w:val="center"/>
              <w:rPr>
                <w:rFonts w:hint="eastAsia" w:ascii="宋体" w:hAnsi="宋体" w:cs="宋体"/>
                <w:color w:val="auto"/>
                <w:szCs w:val="21"/>
              </w:rPr>
            </w:pPr>
            <w:r>
              <w:rPr>
                <w:rFonts w:hint="eastAsia" w:ascii="宋体" w:hAnsi="宋体" w:cs="宋体"/>
                <w:color w:val="auto"/>
                <w:kern w:val="0"/>
                <w:szCs w:val="21"/>
                <w:lang w:bidi="ar"/>
              </w:rPr>
              <w:t>有效样本占本专业毕业生比例</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针灸推拿学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82</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10.21</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80</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kern w:val="0"/>
                <w:sz w:val="22"/>
                <w:szCs w:val="22"/>
                <w:u w:val="none"/>
                <w:lang w:val="en-US" w:eastAsia="zh-CN" w:bidi="ar"/>
              </w:rPr>
              <w:t>9</w:t>
            </w:r>
            <w:r>
              <w:rPr>
                <w:rFonts w:hint="eastAsia" w:ascii="宋体" w:hAnsi="宋体" w:cs="宋体"/>
                <w:i w:val="0"/>
                <w:color w:val="auto"/>
                <w:kern w:val="0"/>
                <w:sz w:val="22"/>
                <w:szCs w:val="22"/>
                <w:u w:val="none"/>
                <w:lang w:val="en-US" w:eastAsia="zh-CN" w:bidi="ar"/>
              </w:rPr>
              <w:t>.96</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97.56%</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生物工程</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7</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0.87</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7</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0.87</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100.00%</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康复治疗学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37</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4.6</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35</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4.35</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94.59%</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药物制剂</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15</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1.86</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15</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1.86</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100.00%</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中医学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114</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eastAsia="宋体" w:cs="宋体"/>
                <w:i w:val="0"/>
                <w:color w:val="auto"/>
                <w:kern w:val="0"/>
                <w:sz w:val="22"/>
                <w:szCs w:val="22"/>
                <w:u w:val="none"/>
                <w:lang w:val="en-US" w:eastAsia="zh-CN" w:bidi="ar"/>
              </w:rPr>
              <w:t>1</w:t>
            </w:r>
            <w:r>
              <w:rPr>
                <w:rFonts w:hint="eastAsia" w:ascii="宋体" w:hAnsi="宋体" w:cs="宋体"/>
                <w:i w:val="0"/>
                <w:color w:val="auto"/>
                <w:kern w:val="0"/>
                <w:sz w:val="22"/>
                <w:szCs w:val="22"/>
                <w:u w:val="none"/>
                <w:lang w:val="en-US" w:eastAsia="zh-CN" w:bidi="ar"/>
              </w:rPr>
              <w:t>4.19</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110</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13.69</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96.49%</w:t>
            </w:r>
          </w:p>
        </w:tc>
      </w:tr>
      <w:tr>
        <w:tblPrEx>
          <w:tblCellMar>
            <w:top w:w="15" w:type="dxa"/>
            <w:left w:w="15" w:type="dxa"/>
            <w:bottom w:w="15" w:type="dxa"/>
            <w:right w:w="15" w:type="dxa"/>
          </w:tblCellMar>
        </w:tblPrEx>
        <w:trPr>
          <w:trHeight w:val="414"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中药学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44</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5.47</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40</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4.98</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90.9%</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中西医临床医学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95</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11.83</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93</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11.58</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97.89%</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药学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96</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11.95</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93</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11.58</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96.87%</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kern w:val="0"/>
                <w:szCs w:val="21"/>
                <w:lang w:bidi="ar"/>
              </w:rPr>
            </w:pPr>
            <w:r>
              <w:rPr>
                <w:rFonts w:hint="eastAsia" w:ascii="黑体" w:hAnsi="宋体" w:eastAsia="黑体" w:cs="黑体"/>
                <w:i w:val="0"/>
                <w:color w:val="auto"/>
                <w:kern w:val="0"/>
                <w:sz w:val="21"/>
                <w:szCs w:val="21"/>
                <w:u w:val="none"/>
                <w:lang w:val="en-US" w:eastAsia="zh-CN" w:bidi="ar"/>
              </w:rPr>
              <w:t>制药工程</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17</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kern w:val="0"/>
                <w:szCs w:val="21"/>
                <w:lang w:bidi="ar"/>
              </w:rPr>
            </w:pPr>
            <w:r>
              <w:rPr>
                <w:rFonts w:hint="eastAsia" w:ascii="宋体" w:hAnsi="宋体" w:cs="宋体"/>
                <w:i w:val="0"/>
                <w:color w:val="auto"/>
                <w:kern w:val="0"/>
                <w:sz w:val="22"/>
                <w:szCs w:val="22"/>
                <w:u w:val="none"/>
                <w:lang w:val="en-US" w:eastAsia="zh-CN" w:bidi="ar"/>
              </w:rPr>
              <w:t>2.11</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kern w:val="0"/>
                <w:szCs w:val="21"/>
                <w:lang w:val="en-US" w:eastAsia="zh-CN" w:bidi="ar"/>
              </w:rPr>
            </w:pPr>
            <w:r>
              <w:rPr>
                <w:rFonts w:hint="eastAsia" w:ascii="宋体" w:hAnsi="宋体" w:cs="宋体"/>
                <w:color w:val="auto"/>
                <w:kern w:val="0"/>
                <w:szCs w:val="21"/>
                <w:lang w:val="en-US" w:eastAsia="zh-CN" w:bidi="ar"/>
              </w:rPr>
              <w:t>17</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kern w:val="0"/>
                <w:szCs w:val="21"/>
                <w:lang w:bidi="ar"/>
              </w:rPr>
            </w:pPr>
            <w:r>
              <w:rPr>
                <w:rFonts w:hint="eastAsia" w:ascii="宋体" w:hAnsi="宋体" w:cs="宋体"/>
                <w:i w:val="0"/>
                <w:color w:val="auto"/>
                <w:kern w:val="0"/>
                <w:sz w:val="22"/>
                <w:szCs w:val="22"/>
                <w:u w:val="none"/>
                <w:lang w:val="en-US" w:eastAsia="zh-CN" w:bidi="ar"/>
              </w:rPr>
              <w:t>2.11</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kern w:val="0"/>
                <w:szCs w:val="21"/>
                <w:lang w:val="en-US" w:eastAsia="zh-CN" w:bidi="ar"/>
              </w:rPr>
            </w:pPr>
            <w:r>
              <w:rPr>
                <w:rFonts w:hint="eastAsia" w:ascii="黑体" w:hAnsi="宋体" w:eastAsia="黑体" w:cs="黑体"/>
                <w:i w:val="0"/>
                <w:color w:val="auto"/>
                <w:kern w:val="0"/>
                <w:sz w:val="21"/>
                <w:szCs w:val="21"/>
                <w:u w:val="none"/>
                <w:lang w:val="en-US" w:eastAsia="zh-CN" w:bidi="ar"/>
              </w:rPr>
              <w:t>100.00%</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护理学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268</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33.37</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259</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32.25</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96.64%</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市场营销</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16</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1.99</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15</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1.86</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93.75%</w:t>
            </w:r>
          </w:p>
        </w:tc>
      </w:tr>
      <w:tr>
        <w:tblPrEx>
          <w:tblCellMar>
            <w:top w:w="15" w:type="dxa"/>
            <w:left w:w="15" w:type="dxa"/>
            <w:bottom w:w="15" w:type="dxa"/>
            <w:right w:w="15" w:type="dxa"/>
          </w:tblCellMar>
        </w:tblPrEx>
        <w:trPr>
          <w:trHeight w:val="389"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黑体" w:hAnsi="宋体" w:eastAsia="黑体" w:cs="黑体"/>
                <w:i w:val="0"/>
                <w:color w:val="auto"/>
                <w:kern w:val="0"/>
                <w:sz w:val="21"/>
                <w:szCs w:val="21"/>
                <w:u w:val="none"/>
                <w:lang w:val="en-US" w:eastAsia="zh-CN" w:bidi="ar"/>
              </w:rPr>
              <w:t>应用心理学</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12</w:t>
            </w:r>
          </w:p>
        </w:tc>
        <w:tc>
          <w:tcPr>
            <w:tcW w:w="1664"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1.49</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12</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cs="宋体"/>
                <w:color w:val="auto"/>
                <w:szCs w:val="21"/>
              </w:rPr>
            </w:pPr>
            <w:r>
              <w:rPr>
                <w:rFonts w:hint="eastAsia" w:ascii="宋体" w:hAnsi="宋体" w:cs="宋体"/>
                <w:i w:val="0"/>
                <w:color w:val="auto"/>
                <w:kern w:val="0"/>
                <w:sz w:val="22"/>
                <w:szCs w:val="22"/>
                <w:u w:val="none"/>
                <w:lang w:val="en-US" w:eastAsia="zh-CN" w:bidi="ar"/>
              </w:rPr>
              <w:t xml:space="preserve">1.49                                                                                               </w:t>
            </w:r>
            <w:r>
              <w:rPr>
                <w:rFonts w:hint="eastAsia" w:ascii="宋体" w:hAnsi="宋体" w:eastAsia="宋体" w:cs="宋体"/>
                <w:i w:val="0"/>
                <w:color w:val="auto"/>
                <w:kern w:val="0"/>
                <w:sz w:val="22"/>
                <w:szCs w:val="22"/>
                <w:u w:val="none"/>
                <w:lang w:val="en-US" w:eastAsia="zh-CN" w:bidi="ar"/>
              </w:rPr>
              <w:t>%</w:t>
            </w:r>
          </w:p>
        </w:tc>
        <w:tc>
          <w:tcPr>
            <w:tcW w:w="1442"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黑体" w:hAnsi="宋体" w:eastAsia="黑体" w:cs="黑体"/>
                <w:i w:val="0"/>
                <w:color w:val="auto"/>
                <w:kern w:val="0"/>
                <w:sz w:val="21"/>
                <w:szCs w:val="21"/>
                <w:u w:val="none"/>
                <w:lang w:val="en-US" w:eastAsia="zh-CN" w:bidi="ar"/>
              </w:rPr>
              <w:t>100.00 %</w:t>
            </w:r>
          </w:p>
        </w:tc>
      </w:tr>
      <w:tr>
        <w:tblPrEx>
          <w:tblCellMar>
            <w:top w:w="15" w:type="dxa"/>
            <w:left w:w="15" w:type="dxa"/>
            <w:bottom w:w="15" w:type="dxa"/>
            <w:right w:w="15" w:type="dxa"/>
          </w:tblCellMar>
        </w:tblPrEx>
        <w:trPr>
          <w:trHeight w:val="423" w:hRule="exact"/>
          <w:jc w:val="center"/>
        </w:trPr>
        <w:tc>
          <w:tcPr>
            <w:tcW w:w="1442" w:type="dxa"/>
            <w:shd w:val="clear" w:color="auto" w:fill="auto"/>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总数</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803</w:t>
            </w:r>
          </w:p>
        </w:tc>
        <w:tc>
          <w:tcPr>
            <w:tcW w:w="1664" w:type="dxa"/>
            <w:shd w:val="clear" w:color="auto" w:fill="auto"/>
            <w:noWrap w:val="0"/>
            <w:vAlign w:val="center"/>
          </w:tcPr>
          <w:p>
            <w:pPr>
              <w:keepNext w:val="0"/>
              <w:keepLines w:val="0"/>
              <w:widowControl/>
              <w:suppressLineNumbers w:val="0"/>
              <w:jc w:val="center"/>
              <w:textAlignment w:val="center"/>
              <w:rPr>
                <w:rFonts w:hint="eastAsia" w:ascii="宋体" w:hAnsi="宋体" w:cs="宋体"/>
                <w:color w:val="auto"/>
                <w:sz w:val="22"/>
                <w:szCs w:val="22"/>
              </w:rPr>
            </w:pPr>
            <w:r>
              <w:rPr>
                <w:rFonts w:hint="eastAsia" w:ascii="宋体" w:hAnsi="宋体" w:eastAsia="宋体" w:cs="宋体"/>
                <w:i w:val="0"/>
                <w:color w:val="auto"/>
                <w:kern w:val="0"/>
                <w:sz w:val="22"/>
                <w:szCs w:val="22"/>
                <w:u w:val="none"/>
                <w:lang w:val="en-US" w:eastAsia="zh-CN" w:bidi="ar"/>
              </w:rPr>
              <w:t>100.00%</w:t>
            </w:r>
          </w:p>
        </w:tc>
        <w:tc>
          <w:tcPr>
            <w:tcW w:w="1442" w:type="dxa"/>
            <w:shd w:val="clear" w:color="auto" w:fill="auto"/>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776</w:t>
            </w:r>
          </w:p>
        </w:tc>
        <w:tc>
          <w:tcPr>
            <w:tcW w:w="1445" w:type="dxa"/>
            <w:shd w:val="clear" w:color="auto" w:fill="FFFFFF"/>
            <w:noWrap w:val="0"/>
            <w:vAlign w:val="center"/>
          </w:tcPr>
          <w:p>
            <w:pPr>
              <w:keepNext w:val="0"/>
              <w:keepLines w:val="0"/>
              <w:widowControl/>
              <w:suppressLineNumbers w:val="0"/>
              <w:jc w:val="center"/>
              <w:textAlignment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96.6%</w:t>
            </w:r>
          </w:p>
        </w:tc>
        <w:tc>
          <w:tcPr>
            <w:tcW w:w="1442" w:type="dxa"/>
            <w:noWrap w:val="0"/>
            <w:vAlign w:val="center"/>
          </w:tcPr>
          <w:p>
            <w:pPr>
              <w:keepNext w:val="0"/>
              <w:keepLines w:val="0"/>
              <w:widowControl/>
              <w:suppressLineNumbers w:val="0"/>
              <w:jc w:val="center"/>
              <w:textAlignment w:val="center"/>
              <w:rPr>
                <w:rFonts w:hint="default" w:ascii="宋体" w:hAnsi="宋体" w:eastAsia="宋体" w:cs="宋体"/>
                <w:color w:val="auto"/>
                <w:sz w:val="22"/>
                <w:szCs w:val="22"/>
                <w:lang w:val="en-US" w:eastAsia="zh-CN"/>
              </w:rPr>
            </w:pPr>
            <w:r>
              <w:rPr>
                <w:rFonts w:hint="eastAsia" w:ascii="宋体" w:hAnsi="宋体" w:cs="宋体"/>
                <w:color w:val="auto"/>
                <w:sz w:val="22"/>
                <w:szCs w:val="22"/>
                <w:lang w:val="en-US" w:eastAsia="zh-CN"/>
              </w:rPr>
              <w:t xml:space="preserve">  </w:t>
            </w:r>
          </w:p>
        </w:tc>
      </w:tr>
    </w:tbl>
    <w:p>
      <w:pPr>
        <w:pBdr>
          <w:top w:val="none" w:color="auto" w:sz="0" w:space="1"/>
          <w:left w:val="none" w:color="auto" w:sz="0" w:space="4"/>
          <w:bottom w:val="none" w:color="auto" w:sz="0" w:space="1"/>
          <w:right w:val="none" w:color="auto" w:sz="0" w:space="4"/>
        </w:pBdr>
        <w:spacing w:line="360" w:lineRule="auto"/>
        <w:jc w:val="center"/>
        <w:rPr>
          <w:rFonts w:hint="eastAsia" w:ascii="仿宋" w:hAnsi="仿宋" w:eastAsia="仿宋" w:cs="仿宋"/>
          <w:color w:val="auto"/>
          <w:sz w:val="32"/>
          <w:szCs w:val="32"/>
          <w:lang w:val="en-US" w:eastAsia="zh-CN"/>
        </w:rPr>
      </w:pPr>
      <w:r>
        <w:rPr>
          <w:rFonts w:hint="eastAsia"/>
          <w:b/>
          <w:bCs/>
          <w:color w:val="auto"/>
          <w:szCs w:val="21"/>
        </w:rPr>
        <w:t>表2-1 20</w:t>
      </w:r>
      <w:r>
        <w:rPr>
          <w:rFonts w:hint="eastAsia"/>
          <w:b/>
          <w:bCs/>
          <w:color w:val="auto"/>
          <w:szCs w:val="21"/>
          <w:lang w:val="en-US" w:eastAsia="zh-CN"/>
        </w:rPr>
        <w:t>20</w:t>
      </w:r>
      <w:r>
        <w:rPr>
          <w:rFonts w:hint="eastAsia"/>
          <w:b/>
          <w:bCs/>
          <w:color w:val="auto"/>
          <w:szCs w:val="21"/>
        </w:rPr>
        <w:t>届毕业生参与调研比率</w:t>
      </w:r>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从上表可知，调查回收样本的专业分布与我院2020届毕业生专业分布大体接近。根据统计学原理，在社会调查中，当调查样本的集合特征接近于总体的集合特征，样本就有代表性。因此，此次调查的样本能够更好地代表我院2020届毕业生的情况。</w:t>
      </w:r>
    </w:p>
    <w:p>
      <w:pPr>
        <w:numPr>
          <w:ilvl w:val="0"/>
          <w:numId w:val="0"/>
        </w:numPr>
        <w:jc w:val="both"/>
        <w:rPr>
          <w:rFonts w:hint="eastAsia" w:ascii="仿宋" w:hAnsi="仿宋" w:eastAsia="仿宋" w:cs="仿宋"/>
          <w:b/>
          <w:bCs/>
          <w:color w:val="auto"/>
          <w:sz w:val="32"/>
          <w:szCs w:val="32"/>
          <w:lang w:val="en-US" w:eastAsia="zh-CN"/>
        </w:rPr>
      </w:pPr>
      <w:bookmarkStart w:id="34" w:name="_Toc14287"/>
      <w:r>
        <w:rPr>
          <w:rFonts w:hint="eastAsia" w:ascii="仿宋" w:hAnsi="仿宋" w:eastAsia="仿宋" w:cs="仿宋"/>
          <w:b/>
          <w:bCs/>
          <w:color w:val="auto"/>
          <w:sz w:val="32"/>
          <w:szCs w:val="32"/>
          <w:lang w:val="en-US" w:eastAsia="zh-CN"/>
        </w:rPr>
        <w:t>一、相关满意度分析</w:t>
      </w:r>
      <w:bookmarkEnd w:id="34"/>
      <w:bookmarkStart w:id="35" w:name="_Toc5250"/>
    </w:p>
    <w:p>
      <w:pPr>
        <w:numPr>
          <w:ilvl w:val="0"/>
          <w:numId w:val="0"/>
        </w:num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（一）总体的就业满意度</w:t>
      </w:r>
      <w:bookmarkEnd w:id="35"/>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高校毕业生的就业质量指的是高校毕业生所获得的工作优劣程度及工作固有的特征满足高校毕业生的要求的程度，因此，毕业生就业满意度水平是衡量毕业生就业质量的重要指标之一。</w:t>
      </w:r>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通过调查显示，77.93%毕业生对已落实的工作感到满意，毕业生的就业满意度整体较高，但仍有22.07%的毕业生对已落实的工作感到不满意，说明这部分毕业生对其已落实的工作与自身就业期望值有一定差距。</w:t>
      </w:r>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对已落实工作感到不满意的毕业生调查其原因，排名首位的是薪资偏低/福利较差，占58.25%；其次为和原来就业目标不一致，占比31.15%。</w:t>
      </w:r>
    </w:p>
    <w:p>
      <w:pPr>
        <w:pBdr>
          <w:top w:val="none" w:color="auto" w:sz="0" w:space="1"/>
          <w:left w:val="none" w:color="auto" w:sz="0" w:space="4"/>
          <w:bottom w:val="none" w:color="auto" w:sz="0" w:space="1"/>
          <w:right w:val="none" w:color="auto" w:sz="0" w:space="4"/>
        </w:pBdr>
        <w:spacing w:line="360" w:lineRule="auto"/>
        <w:jc w:val="center"/>
        <w:rPr>
          <w:color w:val="auto"/>
        </w:rPr>
      </w:pPr>
      <w:r>
        <w:rPr>
          <w:color w:val="auto"/>
        </w:rPr>
        <w:drawing>
          <wp:inline distT="0" distB="0" distL="114300" distR="114300">
            <wp:extent cx="5312410" cy="2774315"/>
            <wp:effectExtent l="0" t="0" r="2540" b="698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9"/>
                    <a:srcRect l="1030" t="10051" r="514" b="919"/>
                    <a:stretch>
                      <a:fillRect/>
                    </a:stretch>
                  </pic:blipFill>
                  <pic:spPr>
                    <a:xfrm>
                      <a:off x="0" y="0"/>
                      <a:ext cx="5312410" cy="2774315"/>
                    </a:xfrm>
                    <a:prstGeom prst="rect">
                      <a:avLst/>
                    </a:prstGeom>
                    <a:noFill/>
                    <a:ln>
                      <a:noFill/>
                    </a:ln>
                  </pic:spPr>
                </pic:pic>
              </a:graphicData>
            </a:graphic>
          </wp:inline>
        </w:drawing>
      </w:r>
    </w:p>
    <w:p>
      <w:pPr>
        <w:pBdr>
          <w:top w:val="none" w:color="auto" w:sz="0" w:space="1"/>
          <w:left w:val="none" w:color="auto" w:sz="0" w:space="4"/>
          <w:bottom w:val="none" w:color="auto" w:sz="0" w:space="1"/>
          <w:right w:val="none" w:color="auto" w:sz="0" w:space="4"/>
        </w:pBdr>
        <w:spacing w:line="480" w:lineRule="auto"/>
        <w:jc w:val="center"/>
        <w:rPr>
          <w:rFonts w:hint="eastAsia"/>
          <w:b/>
          <w:bCs/>
          <w:color w:val="auto"/>
          <w:sz w:val="28"/>
          <w:szCs w:val="28"/>
        </w:rPr>
      </w:pPr>
      <w:r>
        <w:rPr>
          <w:rFonts w:hint="eastAsia"/>
          <w:b/>
          <w:bCs/>
          <w:color w:val="auto"/>
          <w:szCs w:val="21"/>
        </w:rPr>
        <w:t>图2-3  20</w:t>
      </w:r>
      <w:r>
        <w:rPr>
          <w:rFonts w:hint="eastAsia"/>
          <w:b/>
          <w:bCs/>
          <w:color w:val="auto"/>
          <w:szCs w:val="21"/>
          <w:lang w:val="en-US" w:eastAsia="zh-CN"/>
        </w:rPr>
        <w:t>20</w:t>
      </w:r>
      <w:r>
        <w:rPr>
          <w:rFonts w:hint="eastAsia"/>
          <w:b/>
          <w:bCs/>
          <w:color w:val="auto"/>
          <w:szCs w:val="21"/>
        </w:rPr>
        <w:t>届毕业生对目前工作不满意的原因</w:t>
      </w:r>
      <w:bookmarkStart w:id="36" w:name="_Toc19955"/>
    </w:p>
    <w:p>
      <w:pPr>
        <w:numPr>
          <w:ilvl w:val="0"/>
          <w:numId w:val="0"/>
        </w:num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（二）毕业生对高校的就业指导与服务工作评价情况</w:t>
      </w:r>
      <w:bookmarkEnd w:id="36"/>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通过调查显示，毕业生对高校就业指导整体情况满意度为91.63%。对就业信息提供与发布情况满意度为98.72%；对校园招聘活动满意度为93.59%；对就业手续办理满意度为95.75%；对职业咨询/辅导满意度为96.43%；对就业指导/创业指导课满意度为92.67%。</w:t>
      </w:r>
    </w:p>
    <w:p>
      <w:pPr>
        <w:numPr>
          <w:ilvl w:val="0"/>
          <w:numId w:val="0"/>
        </w:numPr>
        <w:jc w:val="both"/>
        <w:rPr>
          <w:rFonts w:hint="eastAsia" w:ascii="仿宋" w:hAnsi="仿宋" w:eastAsia="仿宋" w:cs="仿宋"/>
          <w:b/>
          <w:bCs/>
          <w:color w:val="auto"/>
          <w:sz w:val="32"/>
          <w:szCs w:val="32"/>
          <w:lang w:val="en-US" w:eastAsia="zh-CN"/>
        </w:rPr>
      </w:pPr>
      <w:bookmarkStart w:id="37" w:name="_Toc7221"/>
      <w:r>
        <w:rPr>
          <w:rFonts w:hint="eastAsia" w:ascii="仿宋" w:hAnsi="仿宋" w:eastAsia="仿宋" w:cs="仿宋"/>
          <w:b/>
          <w:bCs/>
          <w:color w:val="auto"/>
          <w:sz w:val="32"/>
          <w:szCs w:val="32"/>
          <w:lang w:val="en-US" w:eastAsia="zh-CN"/>
        </w:rPr>
        <w:t>（三）毕业生对高校人才培养的评价情况</w:t>
      </w:r>
      <w:bookmarkEnd w:id="37"/>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kern w:val="2"/>
          <w:sz w:val="32"/>
          <w:szCs w:val="32"/>
          <w:lang w:val="en-US" w:eastAsia="zh-CN"/>
        </w:rPr>
      </w:pPr>
      <w:r>
        <w:rPr>
          <w:rFonts w:hint="eastAsia" w:ascii="仿宋" w:hAnsi="仿宋" w:eastAsia="仿宋" w:cs="仿宋"/>
          <w:color w:val="auto"/>
          <w:kern w:val="2"/>
          <w:sz w:val="32"/>
          <w:szCs w:val="32"/>
          <w:lang w:val="en-US" w:eastAsia="zh-CN"/>
        </w:rPr>
        <w:t>通过调查显示，毕业生对高校人才培养的整体状况满意度为88.93%，其中课程设置满意度为81.62%；专业设置满意度为83.66%；教学方法和手段82.56%；对教学内容、教学质量和教学组织与管理的满意度为89.36%；对实践教学的满意度为80.09%。</w:t>
      </w:r>
    </w:p>
    <w:p>
      <w:pPr>
        <w:numPr>
          <w:ilvl w:val="0"/>
          <w:numId w:val="0"/>
        </w:numPr>
        <w:jc w:val="both"/>
        <w:rPr>
          <w:rFonts w:hint="eastAsia" w:ascii="仿宋" w:hAnsi="仿宋" w:eastAsia="仿宋" w:cs="仿宋"/>
          <w:b/>
          <w:bCs/>
          <w:color w:val="auto"/>
          <w:sz w:val="32"/>
          <w:szCs w:val="32"/>
          <w:lang w:val="en-US" w:eastAsia="zh-CN"/>
        </w:rPr>
      </w:pPr>
      <w:bookmarkStart w:id="38" w:name="_Toc17949"/>
      <w:r>
        <w:rPr>
          <w:rFonts w:hint="eastAsia" w:ascii="仿宋" w:hAnsi="仿宋" w:eastAsia="仿宋" w:cs="仿宋"/>
          <w:b/>
          <w:bCs/>
          <w:color w:val="auto"/>
          <w:sz w:val="32"/>
          <w:szCs w:val="32"/>
          <w:lang w:val="en-US" w:eastAsia="zh-CN"/>
        </w:rPr>
        <w:t>二、就业发展趋势分析</w:t>
      </w:r>
      <w:bookmarkEnd w:id="38"/>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为了全面研究我院毕业生就业发展趋势，我们对2015-2020届毕业生的初次就业率</w:t>
      </w:r>
      <w:r>
        <w:rPr>
          <w:rFonts w:hint="eastAsia" w:ascii="仿宋" w:hAnsi="仿宋" w:eastAsia="仿宋" w:cs="仿宋"/>
          <w:color w:val="auto"/>
          <w:sz w:val="32"/>
          <w:szCs w:val="32"/>
          <w:vertAlign w:val="superscript"/>
          <w:lang w:val="en-US" w:eastAsia="zh-CN"/>
        </w:rPr>
        <w:footnoteReference w:id="0"/>
      </w:r>
      <w:r>
        <w:rPr>
          <w:rFonts w:hint="eastAsia" w:ascii="仿宋" w:hAnsi="仿宋" w:eastAsia="仿宋" w:cs="仿宋"/>
          <w:color w:val="auto"/>
          <w:sz w:val="32"/>
          <w:szCs w:val="32"/>
          <w:lang w:val="en-US" w:eastAsia="zh-CN"/>
        </w:rPr>
        <w:t>、就业流向的变化趋势进行了分析，以便后期通过采取针对性地措施来改进我院毕业生的就业状况。</w:t>
      </w:r>
    </w:p>
    <w:p>
      <w:pPr>
        <w:numPr>
          <w:ilvl w:val="0"/>
          <w:numId w:val="0"/>
        </w:numPr>
        <w:jc w:val="both"/>
        <w:rPr>
          <w:rFonts w:hint="eastAsia" w:ascii="仿宋" w:hAnsi="仿宋" w:eastAsia="仿宋" w:cs="仿宋"/>
          <w:b/>
          <w:bCs/>
          <w:color w:val="auto"/>
          <w:sz w:val="32"/>
          <w:szCs w:val="32"/>
          <w:lang w:val="en-US" w:eastAsia="zh-CN"/>
        </w:rPr>
      </w:pPr>
      <w:bookmarkStart w:id="39" w:name="_Toc15630"/>
      <w:r>
        <w:rPr>
          <w:rFonts w:hint="eastAsia" w:ascii="仿宋" w:hAnsi="仿宋" w:eastAsia="仿宋" w:cs="仿宋"/>
          <w:b/>
          <w:bCs/>
          <w:color w:val="auto"/>
          <w:sz w:val="32"/>
          <w:szCs w:val="32"/>
          <w:lang w:val="en-US" w:eastAsia="zh-CN"/>
        </w:rPr>
        <w:t>（一）就业率变化趋势</w:t>
      </w:r>
      <w:bookmarkEnd w:id="39"/>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国务院2010年6月6日正式发布的《国家中长期教育改革和发展规划纲要（2010-2020年）》提出，2009-2020年，高等教育总规模从2979万人增加到3550万人。可见预见今后若干年毕业生数量在逐年增加，但在另一方面，毕业生社会需求量却很难实现同步增长，大学生就业竞争更加激烈，就业形势将会持续严峻。</w:t>
      </w:r>
    </w:p>
    <w:p>
      <w:pPr>
        <w:pBdr>
          <w:top w:val="none" w:color="auto" w:sz="0" w:space="1"/>
          <w:left w:val="none" w:color="auto" w:sz="0" w:space="4"/>
          <w:bottom w:val="none" w:color="auto" w:sz="0" w:space="1"/>
          <w:right w:val="none" w:color="auto" w:sz="0" w:space="4"/>
        </w:pBdr>
        <w:spacing w:line="360" w:lineRule="auto"/>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纵观历年就业情况，我院201</w:t>
      </w:r>
      <w:r>
        <w:rPr>
          <w:rFonts w:hint="default" w:ascii="仿宋" w:hAnsi="仿宋" w:eastAsia="仿宋" w:cs="仿宋"/>
          <w:color w:val="auto"/>
          <w:sz w:val="32"/>
          <w:szCs w:val="32"/>
          <w:lang w:eastAsia="zh-CN"/>
        </w:rPr>
        <w:t>4</w:t>
      </w:r>
      <w:r>
        <w:rPr>
          <w:rFonts w:hint="eastAsia" w:ascii="仿宋" w:hAnsi="仿宋" w:eastAsia="仿宋" w:cs="仿宋"/>
          <w:color w:val="auto"/>
          <w:sz w:val="32"/>
          <w:szCs w:val="32"/>
          <w:lang w:val="en-US" w:eastAsia="zh-CN"/>
        </w:rPr>
        <w:t>届到2020届毕业生总体就业情况良好，初次就业率始终保持较高水平。2017年随着毕业生人数的减少，就业形势的严峻，部分毕业生缺乏职业生涯规划，或对单位选择的要求过高，就业率稍有下降。</w:t>
      </w:r>
    </w:p>
    <w:p>
      <w:pPr>
        <w:keepNext w:val="0"/>
        <w:keepLines w:val="0"/>
        <w:widowControl/>
        <w:suppressLineNumbers w:val="0"/>
        <w:jc w:val="both"/>
        <w:rPr>
          <w:rFonts w:hint="default" w:eastAsia="宋体"/>
          <w:color w:val="FF0000"/>
          <w:lang w:val="en-US" w:eastAsia="zh-CN"/>
        </w:rPr>
      </w:pPr>
      <w:r>
        <w:rPr>
          <w:rFonts w:hint="eastAsia"/>
          <w:color w:val="FF0000"/>
          <w:lang w:val="en-US" w:eastAsia="zh-CN"/>
        </w:rPr>
        <w:t xml:space="preserve">         </w:t>
      </w:r>
      <w:r>
        <w:drawing>
          <wp:inline distT="0" distB="0" distL="114300" distR="114300">
            <wp:extent cx="4902200" cy="2844800"/>
            <wp:effectExtent l="4445" t="4445" r="8255" b="8255"/>
            <wp:docPr id="11" name="图片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eastAsia"/>
          <w:color w:val="FF0000"/>
          <w:lang w:val="en-US" w:eastAsia="zh-CN"/>
        </w:rPr>
        <w:t xml:space="preserve">                                                       </w:t>
      </w:r>
    </w:p>
    <w:p>
      <w:pPr>
        <w:pBdr>
          <w:top w:val="none" w:color="auto" w:sz="0" w:space="1"/>
          <w:left w:val="none" w:color="auto" w:sz="0" w:space="4"/>
          <w:bottom w:val="none" w:color="auto" w:sz="0" w:space="1"/>
          <w:right w:val="none" w:color="auto" w:sz="0" w:space="4"/>
        </w:pBdr>
        <w:spacing w:line="360" w:lineRule="auto"/>
        <w:jc w:val="center"/>
        <w:rPr>
          <w:rFonts w:hint="eastAsia" w:ascii="宋体" w:hAnsi="宋体" w:cs="宋体"/>
          <w:b/>
          <w:bCs/>
          <w:color w:val="auto"/>
          <w:szCs w:val="21"/>
        </w:rPr>
      </w:pPr>
      <w:r>
        <w:rPr>
          <w:rFonts w:hint="eastAsia" w:ascii="宋体" w:hAnsi="宋体" w:cs="宋体"/>
          <w:b/>
          <w:bCs/>
          <w:color w:val="auto"/>
          <w:szCs w:val="21"/>
        </w:rPr>
        <w:t xml:space="preserve">图2-1  </w:t>
      </w:r>
      <w:r>
        <w:rPr>
          <w:rFonts w:hint="eastAsia" w:ascii="宋体" w:hAnsi="宋体" w:cs="宋体"/>
          <w:b/>
          <w:bCs/>
          <w:color w:val="auto"/>
          <w:szCs w:val="21"/>
          <w:lang w:eastAsia="zh-CN"/>
        </w:rPr>
        <w:t>201</w:t>
      </w:r>
      <w:r>
        <w:rPr>
          <w:rFonts w:hint="eastAsia" w:ascii="宋体" w:hAnsi="宋体" w:cs="宋体"/>
          <w:b/>
          <w:bCs/>
          <w:color w:val="auto"/>
          <w:szCs w:val="21"/>
          <w:lang w:val="en-US" w:eastAsia="zh-CN"/>
        </w:rPr>
        <w:t>4</w:t>
      </w:r>
      <w:r>
        <w:rPr>
          <w:rFonts w:hint="eastAsia" w:ascii="宋体" w:hAnsi="宋体" w:cs="宋体"/>
          <w:b/>
          <w:bCs/>
          <w:color w:val="auto"/>
          <w:szCs w:val="21"/>
        </w:rPr>
        <w:t>-20</w:t>
      </w:r>
      <w:r>
        <w:rPr>
          <w:rFonts w:hint="eastAsia" w:ascii="宋体" w:hAnsi="宋体" w:cs="宋体"/>
          <w:b/>
          <w:bCs/>
          <w:color w:val="auto"/>
          <w:szCs w:val="21"/>
          <w:lang w:val="en-US" w:eastAsia="zh-CN"/>
        </w:rPr>
        <w:t>20</w:t>
      </w:r>
      <w:r>
        <w:rPr>
          <w:rFonts w:hint="eastAsia" w:ascii="宋体" w:hAnsi="宋体" w:cs="宋体"/>
          <w:b/>
          <w:bCs/>
          <w:color w:val="auto"/>
          <w:szCs w:val="21"/>
        </w:rPr>
        <w:t>届毕业生就业率发展趋势</w:t>
      </w:r>
    </w:p>
    <w:p>
      <w:pPr>
        <w:numPr>
          <w:ilvl w:val="0"/>
          <w:numId w:val="2"/>
        </w:numPr>
        <w:jc w:val="both"/>
        <w:rPr>
          <w:rFonts w:hint="eastAsia" w:ascii="仿宋" w:hAnsi="仿宋" w:eastAsia="仿宋" w:cs="仿宋"/>
          <w:b/>
          <w:bCs/>
          <w:color w:val="auto"/>
          <w:sz w:val="32"/>
          <w:szCs w:val="32"/>
          <w:lang w:val="en-US" w:eastAsia="zh-CN"/>
        </w:rPr>
      </w:pPr>
      <w:bookmarkStart w:id="40" w:name="_Toc8752"/>
      <w:r>
        <w:rPr>
          <w:rFonts w:hint="eastAsia" w:ascii="仿宋" w:hAnsi="仿宋" w:eastAsia="仿宋" w:cs="仿宋"/>
          <w:b/>
          <w:bCs/>
          <w:color w:val="auto"/>
          <w:sz w:val="32"/>
          <w:szCs w:val="32"/>
          <w:lang w:val="en-US" w:eastAsia="zh-CN"/>
        </w:rPr>
        <w:t>直接就业</w:t>
      </w:r>
      <w:r>
        <w:rPr>
          <w:rFonts w:hint="eastAsia" w:ascii="仿宋" w:hAnsi="仿宋" w:eastAsia="仿宋" w:cs="仿宋"/>
          <w:b/>
          <w:bCs/>
          <w:color w:val="auto"/>
          <w:sz w:val="32"/>
          <w:szCs w:val="32"/>
          <w:vertAlign w:val="superscript"/>
          <w:lang w:val="en-US" w:eastAsia="zh-CN"/>
        </w:rPr>
        <w:footnoteReference w:id="1"/>
      </w:r>
      <w:r>
        <w:rPr>
          <w:rFonts w:hint="eastAsia" w:ascii="仿宋" w:hAnsi="仿宋" w:eastAsia="仿宋" w:cs="仿宋"/>
          <w:b/>
          <w:bCs/>
          <w:color w:val="auto"/>
          <w:sz w:val="32"/>
          <w:szCs w:val="32"/>
          <w:lang w:val="en-US" w:eastAsia="zh-CN"/>
        </w:rPr>
        <w:t>与深造</w:t>
      </w:r>
      <w:r>
        <w:rPr>
          <w:rFonts w:hint="eastAsia" w:ascii="仿宋" w:hAnsi="仿宋" w:eastAsia="仿宋" w:cs="仿宋"/>
          <w:b/>
          <w:bCs/>
          <w:color w:val="auto"/>
          <w:sz w:val="32"/>
          <w:szCs w:val="32"/>
          <w:vertAlign w:val="superscript"/>
          <w:lang w:val="en-US" w:eastAsia="zh-CN"/>
        </w:rPr>
        <w:footnoteReference w:id="2"/>
      </w:r>
      <w:r>
        <w:rPr>
          <w:rFonts w:hint="eastAsia" w:ascii="仿宋" w:hAnsi="仿宋" w:eastAsia="仿宋" w:cs="仿宋"/>
          <w:b/>
          <w:bCs/>
          <w:color w:val="auto"/>
          <w:sz w:val="32"/>
          <w:szCs w:val="32"/>
          <w:lang w:val="en-US" w:eastAsia="zh-CN"/>
        </w:rPr>
        <w:t>的变化趋势</w:t>
      </w:r>
      <w:bookmarkEnd w:id="40"/>
    </w:p>
    <w:p>
      <w:pPr>
        <w:numPr>
          <w:ilvl w:val="0"/>
          <w:numId w:val="0"/>
        </w:numPr>
        <w:ind w:firstLine="640" w:firstLineChars="200"/>
        <w:jc w:val="both"/>
      </w:pPr>
      <w:r>
        <w:rPr>
          <w:rFonts w:hint="eastAsia" w:ascii="仿宋" w:hAnsi="仿宋" w:eastAsia="仿宋" w:cs="仿宋"/>
          <w:color w:val="auto"/>
          <w:sz w:val="32"/>
          <w:szCs w:val="32"/>
          <w:lang w:val="en-US" w:eastAsia="zh-CN"/>
        </w:rPr>
        <w:t>随着社会竞争愈加激烈、就业压力不断增大，在毕业生总数及就业率总体保持相对稳定的情况下，我院2015-2020届毕业生中选择继续深造的毕业生人数比例有所波动，选择毕业后直接就业的毕业生人数逐年增加。</w:t>
      </w:r>
    </w:p>
    <w:p>
      <w:pPr>
        <w:jc w:val="center"/>
      </w:pPr>
      <w:r>
        <w:drawing>
          <wp:inline distT="0" distB="0" distL="114300" distR="114300">
            <wp:extent cx="4572000" cy="2743200"/>
            <wp:effectExtent l="4445" t="4445" r="14605" b="14605"/>
            <wp:docPr id="12"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jc w:val="both"/>
      </w:pPr>
    </w:p>
    <w:p>
      <w:pPr>
        <w:jc w:val="both"/>
      </w:pPr>
    </w:p>
    <w:p>
      <w:pPr>
        <w:jc w:val="both"/>
      </w:pPr>
    </w:p>
    <w:p>
      <w:pPr>
        <w:autoSpaceDE w:val="0"/>
        <w:spacing w:line="0" w:lineRule="atLeast"/>
        <w:jc w:val="center"/>
        <w:outlineLvl w:val="0"/>
        <w:rPr>
          <w:rFonts w:ascii="宋体" w:hAnsi="宋体"/>
          <w:b/>
          <w:bCs/>
          <w:sz w:val="44"/>
          <w:szCs w:val="44"/>
        </w:rPr>
      </w:pPr>
      <w:r>
        <w:rPr>
          <w:rFonts w:hint="eastAsia" w:ascii="宋体" w:hAnsi="宋体"/>
          <w:b/>
          <w:bCs/>
          <w:sz w:val="44"/>
          <w:szCs w:val="44"/>
        </w:rPr>
        <w:t>第三部分：就业工作举措</w:t>
      </w:r>
    </w:p>
    <w:p>
      <w:pPr>
        <w:ind w:firstLine="640" w:firstLineChars="200"/>
        <w:jc w:val="both"/>
        <w:rPr>
          <w:rFonts w:ascii="仿宋" w:hAnsi="仿宋" w:eastAsia="仿宋"/>
          <w:sz w:val="32"/>
          <w:szCs w:val="32"/>
        </w:rPr>
      </w:pPr>
      <w:r>
        <w:rPr>
          <w:rFonts w:hint="eastAsia" w:ascii="仿宋" w:hAnsi="仿宋" w:eastAsia="仿宋"/>
          <w:sz w:val="32"/>
          <w:szCs w:val="32"/>
        </w:rPr>
        <w:t>湘杏学院毕业生就业领导小组认真贯彻《中共中央国务院关于进一步加强和改进大学生思想政治教育的意见》和《关于引导和鼓励高校毕业生面向基层就业的意见》等就业文件精神，坚持以学生为本的教育理念，以“大学生职业生涯”辅导为工作起点，以提高大学生就业指导水平、培育和拓展毕业生就业市场为工作重点，以理念创新、制度创新、方法创新为工作动力，以强化就业工作人员服务意识、规范就业管理制度为工作保障，以提高并稳定就业率与就业质量为工作目标，扎实开展大学生就业指导和服务工作，努力形成具有我院特色的就业工作新局面。</w:t>
      </w:r>
    </w:p>
    <w:p>
      <w:pPr>
        <w:jc w:val="both"/>
        <w:rPr>
          <w:rFonts w:ascii="仿宋" w:hAnsi="仿宋" w:eastAsia="仿宋"/>
          <w:b/>
          <w:bCs/>
          <w:sz w:val="32"/>
          <w:szCs w:val="32"/>
        </w:rPr>
      </w:pPr>
      <w:r>
        <w:rPr>
          <w:rFonts w:hint="eastAsia" w:ascii="仿宋" w:hAnsi="仿宋" w:eastAsia="仿宋"/>
          <w:b/>
          <w:bCs/>
          <w:sz w:val="32"/>
          <w:szCs w:val="32"/>
        </w:rPr>
        <w:t>一、健全就业工作机制</w:t>
      </w:r>
    </w:p>
    <w:p>
      <w:pPr>
        <w:ind w:firstLine="640" w:firstLineChars="200"/>
        <w:jc w:val="both"/>
        <w:rPr>
          <w:rFonts w:ascii="仿宋" w:hAnsi="仿宋" w:eastAsia="仿宋"/>
          <w:sz w:val="32"/>
          <w:szCs w:val="32"/>
        </w:rPr>
      </w:pPr>
      <w:r>
        <w:rPr>
          <w:rFonts w:hint="eastAsia" w:ascii="仿宋" w:hAnsi="仿宋" w:eastAsia="仿宋"/>
          <w:sz w:val="32"/>
          <w:szCs w:val="32"/>
        </w:rPr>
        <w:t>湖南中医药大学湘杏学院在母体高校（湖南中医药大学）的统一部署下开展就业工作。学院高度重视毕业生的就业工作，认真落实就业工作。书记是毕业生就业工作第一责任人，亲自抓、负总责。学院成立了以学院领导为组长，指定一名就业专干，全体学院(行政)老师为成员的湘杏学院毕业生就业工作领导小组，做到职责明确，人人有责。学院每年召开毕业生就业工作专题会议，研究当前毕业生就业工作的形势，有针对性地加强对就业工作的领导和指导，促进各项工作落到实处，确保2020年就业工作目标的实现。学院不定期开展就业工作自查，对在就业工作中作出突出成绩和贡献的个人给予适当的奖励。</w:t>
      </w:r>
    </w:p>
    <w:p>
      <w:pPr>
        <w:jc w:val="both"/>
        <w:rPr>
          <w:rFonts w:ascii="仿宋" w:hAnsi="仿宋" w:eastAsia="仿宋"/>
          <w:b/>
          <w:bCs/>
          <w:sz w:val="32"/>
          <w:szCs w:val="32"/>
        </w:rPr>
      </w:pPr>
      <w:r>
        <w:rPr>
          <w:rFonts w:hint="eastAsia" w:ascii="仿宋" w:hAnsi="仿宋" w:eastAsia="仿宋"/>
          <w:b/>
          <w:bCs/>
          <w:sz w:val="32"/>
          <w:szCs w:val="32"/>
        </w:rPr>
        <w:t>二、重视市场建设，拓宽就业渠道</w:t>
      </w:r>
    </w:p>
    <w:p>
      <w:pPr>
        <w:ind w:firstLine="640" w:firstLineChars="200"/>
        <w:jc w:val="both"/>
        <w:rPr>
          <w:rFonts w:ascii="仿宋" w:hAnsi="仿宋" w:eastAsia="仿宋"/>
          <w:sz w:val="32"/>
          <w:szCs w:val="32"/>
        </w:rPr>
      </w:pPr>
      <w:r>
        <w:rPr>
          <w:rFonts w:hint="eastAsia" w:ascii="仿宋" w:hAnsi="仿宋" w:eastAsia="仿宋"/>
          <w:sz w:val="32"/>
          <w:szCs w:val="32"/>
        </w:rPr>
        <w:t>学院积极加强同社会各界及用人单位的联系并开拓毕业生就业市场，从而在激烈的市场竞争中保持主动地位。全年累计联系用人单位300余家，召开相关专业专场招聘会70余次，提供了6000多个就业岗位。其中包括深圳盐田妇幼保健院、广州市香雪制药股份有限公司、广东一方制药有限公司、湖南海王星辰健康药房连锁有限公司等多家知名医院与企业到我院进行专场招聘，获得了用人单位与学生们的一致好评。</w:t>
      </w:r>
    </w:p>
    <w:p>
      <w:pPr>
        <w:jc w:val="both"/>
        <w:rPr>
          <w:rFonts w:ascii="仿宋" w:hAnsi="仿宋" w:eastAsia="仿宋"/>
          <w:b/>
          <w:bCs/>
          <w:sz w:val="32"/>
          <w:szCs w:val="32"/>
        </w:rPr>
      </w:pPr>
      <w:r>
        <w:rPr>
          <w:rFonts w:hint="eastAsia" w:ascii="仿宋" w:hAnsi="仿宋" w:eastAsia="仿宋"/>
          <w:b/>
          <w:bCs/>
          <w:sz w:val="32"/>
          <w:szCs w:val="32"/>
        </w:rPr>
        <w:t>三、完善就业信息化建设</w:t>
      </w:r>
    </w:p>
    <w:p>
      <w:pPr>
        <w:jc w:val="both"/>
        <w:rPr>
          <w:rFonts w:ascii="仿宋" w:hAnsi="仿宋" w:eastAsia="仿宋"/>
          <w:b/>
          <w:bCs/>
          <w:sz w:val="32"/>
          <w:szCs w:val="32"/>
        </w:rPr>
      </w:pPr>
      <w:r>
        <w:rPr>
          <w:rFonts w:hint="eastAsia" w:ascii="仿宋" w:hAnsi="仿宋" w:eastAsia="仿宋"/>
          <w:b/>
          <w:bCs/>
          <w:sz w:val="32"/>
          <w:szCs w:val="32"/>
        </w:rPr>
        <w:t>（一）健全学院就业信息网页及时发布就业信息</w:t>
      </w:r>
    </w:p>
    <w:p>
      <w:pPr>
        <w:ind w:firstLine="640" w:firstLineChars="200"/>
        <w:jc w:val="both"/>
        <w:rPr>
          <w:rFonts w:ascii="仿宋" w:hAnsi="仿宋" w:eastAsia="仿宋"/>
          <w:sz w:val="32"/>
          <w:szCs w:val="32"/>
        </w:rPr>
      </w:pPr>
      <w:r>
        <w:rPr>
          <w:rFonts w:hint="eastAsia" w:ascii="仿宋" w:hAnsi="仿宋" w:eastAsia="仿宋"/>
          <w:sz w:val="32"/>
          <w:szCs w:val="32"/>
        </w:rPr>
        <w:t>完善学院就业信息网，与湖南中医药大学招生就业信息网站、湖南省毕业生实名制系统、大学生一站式服务系统、全国大学生创业服务网等实时链接。设立了就业活动、通知公告、就业指导、招聘信息、服务指南、就业政策等栏目，功能更加齐全，及时发布相关信息，网址：http://xxxy.hnctcm.edu.cn/</w:t>
      </w:r>
    </w:p>
    <w:p>
      <w:pPr>
        <w:widowControl/>
        <w:jc w:val="center"/>
        <w:rPr>
          <w:rFonts w:ascii="宋体" w:hAnsi="宋体"/>
          <w:sz w:val="28"/>
          <w:szCs w:val="28"/>
        </w:rPr>
      </w:pPr>
      <w:r>
        <w:drawing>
          <wp:inline distT="0" distB="0" distL="114300" distR="114300">
            <wp:extent cx="5447030" cy="3064510"/>
            <wp:effectExtent l="0" t="0" r="1270" b="254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22"/>
                    <a:stretch>
                      <a:fillRect/>
                    </a:stretch>
                  </pic:blipFill>
                  <pic:spPr>
                    <a:xfrm>
                      <a:off x="0" y="0"/>
                      <a:ext cx="5447030" cy="3064510"/>
                    </a:xfrm>
                    <a:prstGeom prst="rect">
                      <a:avLst/>
                    </a:prstGeom>
                    <a:noFill/>
                    <a:ln>
                      <a:noFill/>
                    </a:ln>
                  </pic:spPr>
                </pic:pic>
              </a:graphicData>
            </a:graphic>
          </wp:inline>
        </w:drawing>
      </w:r>
    </w:p>
    <w:p>
      <w:pPr>
        <w:spacing w:line="560" w:lineRule="exact"/>
        <w:jc w:val="center"/>
        <w:rPr>
          <w:rFonts w:ascii="宋体" w:hAnsi="宋体"/>
          <w:b/>
          <w:bCs/>
        </w:rPr>
      </w:pPr>
      <w:r>
        <w:rPr>
          <w:rFonts w:hint="eastAsia" w:ascii="宋体" w:hAnsi="宋体"/>
          <w:b/>
          <w:bCs/>
        </w:rPr>
        <w:t>图3-1  湖南中医药大学湘杏学院就业信息网主页</w:t>
      </w:r>
    </w:p>
    <w:p>
      <w:pPr>
        <w:ind w:firstLine="420" w:firstLineChars="200"/>
        <w:jc w:val="both"/>
      </w:pPr>
      <w:r>
        <w:t xml:space="preserve"> </w:t>
      </w:r>
    </w:p>
    <w:p>
      <w:pPr>
        <w:tabs>
          <w:tab w:val="left" w:pos="18709"/>
        </w:tabs>
        <w:ind w:firstLine="640" w:firstLineChars="200"/>
        <w:jc w:val="both"/>
        <w:rPr>
          <w:rFonts w:ascii="仿宋" w:hAnsi="仿宋" w:eastAsia="仿宋"/>
          <w:sz w:val="32"/>
          <w:szCs w:val="32"/>
        </w:rPr>
      </w:pPr>
      <w:r>
        <w:rPr>
          <w:rFonts w:hint="eastAsia" w:ascii="仿宋" w:hAnsi="仿宋" w:eastAsia="仿宋"/>
          <w:sz w:val="32"/>
          <w:szCs w:val="32"/>
        </w:rPr>
        <w:t>2019年9月至2020年12月通过就业信息网发布信息244条</w:t>
      </w:r>
      <w:r>
        <w:rPr>
          <w:rFonts w:ascii="仿宋" w:hAnsi="仿宋" w:eastAsia="仿宋"/>
          <w:sz w:val="32"/>
          <w:szCs w:val="32"/>
        </w:rPr>
        <w:tab/>
      </w:r>
    </w:p>
    <w:p>
      <w:pPr>
        <w:jc w:val="center"/>
      </w:pPr>
      <w:r>
        <w:drawing>
          <wp:inline distT="0" distB="0" distL="114300" distR="114300">
            <wp:extent cx="4796155" cy="2813685"/>
            <wp:effectExtent l="0" t="0" r="444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4796155" cy="2813685"/>
                    </a:xfrm>
                    <a:prstGeom prst="rect">
                      <a:avLst/>
                    </a:prstGeom>
                    <a:noFill/>
                    <a:ln>
                      <a:noFill/>
                    </a:ln>
                  </pic:spPr>
                </pic:pic>
              </a:graphicData>
            </a:graphic>
          </wp:inline>
        </w:drawing>
      </w:r>
    </w:p>
    <w:p>
      <w:pPr>
        <w:jc w:val="center"/>
        <w:rPr>
          <w:rFonts w:ascii="宋体" w:hAnsi="宋体"/>
          <w:b/>
          <w:bCs/>
        </w:rPr>
      </w:pPr>
      <w:r>
        <w:rPr>
          <w:rFonts w:hint="eastAsia" w:ascii="宋体" w:hAnsi="宋体"/>
          <w:b/>
          <w:bCs/>
        </w:rPr>
        <w:t>图3-</w:t>
      </w:r>
      <w:r>
        <w:rPr>
          <w:rFonts w:hint="default" w:ascii="宋体" w:hAnsi="宋体"/>
          <w:b/>
          <w:bCs/>
        </w:rPr>
        <w:t>2</w:t>
      </w:r>
      <w:r>
        <w:rPr>
          <w:rFonts w:hint="eastAsia" w:ascii="宋体" w:hAnsi="宋体"/>
          <w:b/>
          <w:bCs/>
        </w:rPr>
        <w:t xml:space="preserve">  2019.09-2020.12就业信息发布情况</w:t>
      </w:r>
    </w:p>
    <w:p>
      <w:pPr>
        <w:ind w:firstLine="640" w:firstLineChars="200"/>
        <w:jc w:val="both"/>
        <w:rPr>
          <w:rFonts w:ascii="宋体" w:hAnsi="宋体"/>
          <w:sz w:val="28"/>
          <w:szCs w:val="28"/>
        </w:rPr>
      </w:pPr>
      <w:r>
        <w:rPr>
          <w:rFonts w:hint="eastAsia" w:ascii="仿宋" w:hAnsi="仿宋" w:eastAsia="仿宋"/>
          <w:sz w:val="32"/>
          <w:szCs w:val="32"/>
        </w:rPr>
        <w:t>2019年9月至2020年12月通过就业信息网发布的招聘单位地区分布情况如图，以中部地区最多，占59.90%，东部地区其次，占33.50%。</w:t>
      </w:r>
    </w:p>
    <w:p>
      <w:pPr>
        <w:jc w:val="center"/>
      </w:pPr>
      <w:r>
        <w:drawing>
          <wp:inline distT="0" distB="0" distL="114300" distR="114300">
            <wp:extent cx="5078095" cy="2955290"/>
            <wp:effectExtent l="0" t="0" r="8255" b="1651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24"/>
                    <a:stretch>
                      <a:fillRect/>
                    </a:stretch>
                  </pic:blipFill>
                  <pic:spPr>
                    <a:xfrm>
                      <a:off x="0" y="0"/>
                      <a:ext cx="5078095" cy="2955290"/>
                    </a:xfrm>
                    <a:prstGeom prst="rect">
                      <a:avLst/>
                    </a:prstGeom>
                    <a:noFill/>
                    <a:ln>
                      <a:noFill/>
                    </a:ln>
                  </pic:spPr>
                </pic:pic>
              </a:graphicData>
            </a:graphic>
          </wp:inline>
        </w:drawing>
      </w:r>
    </w:p>
    <w:p>
      <w:pPr>
        <w:spacing w:line="560" w:lineRule="exact"/>
        <w:jc w:val="center"/>
        <w:rPr>
          <w:rFonts w:ascii="宋体" w:hAnsi="宋体"/>
          <w:b/>
          <w:bCs/>
          <w:sz w:val="28"/>
          <w:szCs w:val="28"/>
        </w:rPr>
      </w:pPr>
      <w:r>
        <w:rPr>
          <w:rFonts w:hint="eastAsia" w:ascii="宋体" w:hAnsi="宋体"/>
          <w:b/>
          <w:bCs/>
        </w:rPr>
        <w:t>图3-</w:t>
      </w:r>
      <w:r>
        <w:rPr>
          <w:rFonts w:hint="default" w:ascii="宋体" w:hAnsi="宋体"/>
          <w:b/>
          <w:bCs/>
        </w:rPr>
        <w:t>3</w:t>
      </w:r>
      <w:r>
        <w:rPr>
          <w:rFonts w:hint="eastAsia" w:ascii="宋体" w:hAnsi="宋体"/>
          <w:b/>
          <w:bCs/>
        </w:rPr>
        <w:t xml:space="preserve">  2019年9月至2020年12月发布的招聘单位地区分布情况</w:t>
      </w:r>
    </w:p>
    <w:p>
      <w:pPr>
        <w:ind w:firstLine="640" w:firstLineChars="200"/>
        <w:jc w:val="both"/>
        <w:rPr>
          <w:rFonts w:ascii="仿宋" w:hAnsi="仿宋" w:eastAsia="仿宋"/>
          <w:sz w:val="32"/>
          <w:szCs w:val="32"/>
        </w:rPr>
      </w:pPr>
      <w:r>
        <w:rPr>
          <w:rFonts w:hint="eastAsia" w:ascii="仿宋" w:hAnsi="仿宋" w:eastAsia="仿宋"/>
          <w:sz w:val="32"/>
          <w:szCs w:val="32"/>
        </w:rPr>
        <w:t>2019年9月至2020年12月通过就业信息网发布的招聘单位性质分布情况如图，以医疗卫生单位最多，占48.04%，事业单位其次，占37.76%。</w:t>
      </w:r>
    </w:p>
    <w:p>
      <w:pPr>
        <w:jc w:val="center"/>
      </w:pPr>
      <w:r>
        <w:drawing>
          <wp:inline distT="0" distB="0" distL="114300" distR="114300">
            <wp:extent cx="5106670" cy="3019425"/>
            <wp:effectExtent l="0" t="0" r="17780" b="952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25"/>
                    <a:stretch>
                      <a:fillRect/>
                    </a:stretch>
                  </pic:blipFill>
                  <pic:spPr>
                    <a:xfrm>
                      <a:off x="0" y="0"/>
                      <a:ext cx="5106670" cy="3019425"/>
                    </a:xfrm>
                    <a:prstGeom prst="rect">
                      <a:avLst/>
                    </a:prstGeom>
                    <a:noFill/>
                    <a:ln>
                      <a:noFill/>
                    </a:ln>
                  </pic:spPr>
                </pic:pic>
              </a:graphicData>
            </a:graphic>
          </wp:inline>
        </w:drawing>
      </w:r>
    </w:p>
    <w:p>
      <w:pPr>
        <w:spacing w:line="500" w:lineRule="exact"/>
        <w:jc w:val="center"/>
        <w:rPr>
          <w:rFonts w:ascii="宋体" w:hAnsi="宋体"/>
          <w:sz w:val="24"/>
          <w:szCs w:val="24"/>
        </w:rPr>
      </w:pPr>
      <w:r>
        <w:rPr>
          <w:rFonts w:hint="eastAsia" w:ascii="宋体" w:hAnsi="宋体"/>
          <w:b/>
          <w:bCs/>
        </w:rPr>
        <w:t>图3-4  2019年9月至2020年12月发布的招聘单位性质分布情况</w:t>
      </w:r>
    </w:p>
    <w:p>
      <w:pPr>
        <w:jc w:val="both"/>
        <w:rPr>
          <w:rFonts w:ascii="仿宋" w:hAnsi="仿宋" w:eastAsia="仿宋"/>
          <w:b/>
          <w:bCs/>
          <w:sz w:val="32"/>
          <w:szCs w:val="32"/>
        </w:rPr>
      </w:pPr>
      <w:r>
        <w:rPr>
          <w:rFonts w:hint="eastAsia" w:ascii="仿宋" w:hAnsi="仿宋" w:eastAsia="仿宋"/>
          <w:b/>
          <w:bCs/>
          <w:sz w:val="32"/>
          <w:szCs w:val="32"/>
        </w:rPr>
        <w:t>（二）建立班级就业信息员</w:t>
      </w:r>
    </w:p>
    <w:p>
      <w:pPr>
        <w:ind w:firstLine="640" w:firstLineChars="200"/>
        <w:jc w:val="both"/>
        <w:rPr>
          <w:rFonts w:ascii="仿宋" w:hAnsi="仿宋" w:eastAsia="仿宋"/>
          <w:sz w:val="32"/>
          <w:szCs w:val="32"/>
        </w:rPr>
      </w:pPr>
      <w:r>
        <w:rPr>
          <w:rFonts w:hint="eastAsia" w:ascii="仿宋" w:hAnsi="仿宋" w:eastAsia="仿宋"/>
          <w:sz w:val="32"/>
          <w:szCs w:val="32"/>
        </w:rPr>
        <w:t>我院在毕业班学生党员、干部中选出了就业信息员，毕业班建立信息小组，及时准确地掌握了毕业生基本情况，切实作到了对每个毕业生的去向、联系方式有详细记录并做到实时更新。非毕业班通过就业委发布相关创新创业大赛或职业生涯规划大赛的通知，定期召开就业委员会议从而加强学院就业办与班级之间的沟通联系。学生科老师定期召开毕业班班长、团支书会议，及时了解同学们的就业进展、意向，为同学们与企业牵线搭桥。</w:t>
      </w:r>
    </w:p>
    <w:p>
      <w:pPr>
        <w:jc w:val="both"/>
        <w:rPr>
          <w:rFonts w:ascii="仿宋" w:hAnsi="仿宋" w:eastAsia="仿宋"/>
          <w:b/>
          <w:bCs/>
          <w:sz w:val="32"/>
          <w:szCs w:val="32"/>
        </w:rPr>
      </w:pPr>
      <w:r>
        <w:rPr>
          <w:rFonts w:hint="eastAsia" w:ascii="仿宋" w:hAnsi="仿宋" w:eastAsia="仿宋"/>
          <w:b/>
          <w:bCs/>
          <w:sz w:val="32"/>
          <w:szCs w:val="32"/>
        </w:rPr>
        <w:t>四、积极开展2020届毕业生就业情况调研</w:t>
      </w:r>
    </w:p>
    <w:p>
      <w:pPr>
        <w:ind w:firstLine="640" w:firstLineChars="200"/>
        <w:jc w:val="both"/>
        <w:rPr>
          <w:rFonts w:hint="eastAsia" w:ascii="仿宋" w:hAnsi="仿宋" w:eastAsia="仿宋"/>
          <w:sz w:val="32"/>
          <w:szCs w:val="32"/>
        </w:rPr>
      </w:pPr>
      <w:r>
        <w:rPr>
          <w:rFonts w:hint="eastAsia" w:ascii="仿宋" w:hAnsi="仿宋" w:eastAsia="仿宋"/>
          <w:sz w:val="32"/>
          <w:szCs w:val="32"/>
        </w:rPr>
        <w:t>为充分掌握毕业生的就业意向，我院针对2020届毕业生展开了就业情况调研工作，从工作地域、自主创业、考研升学等多方面了解了毕业生的就业目标。并以此为依据把握应届毕业生的就业期望及观念，加强就业指导的关键性和有效性，从而根据学院的实际情况有争对性地开拓就业市场。</w:t>
      </w:r>
    </w:p>
    <w:p>
      <w:pPr>
        <w:jc w:val="both"/>
        <w:rPr>
          <w:rFonts w:ascii="仿宋" w:hAnsi="仿宋" w:eastAsia="仿宋"/>
          <w:b/>
          <w:bCs/>
          <w:sz w:val="32"/>
          <w:szCs w:val="32"/>
        </w:rPr>
      </w:pPr>
      <w:r>
        <w:rPr>
          <w:rFonts w:hint="eastAsia" w:ascii="仿宋" w:hAnsi="仿宋" w:eastAsia="仿宋"/>
          <w:b/>
          <w:bCs/>
          <w:sz w:val="32"/>
          <w:szCs w:val="32"/>
        </w:rPr>
        <w:t>五、针对就业困难学生进行一对一帮扶工作</w:t>
      </w:r>
    </w:p>
    <w:p>
      <w:pPr>
        <w:ind w:firstLine="640" w:firstLineChars="200"/>
        <w:jc w:val="both"/>
        <w:rPr>
          <w:rFonts w:hint="eastAsia" w:ascii="仿宋" w:hAnsi="仿宋" w:eastAsia="仿宋"/>
          <w:sz w:val="32"/>
          <w:szCs w:val="32"/>
        </w:rPr>
      </w:pPr>
      <w:bookmarkStart w:id="41" w:name="_Hlk58450632"/>
      <w:r>
        <w:rPr>
          <w:rFonts w:hint="eastAsia" w:ascii="仿宋" w:hAnsi="仿宋" w:eastAsia="仿宋"/>
          <w:sz w:val="32"/>
          <w:szCs w:val="32"/>
        </w:rPr>
        <w:t>我院一直以来极其重视学院就业困难学生帮扶工作的开展。2020年，学院建立了52位就业困难学生档案及台账，制定了《湘杏学院就业困难毕业生帮扶工作实施方案》，学院每一位教职工都参与帮扶。按照“重点关注、重点推荐、重点服务”的原则，加强领导，明确责任，周密部署，重点针对家庭困难毕业生、学业困难毕业生、残疾人毕业生以及就业期望值过高的毕业生等群体开展就业帮扶工作。</w:t>
      </w:r>
      <w:bookmarkEnd w:id="41"/>
    </w:p>
    <w:p>
      <w:pPr>
        <w:jc w:val="both"/>
        <w:rPr>
          <w:rFonts w:ascii="仿宋" w:hAnsi="仿宋" w:eastAsia="仿宋"/>
          <w:b/>
          <w:bCs/>
          <w:sz w:val="32"/>
          <w:szCs w:val="32"/>
        </w:rPr>
      </w:pPr>
      <w:r>
        <w:rPr>
          <w:rFonts w:hint="eastAsia" w:ascii="仿宋" w:hAnsi="仿宋" w:eastAsia="仿宋"/>
          <w:b/>
          <w:bCs/>
          <w:sz w:val="32"/>
          <w:szCs w:val="32"/>
        </w:rPr>
        <w:t>六、就业创业服务情况</w:t>
      </w:r>
    </w:p>
    <w:p>
      <w:pPr>
        <w:jc w:val="both"/>
        <w:rPr>
          <w:rFonts w:ascii="仿宋" w:hAnsi="仿宋" w:eastAsia="仿宋"/>
          <w:b/>
          <w:bCs/>
          <w:sz w:val="32"/>
          <w:szCs w:val="32"/>
        </w:rPr>
      </w:pPr>
      <w:r>
        <w:rPr>
          <w:rFonts w:hint="eastAsia" w:ascii="仿宋" w:hAnsi="仿宋" w:eastAsia="仿宋"/>
          <w:b/>
          <w:bCs/>
          <w:sz w:val="32"/>
          <w:szCs w:val="32"/>
        </w:rPr>
        <w:t>（一）健全就业服务队伍</w:t>
      </w:r>
    </w:p>
    <w:p>
      <w:pPr>
        <w:ind w:firstLine="640" w:firstLineChars="200"/>
        <w:jc w:val="both"/>
        <w:rPr>
          <w:rFonts w:ascii="仿宋" w:hAnsi="仿宋" w:eastAsia="仿宋"/>
          <w:sz w:val="32"/>
          <w:szCs w:val="32"/>
        </w:rPr>
      </w:pPr>
      <w:r>
        <w:rPr>
          <w:rFonts w:hint="eastAsia" w:ascii="仿宋" w:hAnsi="仿宋" w:eastAsia="仿宋"/>
          <w:sz w:val="32"/>
          <w:szCs w:val="32"/>
        </w:rPr>
        <w:t>招聘了一批素质高、能力强的在校学生队伍成立了湘杏学院就业创业服务中心，中心设置主任1名、部长4名、干事21名，下属策划宣传部、创业实践部、外联服务部、信息管理部四个部门，分别承担不同的工作职责，以“为大学生服务”为宗旨，在湘杏学院就业专干王毅老师的带领下为在校学生创造良好创业创新氛围并建设更好的就业服务平台，同时，在全院范围内每班设置就业委员一名，从而完善学院就业服务团队。从单位招聘、毕业生数据管理、毕业生派遣、就业率统计等工作着手培养学生待人接物、文明礼仪、人际交往和语言沟通、熟练操作办公软件、创业创新等方面能力，让学生从大一开始就了解就业知识、认识就业形势，为做好学生就业工作奠定扎实的基础。</w:t>
      </w:r>
    </w:p>
    <w:p>
      <w:pPr>
        <w:jc w:val="both"/>
        <w:rPr>
          <w:rFonts w:ascii="仿宋" w:hAnsi="仿宋" w:eastAsia="仿宋"/>
          <w:b/>
          <w:bCs/>
          <w:sz w:val="32"/>
          <w:szCs w:val="32"/>
        </w:rPr>
      </w:pPr>
      <w:r>
        <w:rPr>
          <w:rFonts w:hint="eastAsia" w:ascii="仿宋" w:hAnsi="仿宋" w:eastAsia="仿宋"/>
          <w:b/>
          <w:bCs/>
          <w:sz w:val="32"/>
          <w:szCs w:val="32"/>
        </w:rPr>
        <w:t>（二）举办促进就业相关活动</w:t>
      </w:r>
    </w:p>
    <w:p>
      <w:pPr>
        <w:ind w:firstLine="640" w:firstLineChars="200"/>
        <w:jc w:val="both"/>
        <w:rPr>
          <w:rFonts w:ascii="仿宋" w:hAnsi="仿宋" w:eastAsia="仿宋"/>
          <w:sz w:val="32"/>
          <w:szCs w:val="32"/>
        </w:rPr>
      </w:pPr>
      <w:r>
        <w:rPr>
          <w:rFonts w:hint="eastAsia" w:ascii="仿宋" w:hAnsi="仿宋" w:eastAsia="仿宋"/>
          <w:sz w:val="32"/>
          <w:szCs w:val="32"/>
        </w:rPr>
        <w:t>20</w:t>
      </w:r>
      <w:r>
        <w:rPr>
          <w:rFonts w:hint="default" w:ascii="仿宋" w:hAnsi="仿宋" w:eastAsia="仿宋"/>
          <w:sz w:val="32"/>
          <w:szCs w:val="32"/>
        </w:rPr>
        <w:t>19</w:t>
      </w:r>
      <w:r>
        <w:rPr>
          <w:rFonts w:hint="eastAsia" w:ascii="仿宋" w:hAnsi="仿宋" w:eastAsia="仿宋"/>
          <w:sz w:val="32"/>
          <w:szCs w:val="32"/>
        </w:rPr>
        <w:t>年10月-11月，我院举办了湘杏学院第七届“职场之星”模拟大赛“笃行万里，际遇职途”简历培训及面试培训、第七届“职场之星”复赛及决赛；2020年10月-11月，我院举办了第八届“职场之星”模拟大赛“职挂云帆，共赴鹏程”简历培训及面试培训、第八届“职场之星”复赛及决赛。</w:t>
      </w:r>
    </w:p>
    <w:p>
      <w:pPr>
        <w:jc w:val="both"/>
        <w:rPr>
          <w:rFonts w:ascii="仿宋" w:hAnsi="仿宋" w:eastAsia="仿宋"/>
          <w:b/>
          <w:bCs/>
          <w:sz w:val="32"/>
          <w:szCs w:val="32"/>
        </w:rPr>
      </w:pPr>
      <w:r>
        <w:rPr>
          <w:rFonts w:hint="eastAsia" w:ascii="仿宋" w:hAnsi="仿宋" w:eastAsia="仿宋"/>
          <w:b/>
          <w:bCs/>
          <w:sz w:val="32"/>
          <w:szCs w:val="32"/>
        </w:rPr>
        <w:t>（三）活动积极寻求新的就业方式，提高学生就业率</w:t>
      </w:r>
    </w:p>
    <w:p>
      <w:pPr>
        <w:ind w:firstLine="640" w:firstLineChars="200"/>
        <w:jc w:val="both"/>
        <w:rPr>
          <w:rFonts w:ascii="仿宋" w:hAnsi="仿宋" w:eastAsia="仿宋"/>
          <w:sz w:val="32"/>
          <w:szCs w:val="32"/>
        </w:rPr>
      </w:pPr>
      <w:r>
        <w:rPr>
          <w:rFonts w:hint="eastAsia" w:ascii="仿宋" w:hAnsi="仿宋" w:eastAsia="仿宋"/>
          <w:sz w:val="32"/>
          <w:szCs w:val="32"/>
        </w:rPr>
        <w:t>为提升我院就业服务工作，积极探索新的就业方式。在疫情影响之下，我院积极开发网上面试、网上签约就业的新方式，运用腾讯会议、微信、QQ等多个平台，使用人单位与学生能够沟通顺畅，不因疫情停滞学生找工作的最佳时机。</w:t>
      </w:r>
    </w:p>
    <w:p>
      <w:pPr>
        <w:jc w:val="both"/>
        <w:rPr>
          <w:rFonts w:ascii="仿宋" w:hAnsi="仿宋" w:eastAsia="仿宋"/>
          <w:b/>
          <w:bCs/>
          <w:sz w:val="32"/>
          <w:szCs w:val="32"/>
        </w:rPr>
      </w:pPr>
      <w:r>
        <w:rPr>
          <w:rFonts w:hint="eastAsia" w:ascii="仿宋" w:hAnsi="仿宋" w:eastAsia="仿宋"/>
          <w:b/>
          <w:bCs/>
          <w:sz w:val="32"/>
          <w:szCs w:val="32"/>
        </w:rPr>
        <w:t>（四）学院就业工作的难点</w:t>
      </w:r>
    </w:p>
    <w:p>
      <w:pPr>
        <w:numPr>
          <w:ilvl w:val="0"/>
          <w:numId w:val="3"/>
        </w:numPr>
        <w:ind w:firstLine="640" w:firstLineChars="200"/>
        <w:jc w:val="both"/>
        <w:rPr>
          <w:rFonts w:ascii="仿宋" w:hAnsi="仿宋" w:eastAsia="仿宋"/>
          <w:sz w:val="32"/>
          <w:szCs w:val="32"/>
        </w:rPr>
      </w:pPr>
      <w:r>
        <w:rPr>
          <w:rFonts w:hint="eastAsia" w:ascii="仿宋" w:hAnsi="仿宋" w:eastAsia="仿宋"/>
          <w:sz w:val="32"/>
          <w:szCs w:val="32"/>
        </w:rPr>
        <w:t>因为疫情影响，学院中断了连续两年外出开拓就业市场的行程。以往由学院院长带队，走访一些如珠海市人民医院等在内的知名医院与企业，并与之签订“教学实习基地”协议书。在学生群体中间都引起极好反响。</w:t>
      </w:r>
    </w:p>
    <w:p>
      <w:pPr>
        <w:numPr>
          <w:ilvl w:val="0"/>
          <w:numId w:val="3"/>
        </w:numPr>
        <w:ind w:firstLine="640" w:firstLineChars="200"/>
        <w:jc w:val="both"/>
        <w:rPr>
          <w:rFonts w:ascii="仿宋" w:hAnsi="仿宋" w:eastAsia="仿宋"/>
          <w:sz w:val="32"/>
          <w:szCs w:val="32"/>
        </w:rPr>
      </w:pPr>
      <w:r>
        <w:rPr>
          <w:rFonts w:hint="eastAsia" w:ascii="仿宋" w:hAnsi="仿宋" w:eastAsia="仿宋"/>
          <w:sz w:val="32"/>
          <w:szCs w:val="32"/>
        </w:rPr>
        <w:t>学生对学院邀请的用人单位不够重视，存在一定偏见。学院邀请的用人单位都是经过严格筛选，并且尽量贴合前期所排查学生更加倾向的就业地区来邀请单位。同时，学院也考虑到学生希望有更高平台，因此会选取层次偏高一些的医院和企业。但是学生对学院邀请的单位存在误解，认为都是一些小企业，小医院。因此，招聘会、宣讲会的到场率一般。学院为此也积极加强宣传，在招聘会前都会向学生们详细介绍用人单位及其招聘需求，争取学生多多参与招聘会。</w:t>
      </w:r>
    </w:p>
    <w:p>
      <w:pPr>
        <w:keepNext w:val="0"/>
        <w:keepLines w:val="0"/>
        <w:pageBreakBefore w:val="0"/>
        <w:kinsoku/>
        <w:wordWrap/>
        <w:overflowPunct/>
        <w:topLinePunct w:val="0"/>
        <w:autoSpaceDE/>
        <w:autoSpaceDN/>
        <w:bidi w:val="0"/>
        <w:adjustRightInd/>
        <w:snapToGrid/>
        <w:spacing w:line="0" w:lineRule="atLeast"/>
        <w:ind w:left="0" w:leftChars="0" w:right="0" w:rightChars="0"/>
        <w:jc w:val="both"/>
        <w:outlineLvl w:val="0"/>
        <w:rPr>
          <w:rFonts w:hint="eastAsia" w:ascii="宋体" w:hAnsi="宋体" w:eastAsia="宋体" w:cs="宋体"/>
          <w:b/>
          <w:bCs/>
          <w:color w:val="auto"/>
          <w:sz w:val="44"/>
          <w:szCs w:val="44"/>
        </w:rPr>
      </w:pPr>
      <w:bookmarkStart w:id="42" w:name="_Toc6462"/>
    </w:p>
    <w:p>
      <w:pPr>
        <w:keepNext w:val="0"/>
        <w:keepLines w:val="0"/>
        <w:pageBreakBefore w:val="0"/>
        <w:kinsoku/>
        <w:wordWrap/>
        <w:overflowPunct/>
        <w:topLinePunct w:val="0"/>
        <w:autoSpaceDE/>
        <w:autoSpaceDN/>
        <w:bidi w:val="0"/>
        <w:adjustRightInd/>
        <w:snapToGrid/>
        <w:spacing w:line="0" w:lineRule="atLeast"/>
        <w:ind w:left="0" w:leftChars="0" w:right="0" w:rightChars="0"/>
        <w:jc w:val="both"/>
        <w:outlineLvl w:val="0"/>
        <w:rPr>
          <w:rFonts w:hint="eastAsia" w:ascii="宋体" w:hAnsi="宋体" w:eastAsia="宋体" w:cs="宋体"/>
          <w:b/>
          <w:bCs/>
          <w:color w:val="auto"/>
          <w:sz w:val="44"/>
          <w:szCs w:val="44"/>
        </w:rPr>
      </w:pPr>
    </w:p>
    <w:p>
      <w:pPr>
        <w:keepNext w:val="0"/>
        <w:keepLines w:val="0"/>
        <w:pageBreakBefore w:val="0"/>
        <w:kinsoku/>
        <w:wordWrap/>
        <w:overflowPunct/>
        <w:topLinePunct w:val="0"/>
        <w:autoSpaceDE/>
        <w:autoSpaceDN/>
        <w:bidi w:val="0"/>
        <w:adjustRightInd/>
        <w:snapToGrid/>
        <w:spacing w:line="0" w:lineRule="atLeast"/>
        <w:ind w:left="0" w:leftChars="0" w:right="0" w:rightChars="0"/>
        <w:jc w:val="center"/>
        <w:outlineLvl w:val="0"/>
        <w:rPr>
          <w:rFonts w:hint="eastAsia" w:ascii="宋体" w:hAnsi="宋体" w:eastAsia="宋体" w:cs="宋体"/>
          <w:b/>
          <w:bCs/>
          <w:color w:val="auto"/>
          <w:sz w:val="44"/>
          <w:szCs w:val="44"/>
        </w:rPr>
      </w:pPr>
      <w:r>
        <w:rPr>
          <w:rFonts w:hint="eastAsia" w:ascii="宋体" w:hAnsi="宋体" w:eastAsia="宋体" w:cs="宋体"/>
          <w:b/>
          <w:bCs/>
          <w:color w:val="auto"/>
          <w:sz w:val="44"/>
          <w:szCs w:val="44"/>
        </w:rPr>
        <w:t>第四部分：对教育教学和就业工作的反馈</w:t>
      </w:r>
      <w:bookmarkEnd w:id="42"/>
    </w:p>
    <w:p>
      <w:pPr>
        <w:numPr>
          <w:ilvl w:val="0"/>
          <w:numId w:val="0"/>
        </w:num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为建立和不断完善毕业生就业对人才培养的反馈机制，我院针对20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届应届毕业生开展网络问卷，了解他们毕业生就业状况、对母校就业指导服务的评价、对人才培养的评价，并以这些调查为参考，不断完善招生与就业的联动机制，根据毕业生的就业情况科学调整各专业的招生规模与计划。同时，为学校有关部门在专业设置、学科调整、教育教学改革、人才培养等方面提供数据支持。</w:t>
      </w:r>
    </w:p>
    <w:p>
      <w:pPr>
        <w:numPr>
          <w:ilvl w:val="0"/>
          <w:numId w:val="0"/>
        </w:numPr>
        <w:jc w:val="both"/>
        <w:rPr>
          <w:rFonts w:hint="eastAsia" w:ascii="仿宋" w:hAnsi="仿宋" w:eastAsia="仿宋" w:cs="仿宋"/>
          <w:b/>
          <w:bCs/>
          <w:color w:val="auto"/>
          <w:sz w:val="32"/>
          <w:szCs w:val="32"/>
          <w:lang w:val="en-US" w:eastAsia="zh-CN"/>
        </w:rPr>
      </w:pPr>
      <w:bookmarkStart w:id="43" w:name="_Toc2198"/>
      <w:r>
        <w:rPr>
          <w:rFonts w:hint="eastAsia" w:ascii="仿宋" w:hAnsi="仿宋" w:eastAsia="仿宋" w:cs="仿宋"/>
          <w:b/>
          <w:bCs/>
          <w:color w:val="auto"/>
          <w:sz w:val="32"/>
          <w:szCs w:val="32"/>
          <w:lang w:val="en-US" w:eastAsia="zh-CN"/>
        </w:rPr>
        <w:t>一、对招生和专业设置的反馈</w:t>
      </w:r>
      <w:bookmarkEnd w:id="43"/>
    </w:p>
    <w:p>
      <w:pPr>
        <w:numPr>
          <w:ilvl w:val="0"/>
          <w:numId w:val="0"/>
        </w:numPr>
        <w:ind w:firstLine="640" w:firstLineChars="200"/>
        <w:jc w:val="both"/>
        <w:rPr>
          <w:rFonts w:hint="eastAsia" w:ascii="仿宋" w:hAnsi="仿宋" w:eastAsia="仿宋" w:cs="仿宋"/>
          <w:b/>
          <w:bCs/>
          <w:color w:val="auto"/>
          <w:sz w:val="32"/>
          <w:szCs w:val="32"/>
          <w:lang w:val="en-US" w:eastAsia="zh-CN"/>
        </w:rPr>
      </w:pPr>
      <w:r>
        <w:rPr>
          <w:rFonts w:hint="eastAsia" w:ascii="仿宋" w:hAnsi="仿宋" w:eastAsia="仿宋" w:cs="仿宋"/>
          <w:color w:val="auto"/>
          <w:sz w:val="32"/>
          <w:szCs w:val="32"/>
          <w:lang w:val="en-US" w:eastAsia="zh-CN"/>
        </w:rPr>
        <w:t>毕业生的就业率和就业质量能相对直观地反映专业的社会需求和社会认可度。同时，毕业生的就业率和就业质量也能够为招生规模的设置提供参考。由前面统计数据结果可知，我院</w:t>
      </w:r>
      <w:r>
        <w:rPr>
          <w:rFonts w:hint="eastAsia" w:ascii="仿宋" w:hAnsi="仿宋" w:eastAsia="仿宋" w:cs="仿宋"/>
          <w:color w:val="auto"/>
          <w:sz w:val="32"/>
          <w:szCs w:val="32"/>
          <w:lang w:val="en-US" w:eastAsia="zh-Hans"/>
        </w:rPr>
        <w:t>就业率较好的专业有</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Hans"/>
        </w:rPr>
        <w:t>生物工程</w:t>
      </w:r>
      <w:r>
        <w:rPr>
          <w:rFonts w:hint="default" w:ascii="仿宋" w:hAnsi="仿宋" w:eastAsia="仿宋" w:cs="仿宋"/>
          <w:color w:val="auto"/>
          <w:sz w:val="32"/>
          <w:szCs w:val="32"/>
          <w:lang w:eastAsia="zh-Hans"/>
        </w:rPr>
        <w:t>85</w:t>
      </w:r>
      <w:r>
        <w:rPr>
          <w:rFonts w:hint="eastAsia" w:ascii="仿宋" w:hAnsi="仿宋" w:eastAsia="仿宋" w:cs="仿宋"/>
          <w:color w:val="auto"/>
          <w:sz w:val="32"/>
          <w:szCs w:val="32"/>
          <w:lang w:val="en-US" w:eastAsia="zh-Hans"/>
        </w:rPr>
        <w:t>.</w:t>
      </w:r>
      <w:r>
        <w:rPr>
          <w:rFonts w:hint="default" w:ascii="仿宋" w:hAnsi="仿宋" w:eastAsia="仿宋" w:cs="仿宋"/>
          <w:color w:val="auto"/>
          <w:sz w:val="32"/>
          <w:szCs w:val="32"/>
          <w:lang w:eastAsia="zh-Hans"/>
        </w:rPr>
        <w:t>71%，</w:t>
      </w:r>
      <w:r>
        <w:rPr>
          <w:rFonts w:hint="eastAsia" w:ascii="仿宋" w:hAnsi="仿宋" w:eastAsia="仿宋" w:cs="仿宋"/>
          <w:color w:val="auto"/>
          <w:sz w:val="32"/>
          <w:szCs w:val="32"/>
          <w:lang w:val="en-US" w:eastAsia="zh-Hans"/>
        </w:rPr>
        <w:t>中西医临床医学</w:t>
      </w:r>
      <w:r>
        <w:rPr>
          <w:rFonts w:hint="default" w:ascii="仿宋" w:hAnsi="仿宋" w:eastAsia="仿宋" w:cs="仿宋"/>
          <w:color w:val="auto"/>
          <w:sz w:val="32"/>
          <w:szCs w:val="32"/>
          <w:lang w:eastAsia="zh-Hans"/>
        </w:rPr>
        <w:t>85</w:t>
      </w:r>
      <w:r>
        <w:rPr>
          <w:rFonts w:hint="eastAsia" w:ascii="仿宋" w:hAnsi="仿宋" w:eastAsia="仿宋" w:cs="仿宋"/>
          <w:color w:val="auto"/>
          <w:sz w:val="32"/>
          <w:szCs w:val="32"/>
          <w:lang w:val="en-US" w:eastAsia="zh-Hans"/>
        </w:rPr>
        <w:t>.</w:t>
      </w:r>
      <w:r>
        <w:rPr>
          <w:rFonts w:hint="default" w:ascii="仿宋" w:hAnsi="仿宋" w:eastAsia="仿宋" w:cs="仿宋"/>
          <w:color w:val="auto"/>
          <w:sz w:val="32"/>
          <w:szCs w:val="32"/>
          <w:lang w:eastAsia="zh-Hans"/>
        </w:rPr>
        <w:t>26%，</w:t>
      </w:r>
      <w:r>
        <w:rPr>
          <w:rFonts w:hint="eastAsia" w:ascii="仿宋" w:hAnsi="仿宋" w:eastAsia="仿宋" w:cs="仿宋"/>
          <w:color w:val="auto"/>
          <w:sz w:val="32"/>
          <w:szCs w:val="32"/>
          <w:lang w:val="en-US" w:eastAsia="zh-Hans"/>
        </w:rPr>
        <w:t>针灸推拿学</w:t>
      </w:r>
      <w:r>
        <w:rPr>
          <w:rFonts w:hint="default" w:ascii="仿宋" w:hAnsi="仿宋" w:eastAsia="仿宋" w:cs="仿宋"/>
          <w:color w:val="auto"/>
          <w:sz w:val="32"/>
          <w:szCs w:val="32"/>
          <w:lang w:eastAsia="zh-Hans"/>
        </w:rPr>
        <w:t>84.15%，</w:t>
      </w:r>
      <w:r>
        <w:rPr>
          <w:rFonts w:hint="eastAsia" w:ascii="仿宋" w:hAnsi="仿宋" w:eastAsia="仿宋" w:cs="仿宋"/>
          <w:color w:val="auto"/>
          <w:sz w:val="32"/>
          <w:szCs w:val="32"/>
          <w:lang w:val="en-US" w:eastAsia="zh-Hans"/>
        </w:rPr>
        <w:t>护理学</w:t>
      </w:r>
      <w:r>
        <w:rPr>
          <w:rFonts w:hint="default" w:ascii="仿宋" w:hAnsi="仿宋" w:eastAsia="仿宋" w:cs="仿宋"/>
          <w:color w:val="auto"/>
          <w:sz w:val="32"/>
          <w:szCs w:val="32"/>
          <w:lang w:eastAsia="zh-Hans"/>
        </w:rPr>
        <w:t>80.6%。</w:t>
      </w:r>
      <w:r>
        <w:rPr>
          <w:rFonts w:hint="eastAsia" w:ascii="仿宋" w:hAnsi="仿宋" w:eastAsia="仿宋" w:cs="仿宋"/>
          <w:color w:val="auto"/>
          <w:sz w:val="32"/>
          <w:szCs w:val="32"/>
          <w:lang w:val="en-US" w:eastAsia="zh-CN"/>
        </w:rPr>
        <w:t>为此，我院根据20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届毕业生各专业的就业情况，从招生环节入手适当增大了就业率高、就业质量好的专业的招新比例。如：针灸推拿学、</w:t>
      </w:r>
      <w:r>
        <w:rPr>
          <w:rFonts w:hint="eastAsia" w:ascii="仿宋" w:hAnsi="仿宋" w:eastAsia="仿宋" w:cs="仿宋"/>
          <w:color w:val="auto"/>
          <w:sz w:val="32"/>
          <w:szCs w:val="32"/>
          <w:lang w:val="en-US" w:eastAsia="zh-Hans"/>
        </w:rPr>
        <w:t>中西医临床医学</w:t>
      </w:r>
      <w:r>
        <w:rPr>
          <w:rFonts w:hint="default" w:ascii="仿宋" w:hAnsi="仿宋" w:eastAsia="仿宋" w:cs="仿宋"/>
          <w:color w:val="auto"/>
          <w:sz w:val="32"/>
          <w:szCs w:val="32"/>
          <w:lang w:eastAsia="zh-Hans"/>
        </w:rPr>
        <w:t>、</w:t>
      </w:r>
      <w:r>
        <w:rPr>
          <w:rFonts w:hint="eastAsia" w:ascii="仿宋" w:hAnsi="仿宋" w:eastAsia="仿宋" w:cs="仿宋"/>
          <w:color w:val="auto"/>
          <w:sz w:val="32"/>
          <w:szCs w:val="32"/>
          <w:lang w:val="en-US" w:eastAsia="zh-CN"/>
        </w:rPr>
        <w:t>护理学</w:t>
      </w:r>
      <w:r>
        <w:rPr>
          <w:rFonts w:hint="default"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生物工程等，我院也已经根据实际情况调整了深受学生和家长热捧和首选的中医学和中西医临床医学的招生规模并优化和调整了专业结构、专业设置。</w:t>
      </w:r>
      <w:bookmarkStart w:id="44" w:name="_Toc9705"/>
    </w:p>
    <w:p>
      <w:pPr>
        <w:numPr>
          <w:ilvl w:val="0"/>
          <w:numId w:val="0"/>
        </w:numPr>
        <w:jc w:val="both"/>
        <w:rPr>
          <w:rFonts w:hint="eastAsia" w:ascii="仿宋" w:hAnsi="仿宋" w:eastAsia="仿宋" w:cs="仿宋"/>
          <w:b/>
          <w:bCs/>
          <w:color w:val="auto"/>
          <w:sz w:val="32"/>
          <w:szCs w:val="32"/>
          <w:lang w:val="en-US" w:eastAsia="zh-CN"/>
        </w:rPr>
      </w:pPr>
      <w:r>
        <w:rPr>
          <w:rFonts w:hint="eastAsia" w:ascii="仿宋" w:hAnsi="仿宋" w:eastAsia="仿宋" w:cs="仿宋"/>
          <w:b/>
          <w:bCs/>
          <w:color w:val="auto"/>
          <w:sz w:val="32"/>
          <w:szCs w:val="32"/>
          <w:lang w:val="en-US" w:eastAsia="zh-CN"/>
        </w:rPr>
        <w:t>二、对人才培养的反馈</w:t>
      </w:r>
      <w:bookmarkEnd w:id="44"/>
    </w:p>
    <w:p>
      <w:pPr>
        <w:numPr>
          <w:ilvl w:val="0"/>
          <w:numId w:val="0"/>
        </w:num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学生作为人才培养效果的评价主体之一，对学校教育教学各方面的评价对于学校专业结构的优化，培养方案的完善，课程设置的改进等方面具有重要的借鉴意义。通过调查显示，我院20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年毕业生对学校人才培养的整体状况满意度为84.46%，其中课程设置满意度为78.72%；专业设置满意度为77.32%；教学方法和手段85.58%；对教学内容、教学质量和教学组织与管理的满意度为87.36%；对实践教学的满意度为75.22%。这说明我院的办学和管理水平得到了学生和社会的肯定和认可。同时，我们也要清醒认识到我们在相关方面存在的一些问题，并积极加以解决。如在未来的教育教学工作中，我院要主动适应社会发展趋势，不断深化教育教学改革，加强对实践型、创新型人才的培养，根据应用型和复合型等不同规格的人才培养目标，构建不同的课程体系和培养模式；在对学生的教育教学方面，除了加强学生专业理论和实际动手的能力，还要加强学生的外语能力、计算机应用能力、自学能力、团队协作能力、人际沟通能力、情绪管理能力、组织与协调能力和解决实际问题等综合素质与能力，从而帮助学生就业后更好的适应职场，胜任工作要求。</w:t>
      </w:r>
    </w:p>
    <w:p>
      <w:pPr>
        <w:numPr>
          <w:ilvl w:val="0"/>
          <w:numId w:val="0"/>
        </w:numPr>
        <w:jc w:val="both"/>
        <w:rPr>
          <w:rFonts w:hint="eastAsia" w:ascii="仿宋" w:hAnsi="仿宋" w:eastAsia="仿宋" w:cs="仿宋"/>
          <w:b/>
          <w:bCs/>
          <w:color w:val="auto"/>
          <w:sz w:val="32"/>
          <w:szCs w:val="32"/>
          <w:lang w:val="en-US" w:eastAsia="zh-CN"/>
        </w:rPr>
      </w:pPr>
      <w:bookmarkStart w:id="45" w:name="_Toc16331"/>
      <w:r>
        <w:rPr>
          <w:rFonts w:hint="eastAsia" w:ascii="仿宋" w:hAnsi="仿宋" w:eastAsia="仿宋" w:cs="仿宋"/>
          <w:b/>
          <w:bCs/>
          <w:color w:val="auto"/>
          <w:sz w:val="32"/>
          <w:szCs w:val="32"/>
          <w:lang w:val="en-US" w:eastAsia="zh-CN"/>
        </w:rPr>
        <w:t>三、对学校就业指导工作的反馈</w:t>
      </w:r>
      <w:bookmarkEnd w:id="45"/>
    </w:p>
    <w:p>
      <w:pPr>
        <w:numPr>
          <w:ilvl w:val="0"/>
          <w:numId w:val="0"/>
        </w:numPr>
        <w:ind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学生的就业率和就业质量不仅是反映就业工作质量的重要指标，也在一定程度上为我们的就业工作指明了方向。根据调查，我院20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年毕业生对高校就业指导整体情况满意度为88.43%。对就业信息提供与发布情况满意度为97.56%；对校园招聘活动满意度为95.32%；对就业手续办理满意度为91.24%；对职业咨询/辅导满意度为93.87%；对就业指导/创业指导课满意度为89.48%。这个数据说明我院就业工作的成效是显著的，是基本能够适应我国就业形势发展要求的。但是，从20</w:t>
      </w:r>
      <w:r>
        <w:rPr>
          <w:rFonts w:hint="default" w:ascii="仿宋" w:hAnsi="仿宋" w:eastAsia="仿宋" w:cs="仿宋"/>
          <w:color w:val="auto"/>
          <w:sz w:val="32"/>
          <w:szCs w:val="32"/>
          <w:lang w:eastAsia="zh-CN"/>
        </w:rPr>
        <w:t>20</w:t>
      </w:r>
      <w:r>
        <w:rPr>
          <w:rFonts w:hint="eastAsia" w:ascii="仿宋" w:hAnsi="仿宋" w:eastAsia="仿宋" w:cs="仿宋"/>
          <w:color w:val="auto"/>
          <w:sz w:val="32"/>
          <w:szCs w:val="32"/>
          <w:lang w:val="en-US" w:eastAsia="zh-CN"/>
        </w:rPr>
        <w:t>年学生就业情况看，也还存在一些问题，如少数毕业生的就业期望值过高，部分毕业生的就业能力尚有待提高等。为此，在今后的工作中，我们在继续做好日常就业工作的同时，将进一步加强对国家有关毕业生就业的方针政策，增强我院就业工作的方向性；将继续加大对用人单位需求信息的搜集和整理力度，进一步拓宽学生的就业领域和就业范围；将加强对毕业生就业意向等的了解、进行个体指导，进一步增强就业工作的针对性和有效性，加强对在校学生的就业心理辅导，引导学生深入基层就业，从而在提高就业率的同时为加强社会主义建设贡献出一份力量。</w:t>
      </w:r>
    </w:p>
    <w:p>
      <w:pPr>
        <w:numPr>
          <w:ilvl w:val="0"/>
          <w:numId w:val="0"/>
        </w:numPr>
        <w:jc w:val="both"/>
        <w:rPr>
          <w:rFonts w:ascii="仿宋" w:hAnsi="仿宋" w:eastAsia="仿宋"/>
          <w:sz w:val="32"/>
          <w:szCs w:val="32"/>
        </w:rPr>
      </w:pPr>
    </w:p>
    <w:p>
      <w:pPr>
        <w:ind w:firstLine="640" w:firstLineChars="200"/>
        <w:jc w:val="both"/>
        <w:rPr>
          <w:rFonts w:hint="eastAsia" w:ascii="仿宋" w:hAnsi="仿宋" w:eastAsia="仿宋"/>
          <w:sz w:val="32"/>
          <w:szCs w:val="32"/>
        </w:rPr>
      </w:pPr>
    </w:p>
    <w:p>
      <w:pPr>
        <w:jc w:val="both"/>
      </w:pPr>
    </w:p>
    <w:p>
      <w:pPr>
        <w:jc w:val="both"/>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p>
      <w:pPr>
        <w:jc w:val="both"/>
        <w:rPr>
          <w:rFonts w:hint="eastAsia" w:ascii="仿宋" w:hAnsi="仿宋" w:eastAsia="仿宋" w:cs="仿宋"/>
          <w:b/>
          <w:bCs/>
          <w:color w:val="auto"/>
          <w:sz w:val="32"/>
          <w:szCs w:val="32"/>
          <w:lang w:val="en-US" w:eastAsia="zh-CN"/>
        </w:rPr>
      </w:pPr>
    </w:p>
    <w:bookmarkEnd w:id="2"/>
    <w:bookmarkEnd w:id="3"/>
    <w:p>
      <w:pPr>
        <w:keepNext w:val="0"/>
        <w:keepLines w:val="0"/>
        <w:pageBreakBefore w:val="0"/>
        <w:widowControl w:val="0"/>
        <w:numPr>
          <w:ilvl w:val="0"/>
          <w:numId w:val="0"/>
        </w:numPr>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360" w:lineRule="auto"/>
        <w:ind w:right="0" w:rightChars="0"/>
        <w:jc w:val="both"/>
        <w:textAlignment w:val="auto"/>
        <w:outlineLvl w:val="9"/>
        <w:rPr>
          <w:rFonts w:hint="eastAsia"/>
          <w:b w:val="0"/>
          <w:bCs w:val="0"/>
          <w:color w:val="auto"/>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eastAsia="宋体"/>
          <w:b w:val="0"/>
          <w:bCs w:val="0"/>
          <w:color w:val="auto"/>
          <w:kern w:val="2"/>
          <w:sz w:val="24"/>
          <w:szCs w:val="24"/>
          <w:lang w:val="en-US" w:eastAsia="zh-CN"/>
        </w:rPr>
      </w:pPr>
    </w:p>
    <w:p>
      <w:pPr>
        <w:bidi w:val="0"/>
        <w:jc w:val="both"/>
        <w:rPr>
          <w:rFonts w:hint="eastAsia"/>
          <w:lang w:val="en-US" w:eastAsia="zh-CN"/>
        </w:rPr>
      </w:pPr>
    </w:p>
    <w:sectPr>
      <w:headerReference r:id="rId7" w:type="default"/>
      <w:footerReference r:id="rId8" w:type="default"/>
      <w:pgSz w:w="11906" w:h="16838"/>
      <w:pgMar w:top="1134" w:right="1417" w:bottom="1134" w:left="1417" w:header="851" w:footer="992" w:gutter="0"/>
      <w:paperSrc/>
      <w:pgBorders>
        <w:top w:val="none" w:sz="0" w:space="0"/>
        <w:left w:val="none" w:sz="0" w:space="0"/>
        <w:bottom w:val="none" w:sz="0" w:space="0"/>
        <w:right w:val="none" w:sz="0" w:space="0"/>
      </w:pgBorders>
      <w:pgNumType w:fmt="decimal" w:start="1"/>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华文中宋">
    <w:panose1 w:val="02010600040101010101"/>
    <w:charset w:val="86"/>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I</w:t>
                          </w:r>
                          <w:r>
                            <w:rPr>
                              <w:rFonts w:hint="eastAsia"/>
                              <w:sz w:val="18"/>
                              <w:lang w:eastAsia="zh-CN"/>
                            </w:rPr>
                            <w:fldChar w:fldCharType="end"/>
                          </w:r>
                        </w:p>
                      </w:txbxContent>
                    </wps:txbx>
                    <wps:bodyPr vert="horz"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Duk+kr0gEAAKcDAAAOAAAAAAAAAAEAIAAAAB4BAABk&#10;cnMvZTJvRG9jLnhtbFBLBQYAAAAABgAGAFkBAABiBQAAAAA=&#10;">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I</w:t>
                    </w:r>
                    <w:r>
                      <w:rPr>
                        <w:rFonts w:hint="eastAsia"/>
                        <w:sz w:val="18"/>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11"/>
      </w:pPr>
      <w:r>
        <w:rPr>
          <w:rStyle w:val="21"/>
        </w:rPr>
        <w:footnoteRef/>
      </w:r>
      <w:r>
        <w:t xml:space="preserve"> </w:t>
      </w:r>
      <w:r>
        <w:rPr>
          <w:rFonts w:hint="eastAsia"/>
        </w:rPr>
        <w:t>初次就业率即毕业生离校后截止至</w:t>
      </w:r>
      <w:r>
        <w:rPr>
          <w:rFonts w:hint="eastAsia"/>
          <w:lang w:val="en-US" w:eastAsia="zh-CN"/>
        </w:rPr>
        <w:t>8</w:t>
      </w:r>
      <w:r>
        <w:rPr>
          <w:rFonts w:hint="eastAsia"/>
        </w:rPr>
        <w:t>月31日统计的就业率。</w:t>
      </w:r>
    </w:p>
  </w:footnote>
  <w:footnote w:id="1">
    <w:p>
      <w:pPr>
        <w:pStyle w:val="11"/>
        <w:rPr>
          <w:rFonts w:hint="eastAsia"/>
        </w:rPr>
      </w:pPr>
      <w:r>
        <w:rPr>
          <w:rStyle w:val="21"/>
        </w:rPr>
        <w:footnoteRef/>
      </w:r>
      <w:r>
        <w:t xml:space="preserve"> </w:t>
      </w:r>
      <w:r>
        <w:rPr>
          <w:rFonts w:hint="eastAsia"/>
        </w:rPr>
        <w:t>直接就业是至毕业时去向为签协议或者合同形式就业、其他形式就业、国家基层项目就业、应征义务兵、自主创业、灵活就业的毕业生。</w:t>
      </w:r>
    </w:p>
  </w:footnote>
  <w:footnote w:id="2">
    <w:p>
      <w:pPr>
        <w:pStyle w:val="11"/>
      </w:pPr>
      <w:r>
        <w:rPr>
          <w:rStyle w:val="21"/>
        </w:rPr>
        <w:footnoteRef/>
      </w:r>
      <w:r>
        <w:t xml:space="preserve"> </w:t>
      </w:r>
      <w:r>
        <w:rPr>
          <w:rFonts w:hint="eastAsia"/>
        </w:rPr>
        <w:t>深造指毕业时毕业去向为国内升学、出国留学的毕业生。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single" w:color="auto" w:sz="4" w:space="1"/>
        <w:right w:val="none" w:color="auto" w:sz="0" w:space="4"/>
        <w:between w:val="none" w:color="auto" w:sz="0" w:space="0"/>
      </w:pBdr>
      <w:snapToGrid w:val="0"/>
      <w:spacing w:line="240" w:lineRule="auto"/>
      <w:jc w:val="center"/>
      <w:outlineLvl w:val="9"/>
      <w:rPr>
        <w:rFonts w:hint="eastAsia" w:eastAsia="宋体"/>
        <w:b/>
        <w:bCs/>
        <w:sz w:val="21"/>
        <w:szCs w:val="21"/>
        <w:u w:val="none" w:color="auto"/>
        <w:lang w:eastAsia="zh-CN"/>
      </w:rPr>
    </w:pPr>
    <w:r>
      <w:rPr>
        <w:rFonts w:hint="eastAsia" w:ascii="华文中宋" w:hAnsi="华文中宋" w:eastAsia="华文中宋" w:cs="华文中宋"/>
        <w:b/>
        <w:bCs/>
        <w:sz w:val="21"/>
        <w:szCs w:val="21"/>
        <w:u w:val="none" w:color="auto"/>
        <w:lang w:eastAsia="zh-CN"/>
      </w:rPr>
      <w:t>湖南中医药大学湘杏学院</w:t>
    </w:r>
    <w:r>
      <w:rPr>
        <w:rFonts w:hint="eastAsia" w:ascii="华文中宋" w:hAnsi="华文中宋" w:eastAsia="华文中宋" w:cs="华文中宋"/>
        <w:b/>
        <w:bCs/>
        <w:sz w:val="21"/>
        <w:szCs w:val="21"/>
        <w:u w:val="none" w:color="auto"/>
        <w:lang w:val="en-US" w:eastAsia="zh-CN"/>
      </w:rPr>
      <w:t>2020届毕业生就业质量报告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idowControl w:val="0"/>
      <w:pBdr>
        <w:top w:val="none" w:color="auto" w:sz="0" w:space="1"/>
        <w:left w:val="none" w:color="auto" w:sz="0" w:space="4"/>
        <w:bottom w:val="single" w:color="auto" w:sz="4" w:space="1"/>
        <w:right w:val="none" w:color="auto" w:sz="0" w:space="4"/>
        <w:between w:val="none" w:color="auto" w:sz="0" w:space="0"/>
      </w:pBdr>
      <w:snapToGrid w:val="0"/>
      <w:spacing w:line="240" w:lineRule="auto"/>
      <w:jc w:val="center"/>
      <w:outlineLvl w:val="9"/>
      <w:rPr>
        <w:rFonts w:hint="eastAsia" w:eastAsia="宋体"/>
        <w:b/>
        <w:bCs/>
        <w:sz w:val="21"/>
        <w:szCs w:val="21"/>
        <w:u w:val="none" w:color="auto"/>
        <w:lang w:eastAsia="zh-CN"/>
      </w:rPr>
    </w:pPr>
    <w:r>
      <w:rPr>
        <w:rFonts w:hint="eastAsia" w:ascii="华文中宋" w:hAnsi="华文中宋" w:eastAsia="华文中宋" w:cs="华文中宋"/>
        <w:b/>
        <w:bCs/>
        <w:sz w:val="21"/>
        <w:szCs w:val="21"/>
        <w:u w:val="none" w:color="auto"/>
        <w:lang w:eastAsia="zh-CN"/>
      </w:rPr>
      <w:t>湖南中医药大学湘杏学院</w:t>
    </w:r>
    <w:r>
      <w:rPr>
        <w:rFonts w:hint="eastAsia" w:ascii="华文中宋" w:hAnsi="华文中宋" w:eastAsia="华文中宋" w:cs="华文中宋"/>
        <w:b/>
        <w:bCs/>
        <w:sz w:val="21"/>
        <w:szCs w:val="21"/>
        <w:u w:val="none" w:color="auto"/>
        <w:lang w:val="en-US" w:eastAsia="zh-CN"/>
      </w:rPr>
      <w:t>2020届毕业生就业质量报告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599978"/>
    <w:multiLevelType w:val="singleLevel"/>
    <w:tmpl w:val="C8599978"/>
    <w:lvl w:ilvl="0" w:tentative="0">
      <w:start w:val="1"/>
      <w:numFmt w:val="decimal"/>
      <w:suff w:val="nothing"/>
      <w:lvlText w:val="%1、"/>
      <w:lvlJc w:val="left"/>
    </w:lvl>
  </w:abstractNum>
  <w:abstractNum w:abstractNumId="1">
    <w:nsid w:val="47588A1A"/>
    <w:multiLevelType w:val="singleLevel"/>
    <w:tmpl w:val="47588A1A"/>
    <w:lvl w:ilvl="0" w:tentative="0">
      <w:start w:val="2"/>
      <w:numFmt w:val="chineseCounting"/>
      <w:suff w:val="nothing"/>
      <w:lvlText w:val="（%1）"/>
      <w:lvlJc w:val="left"/>
      <w:rPr>
        <w:rFonts w:hint="eastAsia"/>
      </w:rPr>
    </w:lvl>
  </w:abstractNum>
  <w:abstractNum w:abstractNumId="2">
    <w:nsid w:val="5C43B18A"/>
    <w:multiLevelType w:val="singleLevel"/>
    <w:tmpl w:val="5C43B18A"/>
    <w:lvl w:ilvl="0" w:tentative="0">
      <w:start w:val="5"/>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2"/>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6"/>
    <w:footnote w:id="7"/>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4E5AB0"/>
    <w:rsid w:val="029171F6"/>
    <w:rsid w:val="03564C06"/>
    <w:rsid w:val="0445323C"/>
    <w:rsid w:val="04A14450"/>
    <w:rsid w:val="04F2372E"/>
    <w:rsid w:val="05A75D16"/>
    <w:rsid w:val="05E438F2"/>
    <w:rsid w:val="06D264CA"/>
    <w:rsid w:val="07D32B18"/>
    <w:rsid w:val="07DF75F9"/>
    <w:rsid w:val="083957EA"/>
    <w:rsid w:val="09214ED8"/>
    <w:rsid w:val="0950473D"/>
    <w:rsid w:val="09651BF5"/>
    <w:rsid w:val="097E3C0A"/>
    <w:rsid w:val="09A22F45"/>
    <w:rsid w:val="09A608E3"/>
    <w:rsid w:val="09E24565"/>
    <w:rsid w:val="0A005842"/>
    <w:rsid w:val="0A5F2D35"/>
    <w:rsid w:val="0A8541A7"/>
    <w:rsid w:val="0C28597F"/>
    <w:rsid w:val="0C363756"/>
    <w:rsid w:val="0CA728D4"/>
    <w:rsid w:val="0CCB0A0B"/>
    <w:rsid w:val="0DC444A6"/>
    <w:rsid w:val="0ECD7F07"/>
    <w:rsid w:val="0EE7206C"/>
    <w:rsid w:val="0F010062"/>
    <w:rsid w:val="0F2D1C0E"/>
    <w:rsid w:val="0FB778A5"/>
    <w:rsid w:val="114917E9"/>
    <w:rsid w:val="11803EC2"/>
    <w:rsid w:val="123861BD"/>
    <w:rsid w:val="12E60311"/>
    <w:rsid w:val="142016DE"/>
    <w:rsid w:val="14224D0A"/>
    <w:rsid w:val="149F1507"/>
    <w:rsid w:val="14EF0366"/>
    <w:rsid w:val="15674B2D"/>
    <w:rsid w:val="15BC4236"/>
    <w:rsid w:val="16130C8B"/>
    <w:rsid w:val="16E94B00"/>
    <w:rsid w:val="1722707B"/>
    <w:rsid w:val="17462503"/>
    <w:rsid w:val="177C2988"/>
    <w:rsid w:val="178E0C62"/>
    <w:rsid w:val="17905436"/>
    <w:rsid w:val="17FC2567"/>
    <w:rsid w:val="18377FA9"/>
    <w:rsid w:val="19782D58"/>
    <w:rsid w:val="197874D5"/>
    <w:rsid w:val="19E61C4A"/>
    <w:rsid w:val="1A0E337C"/>
    <w:rsid w:val="1B4A0A55"/>
    <w:rsid w:val="1B6B6A0B"/>
    <w:rsid w:val="1C0E1A98"/>
    <w:rsid w:val="1C625C66"/>
    <w:rsid w:val="1D07698D"/>
    <w:rsid w:val="1D867CBC"/>
    <w:rsid w:val="1E640348"/>
    <w:rsid w:val="1E841E83"/>
    <w:rsid w:val="20603871"/>
    <w:rsid w:val="20B96BBD"/>
    <w:rsid w:val="21C76D7B"/>
    <w:rsid w:val="21D378BA"/>
    <w:rsid w:val="21EB18A2"/>
    <w:rsid w:val="21FD020B"/>
    <w:rsid w:val="222B4961"/>
    <w:rsid w:val="222E14E0"/>
    <w:rsid w:val="226A1E07"/>
    <w:rsid w:val="226F5C03"/>
    <w:rsid w:val="22ED61A4"/>
    <w:rsid w:val="24533EA6"/>
    <w:rsid w:val="247833CF"/>
    <w:rsid w:val="24E553E8"/>
    <w:rsid w:val="250052C3"/>
    <w:rsid w:val="25285820"/>
    <w:rsid w:val="262933CE"/>
    <w:rsid w:val="269C0568"/>
    <w:rsid w:val="27EB3C03"/>
    <w:rsid w:val="28B5235B"/>
    <w:rsid w:val="29D56AB0"/>
    <w:rsid w:val="29E73703"/>
    <w:rsid w:val="29EC66D5"/>
    <w:rsid w:val="2B2576FE"/>
    <w:rsid w:val="2B2C451A"/>
    <w:rsid w:val="2B47568D"/>
    <w:rsid w:val="2B5543F8"/>
    <w:rsid w:val="2B997F0B"/>
    <w:rsid w:val="2BEF7DC6"/>
    <w:rsid w:val="2C8B34DD"/>
    <w:rsid w:val="2D1C1D90"/>
    <w:rsid w:val="2E217CB2"/>
    <w:rsid w:val="2E936F54"/>
    <w:rsid w:val="30201D03"/>
    <w:rsid w:val="30E96CC6"/>
    <w:rsid w:val="318E12DA"/>
    <w:rsid w:val="31A3127F"/>
    <w:rsid w:val="31FA1C8E"/>
    <w:rsid w:val="3257314B"/>
    <w:rsid w:val="33481726"/>
    <w:rsid w:val="336F16A3"/>
    <w:rsid w:val="34022063"/>
    <w:rsid w:val="3424394A"/>
    <w:rsid w:val="34F9236D"/>
    <w:rsid w:val="355C4961"/>
    <w:rsid w:val="356928AF"/>
    <w:rsid w:val="35B417EA"/>
    <w:rsid w:val="36BC4B7D"/>
    <w:rsid w:val="378E11A1"/>
    <w:rsid w:val="379402BF"/>
    <w:rsid w:val="37B23D7C"/>
    <w:rsid w:val="37FF5D6B"/>
    <w:rsid w:val="38291E6D"/>
    <w:rsid w:val="3891234E"/>
    <w:rsid w:val="38FA3E60"/>
    <w:rsid w:val="38FF4721"/>
    <w:rsid w:val="3AB051BC"/>
    <w:rsid w:val="3AB108C4"/>
    <w:rsid w:val="3AD01031"/>
    <w:rsid w:val="3AE6773E"/>
    <w:rsid w:val="3AE93F05"/>
    <w:rsid w:val="3C063688"/>
    <w:rsid w:val="3C2C1F87"/>
    <w:rsid w:val="3C8F62FB"/>
    <w:rsid w:val="3D502CDA"/>
    <w:rsid w:val="3D597FFA"/>
    <w:rsid w:val="3D5C7F1D"/>
    <w:rsid w:val="3DA410DB"/>
    <w:rsid w:val="3DDB17A2"/>
    <w:rsid w:val="3FED2FEE"/>
    <w:rsid w:val="402318FF"/>
    <w:rsid w:val="404E1D8E"/>
    <w:rsid w:val="406D7DA9"/>
    <w:rsid w:val="40C15EF1"/>
    <w:rsid w:val="418872C2"/>
    <w:rsid w:val="41D83914"/>
    <w:rsid w:val="436E6B67"/>
    <w:rsid w:val="449F6F0B"/>
    <w:rsid w:val="45236DFE"/>
    <w:rsid w:val="45484761"/>
    <w:rsid w:val="45582B5D"/>
    <w:rsid w:val="45E745BD"/>
    <w:rsid w:val="46B850FE"/>
    <w:rsid w:val="46C23695"/>
    <w:rsid w:val="471B166A"/>
    <w:rsid w:val="47892D1D"/>
    <w:rsid w:val="479F386F"/>
    <w:rsid w:val="481432AF"/>
    <w:rsid w:val="48654182"/>
    <w:rsid w:val="48B459D5"/>
    <w:rsid w:val="48B61BB5"/>
    <w:rsid w:val="48CA0B9C"/>
    <w:rsid w:val="49400E3C"/>
    <w:rsid w:val="4ABD162D"/>
    <w:rsid w:val="4B337200"/>
    <w:rsid w:val="4B411ADE"/>
    <w:rsid w:val="4BF54A8C"/>
    <w:rsid w:val="4C015B31"/>
    <w:rsid w:val="4C6145BB"/>
    <w:rsid w:val="4CA018E0"/>
    <w:rsid w:val="4D24136B"/>
    <w:rsid w:val="4D935553"/>
    <w:rsid w:val="4E136377"/>
    <w:rsid w:val="4EE92617"/>
    <w:rsid w:val="4F6A7640"/>
    <w:rsid w:val="4FB10014"/>
    <w:rsid w:val="4FB82F63"/>
    <w:rsid w:val="4FE13118"/>
    <w:rsid w:val="5057741E"/>
    <w:rsid w:val="50F14BCB"/>
    <w:rsid w:val="520B58AE"/>
    <w:rsid w:val="52B050CF"/>
    <w:rsid w:val="52C27DD2"/>
    <w:rsid w:val="52F6767E"/>
    <w:rsid w:val="53F058C2"/>
    <w:rsid w:val="54664607"/>
    <w:rsid w:val="5492094F"/>
    <w:rsid w:val="54BC0568"/>
    <w:rsid w:val="54FB5AA1"/>
    <w:rsid w:val="55235101"/>
    <w:rsid w:val="55666CC9"/>
    <w:rsid w:val="55CC7BBA"/>
    <w:rsid w:val="564A7988"/>
    <w:rsid w:val="567B29ED"/>
    <w:rsid w:val="57E9390D"/>
    <w:rsid w:val="5843585C"/>
    <w:rsid w:val="586853A1"/>
    <w:rsid w:val="58836646"/>
    <w:rsid w:val="5892767D"/>
    <w:rsid w:val="58C80D0A"/>
    <w:rsid w:val="58EA3AC9"/>
    <w:rsid w:val="598924FB"/>
    <w:rsid w:val="59E3151A"/>
    <w:rsid w:val="5A82030A"/>
    <w:rsid w:val="5A8A0E18"/>
    <w:rsid w:val="5AC24977"/>
    <w:rsid w:val="5B505491"/>
    <w:rsid w:val="5B685104"/>
    <w:rsid w:val="5B7610E1"/>
    <w:rsid w:val="5C353A96"/>
    <w:rsid w:val="5E560D62"/>
    <w:rsid w:val="5F326D3D"/>
    <w:rsid w:val="5F4D6FE9"/>
    <w:rsid w:val="5FE04FE5"/>
    <w:rsid w:val="60187C03"/>
    <w:rsid w:val="60510E15"/>
    <w:rsid w:val="60E40144"/>
    <w:rsid w:val="61531266"/>
    <w:rsid w:val="61C668C7"/>
    <w:rsid w:val="624F57E4"/>
    <w:rsid w:val="62F17438"/>
    <w:rsid w:val="63483071"/>
    <w:rsid w:val="645821BA"/>
    <w:rsid w:val="64FC5F3B"/>
    <w:rsid w:val="65F56152"/>
    <w:rsid w:val="663003AB"/>
    <w:rsid w:val="664B2ED3"/>
    <w:rsid w:val="6743002C"/>
    <w:rsid w:val="674D2F4B"/>
    <w:rsid w:val="679A5E06"/>
    <w:rsid w:val="68806B01"/>
    <w:rsid w:val="68953223"/>
    <w:rsid w:val="68DC268B"/>
    <w:rsid w:val="69AD60C2"/>
    <w:rsid w:val="6AFC6402"/>
    <w:rsid w:val="6BDF5049"/>
    <w:rsid w:val="6C777344"/>
    <w:rsid w:val="6C9C0EC0"/>
    <w:rsid w:val="6CE357E1"/>
    <w:rsid w:val="6D0914F3"/>
    <w:rsid w:val="6F653CFF"/>
    <w:rsid w:val="6F6822D7"/>
    <w:rsid w:val="6FAB29C1"/>
    <w:rsid w:val="6FCD0E4E"/>
    <w:rsid w:val="6FCF00B9"/>
    <w:rsid w:val="6FCF718B"/>
    <w:rsid w:val="70E72088"/>
    <w:rsid w:val="722E4177"/>
    <w:rsid w:val="723375A1"/>
    <w:rsid w:val="723E2AE2"/>
    <w:rsid w:val="727E47E1"/>
    <w:rsid w:val="7324479F"/>
    <w:rsid w:val="74444C81"/>
    <w:rsid w:val="746D1A48"/>
    <w:rsid w:val="748B5DC2"/>
    <w:rsid w:val="760C0C18"/>
    <w:rsid w:val="769875D4"/>
    <w:rsid w:val="76C621FB"/>
    <w:rsid w:val="76E53BA4"/>
    <w:rsid w:val="77AE2D9F"/>
    <w:rsid w:val="77C12DDB"/>
    <w:rsid w:val="785E0EED"/>
    <w:rsid w:val="7893567F"/>
    <w:rsid w:val="790B2C9D"/>
    <w:rsid w:val="794A254F"/>
    <w:rsid w:val="7A115E70"/>
    <w:rsid w:val="7B0F51B4"/>
    <w:rsid w:val="7B9B7712"/>
    <w:rsid w:val="7BE31D0F"/>
    <w:rsid w:val="7C376D58"/>
    <w:rsid w:val="7D100CF6"/>
    <w:rsid w:val="7F764191"/>
    <w:rsid w:val="7F7F4208"/>
    <w:rsid w:val="C7EE89D8"/>
    <w:rsid w:val="DDEFC0D1"/>
    <w:rsid w:val="DF9FB9BE"/>
    <w:rsid w:val="E5FBA3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semiHidden="0" w:name="footnote text"/>
    <w:lsdException w:uiPriority="99" w:name="annotation text"/>
    <w:lsdException w:unhideWhenUsed="0" w:uiPriority="0" w:semiHidden="0" w:name="header"/>
    <w:lsdException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semiHidden="0"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eastAsia="宋体"/>
      <w:kern w:val="2"/>
      <w:sz w:val="21"/>
      <w:lang w:val="en-US" w:eastAsia="zh-CN"/>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kern w:val="44"/>
      <w:sz w:val="48"/>
      <w:szCs w:val="48"/>
      <w:lang w:val="en-US" w:eastAsia="zh-CN" w:bidi="ar-SA"/>
    </w:rPr>
  </w:style>
  <w:style w:type="character" w:default="1" w:styleId="17">
    <w:name w:val="Default Paragraph Font"/>
    <w:uiPriority w:val="0"/>
  </w:style>
  <w:style w:type="table" w:default="1" w:styleId="16">
    <w:name w:val="Normal Table"/>
    <w:unhideWhenUsed/>
    <w:uiPriority w:val="99"/>
    <w:tblPr>
      <w:tblStyle w:val="16"/>
      <w:tblCellMar>
        <w:top w:w="0" w:type="dxa"/>
        <w:left w:w="108" w:type="dxa"/>
        <w:bottom w:w="0" w:type="dxa"/>
        <w:right w:w="108" w:type="dxa"/>
      </w:tblCellMar>
    </w:tblPr>
  </w:style>
  <w:style w:type="paragraph" w:styleId="3">
    <w:name w:val="toc 7"/>
    <w:basedOn w:val="1"/>
    <w:next w:val="1"/>
    <w:unhideWhenUsed/>
    <w:uiPriority w:val="39"/>
    <w:pPr>
      <w:ind w:left="2520" w:leftChars="1200"/>
    </w:pPr>
  </w:style>
  <w:style w:type="paragraph" w:styleId="4">
    <w:name w:val="toc 5"/>
    <w:basedOn w:val="1"/>
    <w:next w:val="1"/>
    <w:unhideWhenUsed/>
    <w:uiPriority w:val="39"/>
    <w:pPr>
      <w:ind w:left="1680" w:leftChars="800"/>
    </w:pPr>
  </w:style>
  <w:style w:type="paragraph" w:styleId="5">
    <w:name w:val="toc 3"/>
    <w:basedOn w:val="1"/>
    <w:next w:val="1"/>
    <w:unhideWhenUsed/>
    <w:uiPriority w:val="39"/>
    <w:pPr>
      <w:ind w:left="840" w:leftChars="400"/>
    </w:pPr>
  </w:style>
  <w:style w:type="paragraph" w:styleId="6">
    <w:name w:val="toc 8"/>
    <w:basedOn w:val="1"/>
    <w:next w:val="1"/>
    <w:unhideWhenUsed/>
    <w:uiPriority w:val="39"/>
    <w:pPr>
      <w:ind w:left="2940" w:leftChars="1400"/>
    </w:pPr>
  </w:style>
  <w:style w:type="paragraph" w:styleId="7">
    <w:name w:val="footer"/>
    <w:basedOn w:val="1"/>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9">
    <w:name w:val="toc 1"/>
    <w:basedOn w:val="1"/>
    <w:next w:val="1"/>
    <w:unhideWhenUsed/>
    <w:uiPriority w:val="39"/>
  </w:style>
  <w:style w:type="paragraph" w:styleId="10">
    <w:name w:val="toc 4"/>
    <w:basedOn w:val="1"/>
    <w:next w:val="1"/>
    <w:unhideWhenUsed/>
    <w:uiPriority w:val="39"/>
    <w:pPr>
      <w:ind w:left="1260" w:leftChars="600"/>
    </w:pPr>
  </w:style>
  <w:style w:type="paragraph" w:styleId="11">
    <w:name w:val="footnote text"/>
    <w:basedOn w:val="1"/>
    <w:unhideWhenUsed/>
    <w:uiPriority w:val="99"/>
    <w:pPr>
      <w:snapToGrid w:val="0"/>
      <w:jc w:val="left"/>
    </w:pPr>
    <w:rPr>
      <w:sz w:val="18"/>
    </w:rPr>
  </w:style>
  <w:style w:type="paragraph" w:styleId="12">
    <w:name w:val="toc 6"/>
    <w:basedOn w:val="1"/>
    <w:next w:val="1"/>
    <w:unhideWhenUsed/>
    <w:uiPriority w:val="39"/>
    <w:pPr>
      <w:ind w:left="2100" w:leftChars="1000"/>
    </w:pPr>
  </w:style>
  <w:style w:type="paragraph" w:styleId="13">
    <w:name w:val="toc 2"/>
    <w:basedOn w:val="1"/>
    <w:next w:val="1"/>
    <w:unhideWhenUsed/>
    <w:uiPriority w:val="39"/>
    <w:pPr>
      <w:ind w:left="420" w:leftChars="200"/>
    </w:pPr>
  </w:style>
  <w:style w:type="paragraph" w:styleId="14">
    <w:name w:val="toc 9"/>
    <w:basedOn w:val="1"/>
    <w:next w:val="1"/>
    <w:unhideWhenUsed/>
    <w:uiPriority w:val="39"/>
    <w:pPr>
      <w:ind w:left="3360" w:leftChars="1600"/>
    </w:pPr>
  </w:style>
  <w:style w:type="paragraph" w:styleId="15">
    <w:name w:val="Normal (Web)"/>
    <w:unhideWhenUsed/>
    <w:uiPriority w:val="99"/>
    <w:pPr>
      <w:widowControl/>
      <w:spacing w:before="100" w:beforeLines="0" w:beforeAutospacing="1" w:after="100" w:afterLines="0" w:afterAutospacing="1"/>
      <w:jc w:val="left"/>
    </w:pPr>
    <w:rPr>
      <w:rFonts w:ascii="宋体" w:cs="宋体"/>
      <w:kern w:val="0"/>
      <w:sz w:val="24"/>
      <w:lang w:bidi="ar-SA"/>
    </w:rPr>
  </w:style>
  <w:style w:type="character" w:styleId="18">
    <w:name w:val="page number"/>
    <w:basedOn w:val="17"/>
    <w:unhideWhenUsed/>
    <w:uiPriority w:val="99"/>
  </w:style>
  <w:style w:type="character" w:styleId="19">
    <w:name w:val="FollowedHyperlink"/>
    <w:basedOn w:val="17"/>
    <w:unhideWhenUsed/>
    <w:uiPriority w:val="99"/>
    <w:rPr>
      <w:color w:val="512600"/>
      <w:u w:val="none"/>
    </w:rPr>
  </w:style>
  <w:style w:type="character" w:styleId="20">
    <w:name w:val="Hyperlink"/>
    <w:basedOn w:val="17"/>
    <w:unhideWhenUsed/>
    <w:uiPriority w:val="99"/>
    <w:rPr>
      <w:color w:val="512600"/>
      <w:u w:val="none"/>
    </w:rPr>
  </w:style>
  <w:style w:type="character" w:styleId="21">
    <w:name w:val="footnote reference"/>
    <w:basedOn w:val="17"/>
    <w:unhideWhenUsed/>
    <w:uiPriority w:val="99"/>
    <w:rPr>
      <w:vertAlign w:val="superscript"/>
    </w:rPr>
  </w:style>
  <w:style w:type="character" w:customStyle="1" w:styleId="22">
    <w:name w:val="font41"/>
    <w:basedOn w:val="17"/>
    <w:uiPriority w:val="0"/>
    <w:rPr>
      <w:rFonts w:hint="default" w:ascii="Times New Roman" w:hAnsi="Times New Roman" w:cs="Times New Roman"/>
      <w:b/>
      <w:color w:val="000000"/>
      <w:sz w:val="21"/>
      <w:szCs w:val="21"/>
      <w:u w:val="none"/>
    </w:rPr>
  </w:style>
  <w:style w:type="character" w:customStyle="1" w:styleId="23">
    <w:name w:val="font21"/>
    <w:basedOn w:val="17"/>
    <w:qFormat/>
    <w:uiPriority w:val="0"/>
    <w:rPr>
      <w:rFonts w:hint="eastAsia" w:ascii="宋体" w:hAnsi="宋体" w:eastAsia="宋体" w:cs="宋体"/>
      <w:b/>
      <w:color w:val="000000"/>
      <w:sz w:val="21"/>
      <w:szCs w:val="21"/>
      <w:u w:val="none"/>
    </w:rPr>
  </w:style>
  <w:style w:type="character" w:customStyle="1" w:styleId="24">
    <w:name w:val="font11"/>
    <w:basedOn w:val="17"/>
    <w:uiPriority w:val="0"/>
    <w:rPr>
      <w:rFonts w:hint="default" w:ascii="Arial" w:hAnsi="Arial" w:cs="Arial"/>
      <w:color w:val="000000"/>
      <w:sz w:val="24"/>
      <w:szCs w:val="24"/>
      <w:u w:val="none"/>
    </w:rPr>
  </w:style>
  <w:style w:type="paragraph" w:styleId="25">
    <w:name w:val="List Paragraph"/>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2.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chart" Target="charts/chart10.xml"/><Relationship Id="rId20" Type="http://schemas.openxmlformats.org/officeDocument/2006/relationships/chart" Target="charts/chart9.xml"/><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chart" Target="charts/chart8.xml"/><Relationship Id="rId17" Type="http://schemas.openxmlformats.org/officeDocument/2006/relationships/chart" Target="charts/chart7.xml"/><Relationship Id="rId16" Type="http://schemas.openxmlformats.org/officeDocument/2006/relationships/chart" Target="charts/chart6.xml"/><Relationship Id="rId15" Type="http://schemas.openxmlformats.org/officeDocument/2006/relationships/chart" Target="charts/chart5.xml"/><Relationship Id="rId14" Type="http://schemas.openxmlformats.org/officeDocument/2006/relationships/chart" Target="charts/chart4.xml"/><Relationship Id="rId13" Type="http://schemas.openxmlformats.org/officeDocument/2006/relationships/chart" Target="charts/chart3.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24037;&#20316;&#31807;1" TargetMode="External"/></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oleObject" Target="file:///D:\&#24494;&#20449;\&#31532;&#20108;&#37096;&#20998;.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24800;&#26222;\Documents\Tencent%20Files\2430904922\FileRecv\2020.8.31&#21021;&#27425;&#23601;&#19994;&#29575;&#19978;&#2525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24800;&#26222;\Documents\Tencent%20Files\2430904922\FileRecv\2020.8.31&#21021;&#27425;&#23601;&#19994;&#29575;&#19978;&#25253;&#25968;&#25454;.xls" TargetMode="External"/></Relationships>
</file>

<file path=word/charts/_rels/chart4.xml.rels><?xml version="1.0" encoding="UTF-8" standalone="yes"?>
<Relationships xmlns="http://schemas.openxmlformats.org/package/2006/relationships"><Relationship Id="rId4" Type="http://schemas.microsoft.com/office/2011/relationships/chartColorStyle" Target="colors7.xml"/><Relationship Id="rId3" Type="http://schemas.microsoft.com/office/2011/relationships/chartStyle" Target="style7.xml"/><Relationship Id="rId2" Type="http://schemas.openxmlformats.org/officeDocument/2006/relationships/themeOverride" Target="../theme/themeOverride1.xml"/><Relationship Id="rId1" Type="http://schemas.openxmlformats.org/officeDocument/2006/relationships/oleObject" Target="&#24037;&#20316;&#31807;2"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oleObject" Target="&#24037;&#20316;&#31807;2"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oleObject" Target="&#24037;&#20316;&#31807;2"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24037;&#20316;&#31807;2" TargetMode="External"/></Relationships>
</file>

<file path=word/charts/_rels/chart8.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24037;&#20316;&#31807;2" TargetMode="External"/></Relationships>
</file>

<file path=word/charts/_rels/chart9.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altLang="en-US">
                <a:solidFill>
                  <a:srgbClr val="FF0000"/>
                </a:solidFill>
              </a:rPr>
              <a:t>图</a:t>
            </a:r>
            <a:r>
              <a:rPr lang="en-US" altLang="zh-CN">
                <a:solidFill>
                  <a:srgbClr val="FF0000"/>
                </a:solidFill>
              </a:rPr>
              <a:t>1—1  2014</a:t>
            </a:r>
            <a:r>
              <a:rPr altLang="en-US">
                <a:solidFill>
                  <a:srgbClr val="FF0000"/>
                </a:solidFill>
              </a:rPr>
              <a:t>届</a:t>
            </a:r>
            <a:r>
              <a:rPr lang="en-US" altLang="zh-CN">
                <a:solidFill>
                  <a:srgbClr val="FF0000"/>
                </a:solidFill>
              </a:rPr>
              <a:t>—2020</a:t>
            </a:r>
            <a:r>
              <a:rPr altLang="en-US">
                <a:solidFill>
                  <a:srgbClr val="FF0000"/>
                </a:solidFill>
              </a:rPr>
              <a:t>届毕业生人数以及总体趋势</a:t>
            </a:r>
            <a:endParaRPr altLang="en-US">
              <a:solidFill>
                <a:srgbClr val="FF0000"/>
              </a:solidFill>
            </a:endParaRPr>
          </a:p>
        </c:rich>
      </c:tx>
      <c:layout>
        <c:manualLayout>
          <c:xMode val="edge"/>
          <c:yMode val="edge"/>
          <c:x val="0.156319444444444"/>
          <c:y val="0.0277777777777778"/>
        </c:manualLayout>
      </c:layout>
      <c:overlay val="0"/>
      <c:spPr>
        <a:noFill/>
        <a:ln>
          <a:noFill/>
        </a:ln>
        <a:effectLst/>
      </c:spPr>
    </c:title>
    <c:autoTitleDeleted val="0"/>
    <c:plotArea>
      <c:layout/>
      <c:barChart>
        <c:barDir val="col"/>
        <c:grouping val="clustered"/>
        <c:varyColors val="0"/>
        <c:ser>
          <c:idx val="0"/>
          <c:order val="0"/>
          <c:tx>
            <c:strRef>
              <c:f>[工作簿1]Sheet1!$A$2</c:f>
              <c:strCache>
                <c:ptCount val="1"/>
                <c:pt idx="0">
                  <c:v>毕业人数</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[工作簿1]Sheet1!$B$2:$H$2</c:f>
              <c:numCache>
                <c:formatCode>General</c:formatCode>
                <c:ptCount val="7"/>
                <c:pt idx="0">
                  <c:v>1469</c:v>
                </c:pt>
                <c:pt idx="1">
                  <c:v>1319</c:v>
                </c:pt>
                <c:pt idx="2">
                  <c:v>1349</c:v>
                </c:pt>
                <c:pt idx="3">
                  <c:v>1328</c:v>
                </c:pt>
                <c:pt idx="4">
                  <c:v>959</c:v>
                </c:pt>
                <c:pt idx="5">
                  <c:v>796</c:v>
                </c:pt>
                <c:pt idx="6">
                  <c:v>803</c:v>
                </c:pt>
              </c:numCache>
            </c:numRef>
          </c:val>
        </c:ser>
        <c:ser>
          <c:idx val="1"/>
          <c:order val="1"/>
          <c:tx>
            <c:strRef>
              <c:f>[工作簿1]Sheet1!$A$3</c:f>
              <c:strCache>
                <c:ptCount val="1"/>
                <c:pt idx="0">
                  <c:v>就业人数</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[工作簿1]Sheet1!$B$3:$H$3</c:f>
              <c:numCache>
                <c:formatCode>General</c:formatCode>
                <c:ptCount val="7"/>
                <c:pt idx="0">
                  <c:v>1195</c:v>
                </c:pt>
                <c:pt idx="1">
                  <c:v>1075</c:v>
                </c:pt>
                <c:pt idx="2">
                  <c:v>1121</c:v>
                </c:pt>
                <c:pt idx="3">
                  <c:v>1112</c:v>
                </c:pt>
                <c:pt idx="4">
                  <c:v>676</c:v>
                </c:pt>
                <c:pt idx="5">
                  <c:v>677</c:v>
                </c:pt>
                <c:pt idx="6">
                  <c:v>602</c:v>
                </c:pt>
              </c:numCache>
            </c:numRef>
          </c:val>
        </c:ser>
        <c:dLbls>
          <c:showLegendKey val="0"/>
          <c:showVal val="1"/>
          <c:showCatName val="0"/>
          <c:showSerName val="0"/>
          <c:showPercent val="0"/>
          <c:showBubbleSize val="0"/>
        </c:dLbls>
        <c:gapWidth val="219"/>
        <c:overlap val="-27"/>
        <c:axId val="260089885"/>
        <c:axId val="895969180"/>
      </c:barChart>
      <c:lineChart>
        <c:grouping val="standard"/>
        <c:varyColors val="0"/>
        <c:ser>
          <c:idx val="2"/>
          <c:order val="2"/>
          <c:tx>
            <c:strRef>
              <c:f>[工作簿1]Sheet1!$A$4</c:f>
              <c:strCache>
                <c:ptCount val="1"/>
                <c:pt idx="0">
                  <c:v>就业率</c:v>
                </c:pt>
              </c:strCache>
            </c:strRef>
          </c:tx>
          <c:spPr>
            <a:ln w="28575" cap="rnd">
              <a:solidFill>
                <a:srgbClr val="9BBB59"/>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[工作簿1]Sheet1!$B$4:$H$4</c:f>
              <c:numCache>
                <c:formatCode>0.00%</c:formatCode>
                <c:ptCount val="7"/>
                <c:pt idx="0">
                  <c:v>0.8135</c:v>
                </c:pt>
                <c:pt idx="1">
                  <c:v>0.815</c:v>
                </c:pt>
                <c:pt idx="2">
                  <c:v>0.831</c:v>
                </c:pt>
                <c:pt idx="3">
                  <c:v>0.84</c:v>
                </c:pt>
                <c:pt idx="4">
                  <c:v>0.705</c:v>
                </c:pt>
                <c:pt idx="5">
                  <c:v>0.8505</c:v>
                </c:pt>
                <c:pt idx="6">
                  <c:v>0.7497</c:v>
                </c:pt>
              </c:numCache>
            </c:numRef>
          </c:val>
          <c:smooth val="0"/>
        </c:ser>
        <c:dLbls>
          <c:showLegendKey val="0"/>
          <c:showVal val="1"/>
          <c:showCatName val="0"/>
          <c:showSerName val="0"/>
          <c:showPercent val="0"/>
          <c:showBubbleSize val="0"/>
        </c:dLbls>
        <c:marker val="0"/>
        <c:smooth val="0"/>
        <c:axId val="98253602"/>
        <c:axId val="478573391"/>
      </c:lineChart>
      <c:catAx>
        <c:axId val="26008988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95969180"/>
        <c:crosses val="autoZero"/>
        <c:auto val="1"/>
        <c:lblAlgn val="ctr"/>
        <c:lblOffset val="100"/>
        <c:noMultiLvlLbl val="0"/>
      </c:catAx>
      <c:valAx>
        <c:axId val="89596918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60089885"/>
        <c:crosses val="autoZero"/>
        <c:crossBetween val="between"/>
      </c:valAx>
      <c:catAx>
        <c:axId val="98253602"/>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78573391"/>
        <c:crosses val="autoZero"/>
        <c:auto val="1"/>
        <c:lblAlgn val="ctr"/>
        <c:lblOffset val="100"/>
        <c:noMultiLvlLbl val="0"/>
      </c:catAx>
      <c:valAx>
        <c:axId val="478573391"/>
        <c:scaling>
          <c:orientation val="minMax"/>
        </c:scaling>
        <c:delete val="0"/>
        <c:axPos val="r"/>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8253602"/>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6944444444444"/>
          <c:y val="0.0462962962962963"/>
          <c:w val="0.889361111111111"/>
          <c:h val="0.732268518518518"/>
        </c:manualLayout>
      </c:layout>
      <c:lineChart>
        <c:grouping val="standard"/>
        <c:varyColors val="0"/>
        <c:ser>
          <c:idx val="0"/>
          <c:order val="0"/>
          <c:tx>
            <c:strRef>
              <c:f>[第二部分.xlsx]Sheet1!$B$1</c:f>
              <c:strCache>
                <c:ptCount val="1"/>
                <c:pt idx="0">
                  <c:v>直接就业</c:v>
                </c:pt>
              </c:strCache>
            </c:strRef>
          </c:tx>
          <c:spPr>
            <a:ln w="28575" cap="rnd">
              <a:solidFill>
                <a:srgbClr val="4F81BD"/>
              </a:solidFill>
              <a:round/>
            </a:ln>
            <a:effectLst/>
          </c:spPr>
          <c:marker>
            <c:symbol val="none"/>
          </c:marker>
          <c:dLbls>
            <c:delete val="1"/>
          </c:dLbls>
          <c:cat>
            <c:strRef>
              <c:f>[第二部分.xlsx]Sheet1!$A$2:$A$8</c:f>
              <c:strCache>
                <c:ptCount val="7"/>
                <c:pt idx="0">
                  <c:v>2014年</c:v>
                </c:pt>
                <c:pt idx="1">
                  <c:v>2015年</c:v>
                </c:pt>
                <c:pt idx="2">
                  <c:v>2016年</c:v>
                </c:pt>
                <c:pt idx="3">
                  <c:v>2017年</c:v>
                </c:pt>
                <c:pt idx="4">
                  <c:v>2018年</c:v>
                </c:pt>
                <c:pt idx="5">
                  <c:v>2019年</c:v>
                </c:pt>
                <c:pt idx="6">
                  <c:v>2020年</c:v>
                </c:pt>
              </c:strCache>
            </c:strRef>
          </c:cat>
          <c:val>
            <c:numRef>
              <c:f>[第二部分.xlsx]Sheet1!$B$2:$B$8</c:f>
              <c:numCache>
                <c:formatCode>0%</c:formatCode>
                <c:ptCount val="7"/>
                <c:pt idx="0">
                  <c:v>0.65</c:v>
                </c:pt>
                <c:pt idx="1">
                  <c:v>0.75</c:v>
                </c:pt>
                <c:pt idx="2">
                  <c:v>0.77</c:v>
                </c:pt>
                <c:pt idx="3">
                  <c:v>0.8</c:v>
                </c:pt>
                <c:pt idx="4">
                  <c:v>0.7</c:v>
                </c:pt>
                <c:pt idx="5">
                  <c:v>0.75</c:v>
                </c:pt>
                <c:pt idx="6" c:formatCode="0.00%">
                  <c:v>0.7497</c:v>
                </c:pt>
              </c:numCache>
            </c:numRef>
          </c:val>
          <c:smooth val="0"/>
        </c:ser>
        <c:ser>
          <c:idx val="1"/>
          <c:order val="1"/>
          <c:tx>
            <c:strRef>
              <c:f>[第二部分.xlsx]Sheet1!$C$1</c:f>
              <c:strCache>
                <c:ptCount val="1"/>
                <c:pt idx="0">
                  <c:v>深造</c:v>
                </c:pt>
              </c:strCache>
            </c:strRef>
          </c:tx>
          <c:spPr>
            <a:ln w="28575" cap="rnd">
              <a:solidFill>
                <a:srgbClr val="C0504D"/>
              </a:solidFill>
              <a:round/>
            </a:ln>
            <a:effectLst/>
          </c:spPr>
          <c:marker>
            <c:symbol val="none"/>
          </c:marker>
          <c:dLbls>
            <c:delete val="1"/>
          </c:dLbls>
          <c:cat>
            <c:strRef>
              <c:f>[第二部分.xlsx]Sheet1!$A$2:$A$8</c:f>
              <c:strCache>
                <c:ptCount val="7"/>
                <c:pt idx="0">
                  <c:v>2014年</c:v>
                </c:pt>
                <c:pt idx="1">
                  <c:v>2015年</c:v>
                </c:pt>
                <c:pt idx="2">
                  <c:v>2016年</c:v>
                </c:pt>
                <c:pt idx="3">
                  <c:v>2017年</c:v>
                </c:pt>
                <c:pt idx="4">
                  <c:v>2018年</c:v>
                </c:pt>
                <c:pt idx="5">
                  <c:v>2019年</c:v>
                </c:pt>
                <c:pt idx="6">
                  <c:v>2020年</c:v>
                </c:pt>
              </c:strCache>
            </c:strRef>
          </c:cat>
          <c:val>
            <c:numRef>
              <c:f>[第二部分.xlsx]Sheet1!$C$2:$C$8</c:f>
              <c:numCache>
                <c:formatCode>0%</c:formatCode>
                <c:ptCount val="7"/>
                <c:pt idx="0">
                  <c:v>0.2</c:v>
                </c:pt>
                <c:pt idx="1">
                  <c:v>0.08</c:v>
                </c:pt>
                <c:pt idx="2">
                  <c:v>0.09</c:v>
                </c:pt>
                <c:pt idx="3">
                  <c:v>0.08</c:v>
                </c:pt>
                <c:pt idx="4">
                  <c:v>0.08</c:v>
                </c:pt>
                <c:pt idx="5">
                  <c:v>0.08</c:v>
                </c:pt>
                <c:pt idx="6" c:formatCode="0.00%">
                  <c:v>0.0785</c:v>
                </c:pt>
              </c:numCache>
            </c:numRef>
          </c:val>
          <c:smooth val="0"/>
        </c:ser>
        <c:dLbls>
          <c:showLegendKey val="0"/>
          <c:showVal val="0"/>
          <c:showCatName val="0"/>
          <c:showSerName val="0"/>
          <c:showPercent val="0"/>
          <c:showBubbleSize val="0"/>
        </c:dLbls>
        <c:marker val="0"/>
        <c:smooth val="0"/>
        <c:axId val="215916098"/>
        <c:axId val="118002707"/>
      </c:lineChart>
      <c:catAx>
        <c:axId val="21591609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18002707"/>
        <c:crosses val="autoZero"/>
        <c:auto val="1"/>
        <c:lblAlgn val="ctr"/>
        <c:lblOffset val="100"/>
        <c:noMultiLvlLbl val="0"/>
      </c:catAx>
      <c:valAx>
        <c:axId val="118002707"/>
        <c:scaling>
          <c:orientation val="minMax"/>
        </c:scaling>
        <c:delete val="0"/>
        <c:axPos val="l"/>
        <c:majorGridlines>
          <c:spPr>
            <a:ln w="9525" cap="flat" cmpd="sng" algn="ctr">
              <a:solidFill>
                <a:srgbClr val="D9D9D9">
                  <a:lumMod val="15000"/>
                  <a:lumOff val="85000"/>
                </a:srgb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1591609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[2020.8.31初次就业率上报数据.xls]Sheet3!$A$2</c:f>
              <c:strCache>
                <c:ptCount val="1"/>
                <c:pt idx="0">
                  <c:v>毕业人数</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[2020.8.31初次就业率上报数据.xls]Sheet3!$B$1:$M$1</c:f>
              <c:strCache>
                <c:ptCount val="12"/>
                <c:pt idx="0">
                  <c:v>护理学</c:v>
                </c:pt>
                <c:pt idx="1">
                  <c:v>中医学</c:v>
                </c:pt>
                <c:pt idx="2">
                  <c:v>中西医临床医学</c:v>
                </c:pt>
                <c:pt idx="3">
                  <c:v>药学</c:v>
                </c:pt>
                <c:pt idx="4">
                  <c:v>针灸推拿学</c:v>
                </c:pt>
                <c:pt idx="5">
                  <c:v>中药学</c:v>
                </c:pt>
                <c:pt idx="6">
                  <c:v>康复治疗</c:v>
                </c:pt>
                <c:pt idx="7">
                  <c:v>制药工程</c:v>
                </c:pt>
                <c:pt idx="8">
                  <c:v>应用心理学 </c:v>
                </c:pt>
                <c:pt idx="9">
                  <c:v>市场营销</c:v>
                </c:pt>
                <c:pt idx="10">
                  <c:v>药物制剂</c:v>
                </c:pt>
                <c:pt idx="11">
                  <c:v>生物工程</c:v>
                </c:pt>
              </c:strCache>
            </c:strRef>
          </c:cat>
          <c:val>
            <c:numRef>
              <c:f>[2020.8.31初次就业率上报数据.xls]Sheet3!$B$2:$M$2</c:f>
              <c:numCache>
                <c:formatCode>General</c:formatCode>
                <c:ptCount val="12"/>
                <c:pt idx="0">
                  <c:v>268</c:v>
                </c:pt>
                <c:pt idx="1">
                  <c:v>114</c:v>
                </c:pt>
                <c:pt idx="2">
                  <c:v>95</c:v>
                </c:pt>
                <c:pt idx="3">
                  <c:v>96</c:v>
                </c:pt>
                <c:pt idx="4">
                  <c:v>82</c:v>
                </c:pt>
                <c:pt idx="5">
                  <c:v>44</c:v>
                </c:pt>
                <c:pt idx="6">
                  <c:v>37</c:v>
                </c:pt>
                <c:pt idx="7">
                  <c:v>17</c:v>
                </c:pt>
                <c:pt idx="8">
                  <c:v>12</c:v>
                </c:pt>
                <c:pt idx="9">
                  <c:v>16</c:v>
                </c:pt>
                <c:pt idx="10">
                  <c:v>15</c:v>
                </c:pt>
                <c:pt idx="11">
                  <c:v>7</c:v>
                </c:pt>
              </c:numCache>
            </c:numRef>
          </c:val>
        </c:ser>
        <c:ser>
          <c:idx val="1"/>
          <c:order val="1"/>
          <c:tx>
            <c:strRef>
              <c:f>[2020.8.31初次就业率上报数据.xls]Sheet3!$A$3</c:f>
              <c:strCache>
                <c:ptCount val="1"/>
                <c:pt idx="0">
                  <c:v>就业人数</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[2020.8.31初次就业率上报数据.xls]Sheet3!$B$1:$M$1</c:f>
              <c:strCache>
                <c:ptCount val="12"/>
                <c:pt idx="0">
                  <c:v>护理学</c:v>
                </c:pt>
                <c:pt idx="1">
                  <c:v>中医学</c:v>
                </c:pt>
                <c:pt idx="2">
                  <c:v>中西医临床医学</c:v>
                </c:pt>
                <c:pt idx="3">
                  <c:v>药学</c:v>
                </c:pt>
                <c:pt idx="4">
                  <c:v>针灸推拿学</c:v>
                </c:pt>
                <c:pt idx="5">
                  <c:v>中药学</c:v>
                </c:pt>
                <c:pt idx="6">
                  <c:v>康复治疗</c:v>
                </c:pt>
                <c:pt idx="7">
                  <c:v>制药工程</c:v>
                </c:pt>
                <c:pt idx="8">
                  <c:v>应用心理学 </c:v>
                </c:pt>
                <c:pt idx="9">
                  <c:v>市场营销</c:v>
                </c:pt>
                <c:pt idx="10">
                  <c:v>药物制剂</c:v>
                </c:pt>
                <c:pt idx="11">
                  <c:v>生物工程</c:v>
                </c:pt>
              </c:strCache>
            </c:strRef>
          </c:cat>
          <c:val>
            <c:numRef>
              <c:f>[2020.8.31初次就业率上报数据.xls]Sheet3!$B$3:$M$3</c:f>
              <c:numCache>
                <c:formatCode>General</c:formatCode>
                <c:ptCount val="12"/>
                <c:pt idx="0">
                  <c:v>217</c:v>
                </c:pt>
                <c:pt idx="1">
                  <c:v>77</c:v>
                </c:pt>
                <c:pt idx="2">
                  <c:v>81</c:v>
                </c:pt>
                <c:pt idx="3">
                  <c:v>68</c:v>
                </c:pt>
                <c:pt idx="4">
                  <c:v>69</c:v>
                </c:pt>
                <c:pt idx="5">
                  <c:v>29</c:v>
                </c:pt>
                <c:pt idx="6">
                  <c:v>17</c:v>
                </c:pt>
                <c:pt idx="7">
                  <c:v>12</c:v>
                </c:pt>
                <c:pt idx="8">
                  <c:v>6</c:v>
                </c:pt>
                <c:pt idx="9">
                  <c:v>10</c:v>
                </c:pt>
                <c:pt idx="10">
                  <c:v>10</c:v>
                </c:pt>
                <c:pt idx="11">
                  <c:v>6</c:v>
                </c:pt>
              </c:numCache>
            </c:numRef>
          </c:val>
        </c:ser>
        <c:dLbls>
          <c:showLegendKey val="0"/>
          <c:showVal val="1"/>
          <c:showCatName val="0"/>
          <c:showSerName val="0"/>
          <c:showPercent val="0"/>
          <c:showBubbleSize val="0"/>
        </c:dLbls>
        <c:gapWidth val="150"/>
        <c:overlap val="0"/>
        <c:axId val="324870638"/>
        <c:axId val="719918556"/>
      </c:barChart>
      <c:lineChart>
        <c:grouping val="standard"/>
        <c:varyColors val="0"/>
        <c:ser>
          <c:idx val="2"/>
          <c:order val="2"/>
          <c:tx>
            <c:strRef>
              <c:f>[2020.8.31初次就业率上报数据.xls]Sheet3!$A$4</c:f>
              <c:strCache>
                <c:ptCount val="1"/>
                <c:pt idx="0">
                  <c:v>就业率</c:v>
                </c:pt>
              </c:strCache>
            </c:strRef>
          </c:tx>
          <c:spPr>
            <a:ln w="28575" cap="rnd">
              <a:solidFill>
                <a:srgbClr val="9BBB59"/>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[2020.8.31初次就业率上报数据.xls]Sheet3!$B$1:$M$1</c:f>
              <c:strCache>
                <c:ptCount val="12"/>
                <c:pt idx="0">
                  <c:v>护理学</c:v>
                </c:pt>
                <c:pt idx="1">
                  <c:v>中医学</c:v>
                </c:pt>
                <c:pt idx="2">
                  <c:v>中西医临床医学</c:v>
                </c:pt>
                <c:pt idx="3">
                  <c:v>药学</c:v>
                </c:pt>
                <c:pt idx="4">
                  <c:v>针灸推拿学</c:v>
                </c:pt>
                <c:pt idx="5">
                  <c:v>中药学</c:v>
                </c:pt>
                <c:pt idx="6">
                  <c:v>康复治疗</c:v>
                </c:pt>
                <c:pt idx="7">
                  <c:v>制药工程</c:v>
                </c:pt>
                <c:pt idx="8">
                  <c:v>应用心理学 </c:v>
                </c:pt>
                <c:pt idx="9">
                  <c:v>市场营销</c:v>
                </c:pt>
                <c:pt idx="10">
                  <c:v>药物制剂</c:v>
                </c:pt>
                <c:pt idx="11">
                  <c:v>生物工程</c:v>
                </c:pt>
              </c:strCache>
            </c:strRef>
          </c:cat>
          <c:val>
            <c:numRef>
              <c:f>[2020.8.31初次就业率上报数据.xls]Sheet3!$B$4:$M$4</c:f>
              <c:numCache>
                <c:formatCode>0.00%</c:formatCode>
                <c:ptCount val="12"/>
                <c:pt idx="0">
                  <c:v>0.7497</c:v>
                </c:pt>
                <c:pt idx="1">
                  <c:v>0.6754</c:v>
                </c:pt>
                <c:pt idx="2">
                  <c:v>0.8526</c:v>
                </c:pt>
                <c:pt idx="3">
                  <c:v>0.7083</c:v>
                </c:pt>
                <c:pt idx="4">
                  <c:v>0.84146</c:v>
                </c:pt>
                <c:pt idx="5">
                  <c:v>0.6591</c:v>
                </c:pt>
                <c:pt idx="6">
                  <c:v>0.4595</c:v>
                </c:pt>
                <c:pt idx="7">
                  <c:v>0.70588</c:v>
                </c:pt>
                <c:pt idx="8">
                  <c:v>0.5</c:v>
                </c:pt>
                <c:pt idx="9">
                  <c:v>0.625</c:v>
                </c:pt>
                <c:pt idx="10">
                  <c:v>0.6667</c:v>
                </c:pt>
                <c:pt idx="11">
                  <c:v>0.8571</c:v>
                </c:pt>
              </c:numCache>
            </c:numRef>
          </c:val>
          <c:smooth val="0"/>
        </c:ser>
        <c:dLbls>
          <c:showLegendKey val="0"/>
          <c:showVal val="1"/>
          <c:showCatName val="0"/>
          <c:showSerName val="0"/>
          <c:showPercent val="0"/>
          <c:showBubbleSize val="0"/>
        </c:dLbls>
        <c:marker val="0"/>
        <c:smooth val="0"/>
        <c:axId val="402784349"/>
        <c:axId val="122596615"/>
      </c:lineChart>
      <c:catAx>
        <c:axId val="324870638"/>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719918556"/>
        <c:crosses val="autoZero"/>
        <c:auto val="1"/>
        <c:lblAlgn val="ctr"/>
        <c:lblOffset val="100"/>
        <c:noMultiLvlLbl val="0"/>
      </c:catAx>
      <c:valAx>
        <c:axId val="719918556"/>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324870638"/>
        <c:crosses val="autoZero"/>
        <c:crossBetween val="between"/>
      </c:valAx>
      <c:catAx>
        <c:axId val="402784349"/>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122596615"/>
        <c:crosses val="autoZero"/>
        <c:auto val="1"/>
        <c:lblAlgn val="ctr"/>
        <c:lblOffset val="100"/>
        <c:noMultiLvlLbl val="0"/>
      </c:catAx>
      <c:valAx>
        <c:axId val="122596615"/>
        <c:scaling>
          <c:orientation val="minMax"/>
        </c:scaling>
        <c:delete val="0"/>
        <c:axPos val="r"/>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02784349"/>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314000277508"/>
          <c:y val="0.0439814814814815"/>
        </c:manualLayout>
      </c:layout>
      <c:overlay val="0"/>
      <c:spPr>
        <a:noFill/>
        <a:ln>
          <a:noFill/>
        </a:ln>
        <a:effectLst/>
      </c:spPr>
      <c:txPr>
        <a:bodyPr rot="0" spcFirstLastPara="0" vertOverflow="ellipsis" vert="horz" wrap="square" anchor="ctr" anchorCtr="1"/>
        <a:lstStyle/>
        <a:p>
          <a:pPr>
            <a:defRPr lang="zh-CN" sz="1400" b="0" i="0" u="none" strike="noStrike" kern="1200" spc="0" baseline="0">
              <a:solidFill>
                <a:srgbClr val="595959">
                  <a:lumMod val="65000"/>
                  <a:lumOff val="35000"/>
                </a:srgbClr>
              </a:solidFill>
              <a:latin typeface="+mn-lt"/>
              <a:ea typeface="+mn-ea"/>
              <a:cs typeface="+mn-cs"/>
            </a:defRPr>
          </a:pPr>
        </a:p>
      </c:txPr>
    </c:title>
    <c:autoTitleDeleted val="0"/>
    <c:plotArea>
      <c:layout/>
      <c:barChart>
        <c:barDir val="col"/>
        <c:grouping val="clustered"/>
        <c:varyColors val="0"/>
        <c:ser>
          <c:idx val="0"/>
          <c:order val="0"/>
          <c:tx>
            <c:strRef>
              <c:f>[2020.8.31初次就业率上报数据.xls]Sheet3!$A$26</c:f>
              <c:strCache>
                <c:ptCount val="1"/>
                <c:pt idx="0">
                  <c:v>男生</c:v>
                </c:pt>
              </c:strCache>
            </c:strRef>
          </c:tx>
          <c:spPr>
            <a:solidFill>
              <a:srgbClr val="4F81BD"/>
            </a:solidFill>
            <a:ln>
              <a:noFill/>
            </a:ln>
            <a:effectLst/>
          </c:spPr>
          <c:invertIfNegative val="0"/>
          <c:dLbls>
            <c:delete val="1"/>
          </c:dLbls>
          <c:cat>
            <c:strRef>
              <c:f>[2020.8.31初次就业率上报数据.xls]Sheet3!$B$25:$N$25</c:f>
              <c:strCache>
                <c:ptCount val="13"/>
                <c:pt idx="0" c:formatCode="0.00%">
                  <c:v>护理学</c:v>
                </c:pt>
                <c:pt idx="1" c:formatCode="0.00%">
                  <c:v>中医学</c:v>
                </c:pt>
                <c:pt idx="2" c:formatCode="0.00%">
                  <c:v>中西医临床医学</c:v>
                </c:pt>
                <c:pt idx="3" c:formatCode="0.00%">
                  <c:v>药学</c:v>
                </c:pt>
                <c:pt idx="4" c:formatCode="0.00%">
                  <c:v>针灸推拿学</c:v>
                </c:pt>
                <c:pt idx="5" c:formatCode="0.00%">
                  <c:v>中药学</c:v>
                </c:pt>
                <c:pt idx="6" c:formatCode="0.00%">
                  <c:v>康复治疗</c:v>
                </c:pt>
                <c:pt idx="7" c:formatCode="0.00%">
                  <c:v>制药工程</c:v>
                </c:pt>
                <c:pt idx="8" c:formatCode="0.00%">
                  <c:v>应用心理学 </c:v>
                </c:pt>
                <c:pt idx="9" c:formatCode="0.00%">
                  <c:v>市场营销</c:v>
                </c:pt>
                <c:pt idx="10" c:formatCode="0.00%">
                  <c:v>药物制剂</c:v>
                </c:pt>
                <c:pt idx="11" c:formatCode="0.00%">
                  <c:v>生物工程</c:v>
                </c:pt>
              </c:strCache>
            </c:strRef>
          </c:cat>
          <c:val>
            <c:numRef>
              <c:f>[2020.8.31初次就业率上报数据.xls]Sheet3!$B$26:$N$26</c:f>
              <c:numCache>
                <c:formatCode>0.00%</c:formatCode>
                <c:ptCount val="13"/>
                <c:pt idx="0">
                  <c:v>0.9333</c:v>
                </c:pt>
                <c:pt idx="1">
                  <c:v>0.6667</c:v>
                </c:pt>
                <c:pt idx="2">
                  <c:v>0.9512</c:v>
                </c:pt>
                <c:pt idx="3">
                  <c:v>0.7931</c:v>
                </c:pt>
                <c:pt idx="4">
                  <c:v>0.8387</c:v>
                </c:pt>
                <c:pt idx="5">
                  <c:v>0.5625</c:v>
                </c:pt>
                <c:pt idx="6">
                  <c:v>0.4375</c:v>
                </c:pt>
                <c:pt idx="7">
                  <c:v>0.63636</c:v>
                </c:pt>
                <c:pt idx="8">
                  <c:v>0.2</c:v>
                </c:pt>
                <c:pt idx="9">
                  <c:v>0.6667</c:v>
                </c:pt>
                <c:pt idx="10">
                  <c:v>1</c:v>
                </c:pt>
                <c:pt idx="11">
                  <c:v>0.8</c:v>
                </c:pt>
              </c:numCache>
            </c:numRef>
          </c:val>
        </c:ser>
        <c:ser>
          <c:idx val="1"/>
          <c:order val="1"/>
          <c:tx>
            <c:strRef>
              <c:f>[2020.8.31初次就业率上报数据.xls]Sheet3!$A$27</c:f>
              <c:strCache>
                <c:ptCount val="1"/>
                <c:pt idx="0">
                  <c:v>女生</c:v>
                </c:pt>
              </c:strCache>
            </c:strRef>
          </c:tx>
          <c:spPr>
            <a:solidFill>
              <a:srgbClr val="C0504D"/>
            </a:solidFill>
            <a:ln>
              <a:noFill/>
            </a:ln>
            <a:effectLst/>
          </c:spPr>
          <c:invertIfNegative val="0"/>
          <c:dLbls>
            <c:delete val="1"/>
          </c:dLbls>
          <c:cat>
            <c:strRef>
              <c:f>[2020.8.31初次就业率上报数据.xls]Sheet3!$B$25:$N$25</c:f>
              <c:strCache>
                <c:ptCount val="13"/>
                <c:pt idx="0" c:formatCode="0.00%">
                  <c:v>护理学</c:v>
                </c:pt>
                <c:pt idx="1" c:formatCode="0.00%">
                  <c:v>中医学</c:v>
                </c:pt>
                <c:pt idx="2" c:formatCode="0.00%">
                  <c:v>中西医临床医学</c:v>
                </c:pt>
                <c:pt idx="3" c:formatCode="0.00%">
                  <c:v>药学</c:v>
                </c:pt>
                <c:pt idx="4" c:formatCode="0.00%">
                  <c:v>针灸推拿学</c:v>
                </c:pt>
                <c:pt idx="5" c:formatCode="0.00%">
                  <c:v>中药学</c:v>
                </c:pt>
                <c:pt idx="6" c:formatCode="0.00%">
                  <c:v>康复治疗</c:v>
                </c:pt>
                <c:pt idx="7" c:formatCode="0.00%">
                  <c:v>制药工程</c:v>
                </c:pt>
                <c:pt idx="8" c:formatCode="0.00%">
                  <c:v>应用心理学 </c:v>
                </c:pt>
                <c:pt idx="9" c:formatCode="0.00%">
                  <c:v>市场营销</c:v>
                </c:pt>
                <c:pt idx="10" c:formatCode="0.00%">
                  <c:v>药物制剂</c:v>
                </c:pt>
                <c:pt idx="11" c:formatCode="0.00%">
                  <c:v>生物工程</c:v>
                </c:pt>
              </c:strCache>
            </c:strRef>
          </c:cat>
          <c:val>
            <c:numRef>
              <c:f>[2020.8.31初次就业率上报数据.xls]Sheet3!$B$27:$N$27</c:f>
              <c:numCache>
                <c:formatCode>0.00%</c:formatCode>
                <c:ptCount val="13"/>
                <c:pt idx="0">
                  <c:v>0.7941</c:v>
                </c:pt>
                <c:pt idx="1">
                  <c:v>0.6825</c:v>
                </c:pt>
                <c:pt idx="2">
                  <c:v>0.7778</c:v>
                </c:pt>
                <c:pt idx="3">
                  <c:v>0.6716</c:v>
                </c:pt>
                <c:pt idx="4">
                  <c:v>0.8431</c:v>
                </c:pt>
                <c:pt idx="5">
                  <c:v>0.7143</c:v>
                </c:pt>
                <c:pt idx="6">
                  <c:v>0.4762</c:v>
                </c:pt>
                <c:pt idx="7">
                  <c:v>0.8333</c:v>
                </c:pt>
                <c:pt idx="8">
                  <c:v>0.7143</c:v>
                </c:pt>
                <c:pt idx="9">
                  <c:v>0.6</c:v>
                </c:pt>
                <c:pt idx="10">
                  <c:v>0.4444</c:v>
                </c:pt>
                <c:pt idx="11">
                  <c:v>1</c:v>
                </c:pt>
              </c:numCache>
            </c:numRef>
          </c:val>
        </c:ser>
        <c:dLbls>
          <c:showLegendKey val="0"/>
          <c:showVal val="0"/>
          <c:showCatName val="0"/>
          <c:showSerName val="0"/>
          <c:showPercent val="0"/>
          <c:showBubbleSize val="0"/>
        </c:dLbls>
        <c:gapWidth val="150"/>
        <c:overlap val="0"/>
        <c:axId val="640730492"/>
        <c:axId val="255359746"/>
      </c:barChart>
      <c:catAx>
        <c:axId val="640730492"/>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55359746"/>
        <c:crosses val="autoZero"/>
        <c:auto val="1"/>
        <c:lblAlgn val="ctr"/>
        <c:lblOffset val="100"/>
        <c:noMultiLvlLbl val="0"/>
      </c:catAx>
      <c:valAx>
        <c:axId val="255359746"/>
        <c:scaling>
          <c:orientation val="minMax"/>
        </c:scaling>
        <c:delete val="0"/>
        <c:axPos val="l"/>
        <c:majorGridlines>
          <c:spPr>
            <a:ln w="9525" cap="flat" cmpd="sng" algn="ctr">
              <a:solidFill>
                <a:srgbClr val="D9D9D9">
                  <a:lumMod val="15000"/>
                  <a:lumOff val="85000"/>
                </a:srgb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6407304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8977682747561"/>
          <c:y val="0.185325602140946"/>
          <c:w val="0.387144193505279"/>
          <c:h val="0.64607493309545"/>
        </c:manualLayout>
      </c:layout>
      <c:pieChart>
        <c:varyColors val="1"/>
        <c:ser>
          <c:idx val="0"/>
          <c:order val="0"/>
          <c:spPr>
            <a:ln w="19050">
              <a:solidFill>
                <a:srgbClr val="FFFFFF"/>
              </a:solidFill>
            </a:ln>
            <a:effectLst>
              <a:outerShdw blurRad="63500" sx="102000" sy="102000" algn="ctr" rotWithShape="0">
                <a:srgbClr val="384C7C">
                  <a:alpha val="18000"/>
                </a:srgbClr>
              </a:outerShdw>
            </a:effectLst>
          </c:spPr>
          <c:explosion val="0"/>
          <c:dPt>
            <c:idx val="0"/>
            <c:bubble3D val="0"/>
            <c:spPr>
              <a:solidFill>
                <a:srgbClr val="04CD9E"/>
              </a:solidFill>
              <a:ln w="19050">
                <a:solidFill>
                  <a:srgbClr val="FFFFFF"/>
                </a:solidFill>
                <a:miter lim="800000"/>
              </a:ln>
              <a:effectLst>
                <a:outerShdw blurRad="63500" sx="102000" sy="102000" algn="ctr" rotWithShape="0">
                  <a:srgbClr val="384C7C">
                    <a:alpha val="18000"/>
                  </a:srgbClr>
                </a:outerShdw>
              </a:effectLst>
            </c:spPr>
          </c:dPt>
          <c:dPt>
            <c:idx val="1"/>
            <c:bubble3D val="0"/>
            <c:spPr>
              <a:solidFill>
                <a:srgbClr val="80E214"/>
              </a:solidFill>
              <a:ln w="22225">
                <a:solidFill>
                  <a:srgbClr val="FFFFFF"/>
                </a:solidFill>
              </a:ln>
              <a:effectLst>
                <a:outerShdw blurRad="63500" sx="102000" sy="102000" algn="ctr" rotWithShape="0">
                  <a:srgbClr val="384C7C">
                    <a:alpha val="18000"/>
                  </a:srgbClr>
                </a:outerShdw>
              </a:effectLst>
            </c:spPr>
          </c:dPt>
          <c:dPt>
            <c:idx val="2"/>
            <c:bubble3D val="0"/>
            <c:spPr>
              <a:solidFill>
                <a:srgbClr val="119FBE"/>
              </a:solidFill>
              <a:ln w="19050">
                <a:solidFill>
                  <a:srgbClr val="FFFFFF"/>
                </a:solidFill>
              </a:ln>
              <a:effectLst>
                <a:outerShdw blurRad="63500" sx="102000" sy="102000" algn="ctr" rotWithShape="0">
                  <a:srgbClr val="384C7C">
                    <a:alpha val="18000"/>
                  </a:srgbClr>
                </a:outerShdw>
              </a:effectLst>
            </c:spPr>
          </c:dPt>
          <c:dPt>
            <c:idx val="3"/>
            <c:bubble3D val="0"/>
            <c:spPr>
              <a:solidFill>
                <a:srgbClr val="EBC279"/>
              </a:solidFill>
              <a:ln w="19050">
                <a:solidFill>
                  <a:srgbClr val="FFFFFF"/>
                </a:solidFill>
              </a:ln>
              <a:effectLst>
                <a:outerShdw blurRad="63500" sx="102000" sy="102000" algn="ctr" rotWithShape="0">
                  <a:srgbClr val="384C7C">
                    <a:alpha val="18000"/>
                  </a:srgbClr>
                </a:outerShdw>
              </a:effectLst>
            </c:spPr>
          </c:dPt>
          <c:dPt>
            <c:idx val="4"/>
            <c:bubble3D val="0"/>
            <c:spPr>
              <a:solidFill>
                <a:srgbClr val="4BACC6"/>
              </a:solidFill>
              <a:ln w="19050">
                <a:solidFill>
                  <a:srgbClr val="FFFFFF"/>
                </a:solidFill>
              </a:ln>
              <a:effectLst>
                <a:outerShdw blurRad="63500" sx="102000" sy="102000" algn="ctr" rotWithShape="0">
                  <a:srgbClr val="384C7C">
                    <a:alpha val="18000"/>
                  </a:srgbClr>
                </a:outerShdw>
              </a:effectLst>
            </c:spPr>
          </c:dPt>
          <c:dPt>
            <c:idx val="5"/>
            <c:bubble3D val="0"/>
            <c:spPr>
              <a:solidFill>
                <a:srgbClr val="F79646"/>
              </a:solidFill>
              <a:ln w="19050">
                <a:solidFill>
                  <a:srgbClr val="FFFFFF"/>
                </a:solidFill>
              </a:ln>
              <a:effectLst>
                <a:outerShdw blurRad="63500" sx="102000" sy="102000" algn="ctr" rotWithShape="0">
                  <a:srgbClr val="384C7C">
                    <a:alpha val="18000"/>
                  </a:srgbClr>
                </a:outerShdw>
              </a:effectLst>
            </c:spPr>
          </c:dPt>
          <c:dLbls>
            <c:numFmt formatCode="General" sourceLinked="1"/>
            <c:spPr>
              <a:noFill/>
              <a:ln>
                <a:noFill/>
              </a:ln>
              <a:effectLst/>
            </c:spPr>
            <c:txPr>
              <a:bodyPr rot="0" spcFirstLastPara="0" vertOverflow="ellipsis" vert="horz" wrap="square" lIns="38100" tIns="19050" rIns="38100" bIns="19050" anchor="ctr" anchorCtr="1" forceAA="0">
                <a:spAutoFit/>
              </a:bodyPr>
              <a:lstStyle/>
              <a:p>
                <a:pPr>
                  <a:defRPr lang="zh-CN" sz="900" b="0" i="0" u="none" strike="noStrike" kern="1200" baseline="0">
                    <a:solidFill>
                      <a:srgbClr val="FFFFFF"/>
                    </a:solidFill>
                    <a:latin typeface="微软雅黑" panose="020B0503020204020204" pitchFamily="34" charset="-122"/>
                    <a:ea typeface="微软雅黑" panose="020B0503020204020204" pitchFamily="34" charset="-122"/>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[工作簿2]Sheet1!$A$2:$A$7</c:f>
              <c:strCache>
                <c:ptCount val="6"/>
                <c:pt idx="0">
                  <c:v>升学</c:v>
                </c:pt>
                <c:pt idx="1">
                  <c:v>待就业</c:v>
                </c:pt>
                <c:pt idx="2">
                  <c:v>其他录用形式就业</c:v>
                </c:pt>
                <c:pt idx="3">
                  <c:v>签就业协议形式就业</c:v>
                </c:pt>
                <c:pt idx="4">
                  <c:v>签劳动协议形式就业</c:v>
                </c:pt>
                <c:pt idx="5">
                  <c:v>应征义务兵</c:v>
                </c:pt>
              </c:strCache>
            </c:strRef>
          </c:cat>
          <c:val>
            <c:numRef>
              <c:f>[工作簿2]Sheet1!$B$2:$B$7</c:f>
              <c:numCache>
                <c:formatCode>0.00%</c:formatCode>
                <c:ptCount val="6"/>
                <c:pt idx="0">
                  <c:v>0.0785</c:v>
                </c:pt>
                <c:pt idx="1">
                  <c:v>0.2503</c:v>
                </c:pt>
                <c:pt idx="2" c:formatCode="0%">
                  <c:v>0.33</c:v>
                </c:pt>
                <c:pt idx="3">
                  <c:v>0.2839</c:v>
                </c:pt>
                <c:pt idx="4">
                  <c:v>0.056</c:v>
                </c:pt>
                <c:pt idx="5">
                  <c:v>0.0013</c:v>
                </c:pt>
              </c:numCache>
            </c:numRef>
          </c:val>
        </c:ser>
        <c:dLbls>
          <c:showLegendKey val="0"/>
          <c:showVal val="1"/>
          <c:showCatName val="0"/>
          <c:showSerName val="0"/>
          <c:showPercent val="0"/>
          <c:showBubbleSize val="0"/>
          <c:showLeaderLines val="1"/>
        </c:dLbls>
        <c:firstSliceAng val="8"/>
      </c:pieChart>
      <c:spPr>
        <a:noFill/>
        <a:ln>
          <a:noFill/>
        </a:ln>
        <a:effectLst/>
      </c:spPr>
    </c:plotArea>
    <c:legend>
      <c:legendPos val="b"/>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pitchFamily="34" charset="-122"/>
              <a:ea typeface="微软雅黑" panose="020B0503020204020204" pitchFamily="34" charset="-122"/>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37235432453619"/>
          <c:y val="0.18412348401323"/>
          <c:w val="0.934021426704991"/>
          <c:h val="0.709239250275634"/>
        </c:manualLayout>
      </c:layout>
      <c:lineChart>
        <c:grouping val="stacked"/>
        <c:varyColors val="0"/>
        <c:ser>
          <c:idx val="0"/>
          <c:order val="0"/>
          <c:tx>
            <c:strRef>
              <c:f>[工作簿2]Sheet1!$B$1</c:f>
              <c:strCache>
                <c:ptCount val="1"/>
                <c:pt idx="0">
                  <c:v>百分比/%</c:v>
                </c:pt>
              </c:strCache>
            </c:strRef>
          </c:tx>
          <c:spPr>
            <a:ln w="28575" cap="rnd">
              <a:solidFill>
                <a:srgbClr val="4F81B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[工作簿2]Sheet1!$A$2:$A$11</c:f>
              <c:strCache>
                <c:ptCount val="10"/>
                <c:pt idx="0">
                  <c:v>护理学</c:v>
                </c:pt>
                <c:pt idx="1">
                  <c:v>康复治疗学</c:v>
                </c:pt>
                <c:pt idx="2">
                  <c:v>生物工程</c:v>
                </c:pt>
                <c:pt idx="3">
                  <c:v>药物制剂</c:v>
                </c:pt>
                <c:pt idx="4">
                  <c:v>药学</c:v>
                </c:pt>
                <c:pt idx="5">
                  <c:v>针灸推拿学</c:v>
                </c:pt>
                <c:pt idx="6">
                  <c:v>制药工程</c:v>
                </c:pt>
                <c:pt idx="7">
                  <c:v>中西医临床医学</c:v>
                </c:pt>
                <c:pt idx="8">
                  <c:v>中药学</c:v>
                </c:pt>
                <c:pt idx="9">
                  <c:v>中医学</c:v>
                </c:pt>
              </c:strCache>
            </c:strRef>
          </c:cat>
          <c:val>
            <c:numRef>
              <c:f>[工作簿2]Sheet1!$B$2:$B$11</c:f>
              <c:numCache>
                <c:formatCode>0.00%</c:formatCode>
                <c:ptCount val="10"/>
                <c:pt idx="0">
                  <c:v>0.127</c:v>
                </c:pt>
                <c:pt idx="1">
                  <c:v>0.0317</c:v>
                </c:pt>
                <c:pt idx="2">
                  <c:v>0.0159</c:v>
                </c:pt>
                <c:pt idx="3">
                  <c:v>0.0159</c:v>
                </c:pt>
                <c:pt idx="4">
                  <c:v>0.0793</c:v>
                </c:pt>
                <c:pt idx="5">
                  <c:v>0.127</c:v>
                </c:pt>
                <c:pt idx="6">
                  <c:v>0.0159</c:v>
                </c:pt>
                <c:pt idx="7">
                  <c:v>0.254</c:v>
                </c:pt>
                <c:pt idx="8">
                  <c:v>0.0952</c:v>
                </c:pt>
                <c:pt idx="9">
                  <c:v>0.2381</c:v>
                </c:pt>
              </c:numCache>
            </c:numRef>
          </c:val>
          <c:smooth val="0"/>
        </c:ser>
        <c:ser>
          <c:idx val="1"/>
          <c:order val="1"/>
          <c:tx>
            <c:strRef>
              <c:f>[工作簿2]Sheet1!$C$1</c:f>
              <c:strCache>
                <c:ptCount val="1"/>
                <c:pt idx="0">
                  <c:v>人数/人</c:v>
                </c:pt>
              </c:strCache>
            </c:strRef>
          </c:tx>
          <c:spPr>
            <a:ln w="28575" cap="rnd">
              <a:solidFill>
                <a:srgbClr val="C0504D"/>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[工作簿2]Sheet1!$A$2:$A$11</c:f>
              <c:strCache>
                <c:ptCount val="10"/>
                <c:pt idx="0">
                  <c:v>护理学</c:v>
                </c:pt>
                <c:pt idx="1">
                  <c:v>康复治疗学</c:v>
                </c:pt>
                <c:pt idx="2">
                  <c:v>生物工程</c:v>
                </c:pt>
                <c:pt idx="3">
                  <c:v>药物制剂</c:v>
                </c:pt>
                <c:pt idx="4">
                  <c:v>药学</c:v>
                </c:pt>
                <c:pt idx="5">
                  <c:v>针灸推拿学</c:v>
                </c:pt>
                <c:pt idx="6">
                  <c:v>制药工程</c:v>
                </c:pt>
                <c:pt idx="7">
                  <c:v>中西医临床医学</c:v>
                </c:pt>
                <c:pt idx="8">
                  <c:v>中药学</c:v>
                </c:pt>
                <c:pt idx="9">
                  <c:v>中医学</c:v>
                </c:pt>
              </c:strCache>
            </c:strRef>
          </c:cat>
          <c:val>
            <c:numRef>
              <c:f>[工作簿2]Sheet1!$C$2:$C$11</c:f>
              <c:numCache>
                <c:formatCode>General</c:formatCode>
                <c:ptCount val="10"/>
                <c:pt idx="0">
                  <c:v>8</c:v>
                </c:pt>
                <c:pt idx="1">
                  <c:v>2</c:v>
                </c:pt>
                <c:pt idx="2">
                  <c:v>1</c:v>
                </c:pt>
                <c:pt idx="3">
                  <c:v>1</c:v>
                </c:pt>
                <c:pt idx="4">
                  <c:v>5</c:v>
                </c:pt>
                <c:pt idx="5">
                  <c:v>8</c:v>
                </c:pt>
                <c:pt idx="6">
                  <c:v>1</c:v>
                </c:pt>
                <c:pt idx="7">
                  <c:v>16</c:v>
                </c:pt>
                <c:pt idx="8">
                  <c:v>6</c:v>
                </c:pt>
                <c:pt idx="9">
                  <c:v>15</c:v>
                </c:pt>
              </c:numCache>
            </c:numRef>
          </c:val>
          <c:smooth val="0"/>
        </c:ser>
        <c:dLbls>
          <c:showLegendKey val="0"/>
          <c:showVal val="1"/>
          <c:showCatName val="0"/>
          <c:showSerName val="0"/>
          <c:showPercent val="0"/>
          <c:showBubbleSize val="0"/>
        </c:dLbls>
        <c:dropLines>
          <c:spPr>
            <a:ln w="25400" cap="flat" cmpd="sng" algn="ctr">
              <a:gradFill>
                <a:gsLst>
                  <a:gs pos="0">
                    <a:srgbClr val="FFFFFF">
                      <a:alpha val="0"/>
                    </a:srgbClr>
                  </a:gs>
                  <a:gs pos="74000">
                    <a:srgbClr val="FFFFFF"/>
                  </a:gs>
                </a:gsLst>
                <a:lin ang="16200000" scaled="1"/>
                <a:tileRect/>
              </a:gradFill>
              <a:miter lim="800000"/>
            </a:ln>
            <a:effectLst/>
          </c:spPr>
        </c:dropLines>
        <c:upDownBars>
          <c:gapWidth val="150"/>
          <c:upBars>
            <c:spPr>
              <a:solidFill>
                <a:srgbClr val="FFFFFF"/>
              </a:solidFill>
              <a:ln w="9525">
                <a:solidFill>
                  <a:srgbClr val="D9D9D9">
                    <a:lumMod val="15000"/>
                    <a:lumOff val="85000"/>
                  </a:srgbClr>
                </a:solidFill>
              </a:ln>
              <a:effectLst/>
            </c:spPr>
          </c:upBars>
          <c:downBars>
            <c:spPr>
              <a:solidFill>
                <a:srgbClr val="595959">
                  <a:lumMod val="65000"/>
                  <a:lumOff val="35000"/>
                </a:srgbClr>
              </a:solidFill>
              <a:ln w="9525">
                <a:solidFill>
                  <a:srgbClr val="595959">
                    <a:lumMod val="65000"/>
                    <a:lumOff val="35000"/>
                  </a:srgbClr>
                </a:solidFill>
              </a:ln>
              <a:effectLst/>
            </c:spPr>
          </c:downBars>
        </c:upDownBars>
        <c:marker val="0"/>
        <c:smooth val="0"/>
        <c:axId val="22445963"/>
        <c:axId val="89200574"/>
      </c:lineChart>
      <c:catAx>
        <c:axId val="22445963"/>
        <c:scaling>
          <c:orientation val="minMax"/>
        </c:scaling>
        <c:delete val="0"/>
        <c:axPos val="b"/>
        <c:numFmt formatCode="General" sourceLinked="0"/>
        <c:majorTickMark val="out"/>
        <c:minorTickMark val="none"/>
        <c:tickLblPos val="nextTo"/>
        <c:spPr>
          <a:noFill/>
          <a:ln w="9525" cap="flat" cmpd="sng" algn="ctr">
            <a:noFill/>
            <a:round/>
          </a:ln>
          <a:effectLst/>
        </c:spPr>
        <c:txPr>
          <a:bodyPr rot="-60000000" spcFirstLastPara="0" vertOverflow="ellipsis" vert="horz" wrap="square" anchor="ctr" anchorCtr="1" forceAA="0"/>
          <a:lstStyle/>
          <a:p>
            <a:pPr>
              <a:defRPr lang="zh-CN" sz="800" b="0" i="0" u="none" strike="noStrike" kern="1200" baseline="0">
                <a:solidFill>
                  <a:srgbClr val="FFFFFF"/>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89200574"/>
        <c:crosses val="autoZero"/>
        <c:auto val="1"/>
        <c:lblAlgn val="ctr"/>
        <c:lblOffset val="100"/>
        <c:noMultiLvlLbl val="0"/>
      </c:catAx>
      <c:valAx>
        <c:axId val="89200574"/>
        <c:scaling>
          <c:orientation val="minMax"/>
        </c:scaling>
        <c:delete val="0"/>
        <c:axPos val="l"/>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2445963"/>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noFill/>
        <a:ln>
          <a:noFill/>
        </a:ln>
        <a:effectLst/>
      </c:spPr>
    </c:plotArea>
    <c:plotVisOnly val="1"/>
    <c:dispBlanksAs val="zero"/>
    <c:showDLblsOverMax val="0"/>
  </c:chart>
  <c:spPr>
    <a:solidFill>
      <a:srgbClr val="3494BA"/>
    </a:solidFill>
    <a:ln w="9525" cap="flat" cmpd="sng" algn="ctr">
      <a:solidFill>
        <a:srgbClr val="D9D9D9">
          <a:lumMod val="85000"/>
        </a:srgb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6008285447"/>
          <c:y val="0.175178412132025"/>
          <c:w val="0.84262996124549"/>
          <c:h val="0.609924174843889"/>
        </c:manualLayout>
      </c:layout>
      <c:barChart>
        <c:barDir val="col"/>
        <c:grouping val="clustered"/>
        <c:varyColors val="0"/>
        <c:ser>
          <c:idx val="0"/>
          <c:order val="0"/>
          <c:tx>
            <c:strRef>
              <c:f>[工作簿2]Sheet1!$A$2</c:f>
              <c:strCache>
                <c:ptCount val="1"/>
                <c:pt idx="0">
                  <c:v>男</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[工作簿2]Sheet1!$B$1:$D$1</c:f>
              <c:strCache>
                <c:ptCount val="3"/>
                <c:pt idx="0">
                  <c:v>单位就业</c:v>
                </c:pt>
                <c:pt idx="1">
                  <c:v>待就业</c:v>
                </c:pt>
                <c:pt idx="2">
                  <c:v>升学</c:v>
                </c:pt>
              </c:strCache>
            </c:strRef>
          </c:cat>
          <c:val>
            <c:numRef>
              <c:f>[工作簿2]Sheet1!$B$2:$D$2</c:f>
              <c:numCache>
                <c:formatCode>0.00%</c:formatCode>
                <c:ptCount val="3"/>
                <c:pt idx="0">
                  <c:v>0.7611</c:v>
                </c:pt>
                <c:pt idx="1">
                  <c:v>0.2955</c:v>
                </c:pt>
                <c:pt idx="2">
                  <c:v>0.0688</c:v>
                </c:pt>
              </c:numCache>
            </c:numRef>
          </c:val>
        </c:ser>
        <c:ser>
          <c:idx val="1"/>
          <c:order val="1"/>
          <c:tx>
            <c:strRef>
              <c:f>[工作簿2]Sheet1!$A$3</c:f>
              <c:strCache>
                <c:ptCount val="1"/>
                <c:pt idx="0">
                  <c:v>女</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[工作簿2]Sheet1!$B$1:$D$1</c:f>
              <c:strCache>
                <c:ptCount val="3"/>
                <c:pt idx="0">
                  <c:v>单位就业</c:v>
                </c:pt>
                <c:pt idx="1">
                  <c:v>待就业</c:v>
                </c:pt>
                <c:pt idx="2">
                  <c:v>升学</c:v>
                </c:pt>
              </c:strCache>
            </c:strRef>
          </c:cat>
          <c:val>
            <c:numRef>
              <c:f>[工作簿2]Sheet1!$B$3:$D$3</c:f>
              <c:numCache>
                <c:formatCode>0.00%</c:formatCode>
                <c:ptCount val="3"/>
                <c:pt idx="0">
                  <c:v>0.7446</c:v>
                </c:pt>
                <c:pt idx="1">
                  <c:v>0.2824</c:v>
                </c:pt>
                <c:pt idx="2">
                  <c:v>0.0827</c:v>
                </c:pt>
              </c:numCache>
            </c:numRef>
          </c:val>
        </c:ser>
        <c:dLbls>
          <c:showLegendKey val="0"/>
          <c:showVal val="1"/>
          <c:showCatName val="0"/>
          <c:showSerName val="0"/>
          <c:showPercent val="0"/>
          <c:showBubbleSize val="0"/>
        </c:dLbls>
        <c:gapWidth val="219"/>
        <c:overlap val="-27"/>
        <c:axId val="845721794"/>
        <c:axId val="387622800"/>
      </c:barChart>
      <c:catAx>
        <c:axId val="845721794"/>
        <c:scaling>
          <c:orientation val="minMax"/>
        </c:scaling>
        <c:delete val="0"/>
        <c:axPos val="b"/>
        <c:numFmt formatCode="General" sourceLinked="0"/>
        <c:majorTickMark val="out"/>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387622800"/>
        <c:crosses val="autoZero"/>
        <c:auto val="1"/>
        <c:lblAlgn val="ctr"/>
        <c:lblOffset val="100"/>
        <c:noMultiLvlLbl val="0"/>
      </c:catAx>
      <c:valAx>
        <c:axId val="387622800"/>
        <c:scaling>
          <c:orientation val="minMax"/>
        </c:scaling>
        <c:delete val="0"/>
        <c:axPos val="l"/>
        <c:numFmt formatCode="0.00%" sourceLinked="1"/>
        <c:majorTickMark val="out"/>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crossAx val="845721794"/>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dTable>
      <c:spPr>
        <a:noFill/>
        <a:ln>
          <a:noFill/>
        </a:ln>
        <a:effectLst/>
      </c:spPr>
    </c:plotArea>
    <c:legend>
      <c:legendPos val="r"/>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595959">
                  <a:lumMod val="65000"/>
                  <a:lumOff val="35000"/>
                </a:srgbClr>
              </a:solidFill>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a:outerShdw blurRad="63500" dist="37357" dir="2700000" sx="0" sy="0" rotWithShape="0">
        <a:scrgbClr r="0" g="0" b="0"/>
      </a:outerShdw>
    </a:effectLst>
  </c:spPr>
  <c:txPr>
    <a:bodyPr/>
    <a:lstStyle/>
    <a:p>
      <a:pPr>
        <a:defRPr lang="zh-CN">
          <a:latin typeface="微软雅黑" panose="020B0503020204020204" pitchFamily="34" charset="-122"/>
          <a:ea typeface="微软雅黑" panose="020B0503020204020204" pitchFamily="34" charset="-122"/>
          <a:cs typeface="微软雅黑" panose="020B0503020204020204" pitchFamily="34" charset="-122"/>
          <a:sym typeface="微软雅黑" panose="020B0503020204020204" pitchFamily="34" charset="-122"/>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6008285447"/>
          <c:y val="0.175178412132025"/>
          <c:w val="0.84262996124549"/>
          <c:h val="0.609924174843889"/>
        </c:manualLayout>
      </c:layout>
      <c:barChart>
        <c:barDir val="col"/>
        <c:grouping val="clustered"/>
        <c:varyColors val="0"/>
        <c:ser>
          <c:idx val="0"/>
          <c:order val="0"/>
          <c:tx>
            <c:strRef>
              <c:f>[工作簿2]Sheet1!$A$2</c:f>
              <c:strCache>
                <c:ptCount val="1"/>
                <c:pt idx="0">
                  <c:v>湖南生源</c:v>
                </c:pt>
              </c:strCache>
            </c:strRef>
          </c:tx>
          <c:spPr>
            <a:gradFill rotWithShape="1">
              <a:gsLst>
                <a:gs pos="0">
                  <a:srgbClr val="DDACAB">
                    <a:lumMod val="110000"/>
                    <a:satMod val="105000"/>
                    <a:tint val="67000"/>
                  </a:srgbClr>
                </a:gs>
                <a:gs pos="50000">
                  <a:srgbClr val="D79E9D">
                    <a:lumMod val="105000"/>
                    <a:satMod val="103000"/>
                    <a:tint val="73000"/>
                  </a:srgbClr>
                </a:gs>
                <a:gs pos="100000">
                  <a:srgbClr val="D48C8B">
                    <a:lumMod val="105000"/>
                    <a:satMod val="109000"/>
                    <a:tint val="81000"/>
                  </a:srgbClr>
                </a:gs>
              </a:gsLst>
              <a:lin ang="5400000" scaled="0"/>
            </a:gradFill>
            <a:ln w="9525" cap="flat" cmpd="sng" algn="ctr">
              <a:solidFill>
                <a:srgbClr val="BC4E4B">
                  <a:shade val="95000"/>
                </a:srgb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[工作簿2]Sheet1!$B$1:$D$1</c:f>
              <c:strCache>
                <c:ptCount val="3"/>
                <c:pt idx="0">
                  <c:v>单位就业</c:v>
                </c:pt>
                <c:pt idx="1">
                  <c:v>待就业</c:v>
                </c:pt>
                <c:pt idx="2">
                  <c:v>升学</c:v>
                </c:pt>
              </c:strCache>
            </c:strRef>
          </c:cat>
          <c:val>
            <c:numRef>
              <c:f>[工作簿2]Sheet1!$B$2:$D$2</c:f>
              <c:numCache>
                <c:formatCode>0.00%</c:formatCode>
                <c:ptCount val="3"/>
                <c:pt idx="0">
                  <c:v>0.6942</c:v>
                </c:pt>
                <c:pt idx="1">
                  <c:v>0.2567</c:v>
                </c:pt>
                <c:pt idx="2">
                  <c:v>0.0491</c:v>
                </c:pt>
              </c:numCache>
            </c:numRef>
          </c:val>
        </c:ser>
        <c:ser>
          <c:idx val="1"/>
          <c:order val="1"/>
          <c:tx>
            <c:strRef>
              <c:f>[工作簿2]Sheet1!$A$3</c:f>
              <c:strCache>
                <c:ptCount val="1"/>
                <c:pt idx="0">
                  <c:v>外地生源</c:v>
                </c:pt>
              </c:strCache>
            </c:strRef>
          </c:tx>
          <c:spPr>
            <a:gradFill rotWithShape="1">
              <a:gsLst>
                <a:gs pos="0">
                  <a:srgbClr val="BDB2CD">
                    <a:lumMod val="110000"/>
                    <a:satMod val="105000"/>
                    <a:tint val="67000"/>
                  </a:srgbClr>
                </a:gs>
                <a:gs pos="50000">
                  <a:srgbClr val="B2A5C4">
                    <a:lumMod val="105000"/>
                    <a:satMod val="103000"/>
                    <a:tint val="73000"/>
                  </a:srgbClr>
                </a:gs>
                <a:gs pos="100000">
                  <a:srgbClr val="A796BE">
                    <a:lumMod val="105000"/>
                    <a:satMod val="109000"/>
                    <a:tint val="81000"/>
                  </a:srgbClr>
                </a:gs>
              </a:gsLst>
              <a:lin ang="5400000" scaled="0"/>
            </a:gradFill>
            <a:ln w="9525" cap="flat" cmpd="sng" algn="ctr">
              <a:solidFill>
                <a:srgbClr val="7D629E">
                  <a:shade val="95000"/>
                </a:srgbClr>
              </a:solidFill>
              <a:round/>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000000"/>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rgbClr val="A6A6A6">
                          <a:lumMod val="35000"/>
                          <a:lumOff val="65000"/>
                        </a:srgbClr>
                      </a:solidFill>
                    </a:ln>
                    <a:effectLst/>
                  </c:spPr>
                </c15:leaderLines>
              </c:ext>
            </c:extLst>
          </c:dLbls>
          <c:cat>
            <c:strRef>
              <c:f>[工作簿2]Sheet1!$B$1:$D$1</c:f>
              <c:strCache>
                <c:ptCount val="3"/>
                <c:pt idx="0">
                  <c:v>单位就业</c:v>
                </c:pt>
                <c:pt idx="1">
                  <c:v>待就业</c:v>
                </c:pt>
                <c:pt idx="2">
                  <c:v>升学</c:v>
                </c:pt>
              </c:strCache>
            </c:strRef>
          </c:cat>
          <c:val>
            <c:numRef>
              <c:f>[工作簿2]Sheet1!$B$3:$D$3</c:f>
              <c:numCache>
                <c:formatCode>0.00%</c:formatCode>
                <c:ptCount val="3"/>
                <c:pt idx="0">
                  <c:v>0.4889</c:v>
                </c:pt>
                <c:pt idx="1">
                  <c:v>0.2</c:v>
                </c:pt>
                <c:pt idx="2">
                  <c:v>0.3111</c:v>
                </c:pt>
              </c:numCache>
            </c:numRef>
          </c:val>
        </c:ser>
        <c:dLbls>
          <c:showLegendKey val="0"/>
          <c:showVal val="1"/>
          <c:showCatName val="0"/>
          <c:showSerName val="0"/>
          <c:showPercent val="0"/>
          <c:showBubbleSize val="0"/>
        </c:dLbls>
        <c:gapWidth val="100"/>
        <c:overlap val="-24"/>
        <c:axId val="845721794"/>
        <c:axId val="387622800"/>
      </c:barChart>
      <c:catAx>
        <c:axId val="845721794"/>
        <c:scaling>
          <c:orientation val="minMax"/>
        </c:scaling>
        <c:delete val="0"/>
        <c:axPos val="b"/>
        <c:numFmt formatCode="General" sourceLinked="0"/>
        <c:majorTickMark val="out"/>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crossAx val="387622800"/>
        <c:crosses val="autoZero"/>
        <c:auto val="1"/>
        <c:lblAlgn val="ctr"/>
        <c:lblOffset val="100"/>
        <c:noMultiLvlLbl val="0"/>
      </c:catAx>
      <c:valAx>
        <c:axId val="387622800"/>
        <c:scaling>
          <c:orientation val="minMax"/>
        </c:scaling>
        <c:delete val="0"/>
        <c:axPos val="l"/>
        <c:majorGridlines>
          <c:spPr>
            <a:ln w="9525" cap="flat" cmpd="sng" algn="ctr">
              <a:solidFill>
                <a:srgbClr val="D9D9D9">
                  <a:lumMod val="15000"/>
                  <a:lumOff val="85000"/>
                </a:srgbClr>
              </a:solidFill>
              <a:round/>
            </a:ln>
            <a:effectLst/>
          </c:spPr>
        </c:majorGridlines>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crossAx val="845721794"/>
        <c:crosses val="autoZero"/>
        <c:crossBetween val="between"/>
      </c:valAx>
      <c:dTable>
        <c:showHorzBorder val="1"/>
        <c:showVertBorder val="1"/>
        <c:showOutline val="1"/>
        <c:showKeys val="1"/>
        <c:spPr>
          <a:noFill/>
          <a:ln w="9525">
            <a:solidFill>
              <a:srgbClr val="D9D9D9">
                <a:lumMod val="15000"/>
                <a:lumOff val="85000"/>
              </a:srgbClr>
            </a:solidFill>
          </a:ln>
          <a:effectLst/>
        </c:spPr>
        <c:txPr>
          <a:bodyPr rot="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dTable>
      <c:spPr>
        <a:noFill/>
        <a:ln>
          <a:noFill/>
        </a:ln>
        <a:effectLst/>
      </c:spPr>
    </c:plotArea>
    <c:legend>
      <c:legendPos val="t"/>
      <c:legendEntry>
        <c:idx val="0"/>
        <c:txPr>
          <a:bodyPr rot="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legendEntry>
      <c:legendEntry>
        <c:idx val="1"/>
        <c:txPr>
          <a:bodyPr rot="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0" i="0" u="none" strike="noStrike" kern="1200" baseline="0">
              <a:solidFill>
                <a:srgbClr val="000000"/>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solidFill>
            <a:srgbClr val="000000"/>
          </a:solidFill>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602735467827"/>
          <c:y val="0.252116402116402"/>
          <c:w val="0.781069319241529"/>
          <c:h val="0.577619047619048"/>
        </c:manualLayout>
      </c:layout>
      <c:barChart>
        <c:barDir val="col"/>
        <c:grouping val="clustered"/>
        <c:varyColors val="0"/>
        <c:ser>
          <c:idx val="0"/>
          <c:order val="0"/>
          <c:tx>
            <c:strRef>
              <c:f>[工作簿2]Sheet1!$A$2</c:f>
              <c:strCache>
                <c:ptCount val="1"/>
                <c:pt idx="0">
                  <c:v>少数名族</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[工作簿2]Sheet1!$B$1:$D$1</c:f>
              <c:strCache>
                <c:ptCount val="3"/>
                <c:pt idx="0">
                  <c:v>单位就业</c:v>
                </c:pt>
                <c:pt idx="1">
                  <c:v>待就业</c:v>
                </c:pt>
                <c:pt idx="2">
                  <c:v>升学</c:v>
                </c:pt>
              </c:strCache>
            </c:strRef>
          </c:cat>
          <c:val>
            <c:numRef>
              <c:f>[工作簿2]Sheet1!$B$2:$D$2</c:f>
              <c:numCache>
                <c:formatCode>0.00%</c:formatCode>
                <c:ptCount val="3"/>
                <c:pt idx="0">
                  <c:v>0.5857</c:v>
                </c:pt>
                <c:pt idx="1">
                  <c:v>0.3571</c:v>
                </c:pt>
                <c:pt idx="2">
                  <c:v>0.0571</c:v>
                </c:pt>
              </c:numCache>
            </c:numRef>
          </c:val>
        </c:ser>
        <c:ser>
          <c:idx val="1"/>
          <c:order val="1"/>
          <c:tx>
            <c:strRef>
              <c:f>[工作簿2]Sheet1!$A$3</c:f>
              <c:strCache>
                <c:ptCount val="1"/>
                <c:pt idx="0">
                  <c:v>全体学生</c:v>
                </c:pt>
              </c:strCache>
            </c:strRef>
          </c:tx>
          <c:spPr>
            <a:solidFill>
              <a:srgbClr val="8064A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[工作簿2]Sheet1!$B$1:$D$1</c:f>
              <c:strCache>
                <c:ptCount val="3"/>
                <c:pt idx="0">
                  <c:v>单位就业</c:v>
                </c:pt>
                <c:pt idx="1">
                  <c:v>待就业</c:v>
                </c:pt>
                <c:pt idx="2">
                  <c:v>升学</c:v>
                </c:pt>
              </c:strCache>
            </c:strRef>
          </c:cat>
          <c:val>
            <c:numRef>
              <c:f>[工作簿2]Sheet1!$B$3:$D$3</c:f>
              <c:numCache>
                <c:formatCode>0.00%</c:formatCode>
                <c:ptCount val="3"/>
                <c:pt idx="0">
                  <c:v>0.6712</c:v>
                </c:pt>
                <c:pt idx="1">
                  <c:v>0.2503</c:v>
                </c:pt>
                <c:pt idx="2">
                  <c:v>0.0785</c:v>
                </c:pt>
              </c:numCache>
            </c:numRef>
          </c:val>
        </c:ser>
        <c:dLbls>
          <c:showLegendKey val="0"/>
          <c:showVal val="1"/>
          <c:showCatName val="0"/>
          <c:showSerName val="0"/>
          <c:showPercent val="0"/>
          <c:showBubbleSize val="0"/>
        </c:dLbls>
        <c:gapWidth val="439"/>
        <c:overlap val="-20"/>
        <c:axId val="175549262"/>
        <c:axId val="384626415"/>
      </c:barChart>
      <c:catAx>
        <c:axId val="175549262"/>
        <c:scaling>
          <c:orientation val="minMax"/>
        </c:scaling>
        <c:delete val="0"/>
        <c:axPos val="b"/>
        <c:majorGridlines>
          <c:spPr>
            <a:ln w="9525" cap="flat" cmpd="sng" algn="ctr">
              <a:solidFill>
                <a:srgbClr val="D9D9D9">
                  <a:lumMod val="85000"/>
                </a:srgbClr>
              </a:solidFill>
              <a:round/>
            </a:ln>
            <a:effectLst/>
          </c:spPr>
        </c:majorGridlines>
        <c:numFmt formatCode="General" sourceLinked="0"/>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crossAx val="384626415"/>
        <c:crosses val="autoZero"/>
        <c:auto val="1"/>
        <c:lblAlgn val="ctr"/>
        <c:lblOffset val="100"/>
        <c:noMultiLvlLbl val="0"/>
      </c:catAx>
      <c:valAx>
        <c:axId val="384626415"/>
        <c:scaling>
          <c:orientation val="minMax"/>
        </c:scaling>
        <c:delete val="0"/>
        <c:axPos val="l"/>
        <c:majorGridlines>
          <c:spPr>
            <a:ln w="0" cap="flat" cmpd="sng" algn="ctr">
              <a:solidFill>
                <a:srgbClr val="D9D9D9">
                  <a:lumMod val="85000"/>
                </a:srgb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forceAA="0"/>
          <a:lstStyle/>
          <a:p>
            <a:pPr>
              <a:defRPr lang="zh-CN" sz="900" b="0" i="0" u="none" strike="noStrike" kern="1200" baseline="0">
                <a:solidFill>
                  <a:srgbClr val="595959">
                    <a:lumMod val="65000"/>
                    <a:lumOff val="35000"/>
                  </a:srgbClr>
                </a:solidFill>
                <a:latin typeface="+mn-lt"/>
                <a:ea typeface="+mn-ea"/>
                <a:cs typeface="+mn-cs"/>
              </a:defRPr>
            </a:pPr>
          </a:p>
        </c:txPr>
        <c:crossAx val="175549262"/>
        <c:crosses val="autoZero"/>
        <c:crossBetween val="between"/>
      </c:valAx>
      <c:dTable>
        <c:showHorzBorder val="1"/>
        <c:showVertBorder val="1"/>
        <c:showOutline val="1"/>
        <c:showKeys val="1"/>
        <c:spPr>
          <a:noFill/>
          <a:ln w="9525" cap="flat" cmpd="sng" algn="ctr">
            <a:solidFill>
              <a:srgbClr val="D9D9D9">
                <a:lumMod val="15000"/>
                <a:lumOff val="85000"/>
              </a:srgbClr>
            </a:solidFill>
            <a:round/>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dTable>
      <c:spPr>
        <a:solidFill>
          <a:srgbClr val="FFFFFF"/>
        </a:solid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7F7EF"/>
    </a:solidFill>
    <a:ln w="9525" cap="flat" cmpd="sng" algn="ctr">
      <a:no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rgbClr val="595959">
                    <a:lumMod val="65000"/>
                    <a:lumOff val="35000"/>
                  </a:srgbClr>
                </a:solidFill>
                <a:latin typeface="+mn-lt"/>
                <a:ea typeface="+mn-ea"/>
                <a:cs typeface="+mn-cs"/>
              </a:defRPr>
            </a:pPr>
            <a:r>
              <a:rPr altLang="en-US">
                <a:solidFill>
                  <a:srgbClr val="FF0000"/>
                </a:solidFill>
              </a:rPr>
              <a:t>图</a:t>
            </a:r>
            <a:r>
              <a:rPr lang="en-US" altLang="zh-CN">
                <a:solidFill>
                  <a:srgbClr val="FF0000"/>
                </a:solidFill>
              </a:rPr>
              <a:t>1—1  2014</a:t>
            </a:r>
            <a:r>
              <a:rPr altLang="en-US">
                <a:solidFill>
                  <a:srgbClr val="FF0000"/>
                </a:solidFill>
              </a:rPr>
              <a:t>届</a:t>
            </a:r>
            <a:r>
              <a:rPr lang="en-US" altLang="zh-CN">
                <a:solidFill>
                  <a:srgbClr val="FF0000"/>
                </a:solidFill>
              </a:rPr>
              <a:t>—2020</a:t>
            </a:r>
            <a:r>
              <a:rPr altLang="en-US">
                <a:solidFill>
                  <a:srgbClr val="FF0000"/>
                </a:solidFill>
              </a:rPr>
              <a:t>届毕业生人数以及总体趋势</a:t>
            </a:r>
            <a:endParaRPr altLang="en-US">
              <a:solidFill>
                <a:srgbClr val="FF0000"/>
              </a:solidFill>
            </a:endParaRPr>
          </a:p>
        </c:rich>
      </c:tx>
      <c:layout>
        <c:manualLayout>
          <c:xMode val="edge"/>
          <c:yMode val="edge"/>
          <c:x val="0.156319444444444"/>
          <c:y val="0.0277777777777778"/>
        </c:manualLayout>
      </c:layout>
      <c:overlay val="0"/>
      <c:spPr>
        <a:noFill/>
        <a:ln>
          <a:noFill/>
        </a:ln>
        <a:effectLst/>
      </c:spPr>
    </c:title>
    <c:autoTitleDeleted val="0"/>
    <c:plotArea>
      <c:layout/>
      <c:barChart>
        <c:barDir val="col"/>
        <c:grouping val="clustered"/>
        <c:varyColors val="0"/>
        <c:ser>
          <c:idx val="0"/>
          <c:order val="0"/>
          <c:tx>
            <c:strRef>
              <c:f>[工作簿1]Sheet1!$A$2</c:f>
              <c:strCache>
                <c:ptCount val="1"/>
                <c:pt idx="0">
                  <c:v>毕业人数</c:v>
                </c:pt>
              </c:strCache>
            </c:strRef>
          </c:tx>
          <c:spPr>
            <a:solidFill>
              <a:srgbClr val="4F81B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[工作簿1]Sheet1!$B$2:$H$2</c:f>
              <c:numCache>
                <c:formatCode>General</c:formatCode>
                <c:ptCount val="7"/>
                <c:pt idx="0">
                  <c:v>1469</c:v>
                </c:pt>
                <c:pt idx="1">
                  <c:v>1319</c:v>
                </c:pt>
                <c:pt idx="2">
                  <c:v>1349</c:v>
                </c:pt>
                <c:pt idx="3">
                  <c:v>1328</c:v>
                </c:pt>
                <c:pt idx="4">
                  <c:v>959</c:v>
                </c:pt>
                <c:pt idx="5">
                  <c:v>796</c:v>
                </c:pt>
                <c:pt idx="6">
                  <c:v>803</c:v>
                </c:pt>
              </c:numCache>
            </c:numRef>
          </c:val>
        </c:ser>
        <c:ser>
          <c:idx val="1"/>
          <c:order val="1"/>
          <c:tx>
            <c:strRef>
              <c:f>[工作簿1]Sheet1!$A$3</c:f>
              <c:strCache>
                <c:ptCount val="1"/>
                <c:pt idx="0">
                  <c:v>就业人数</c:v>
                </c:pt>
              </c:strCache>
            </c:strRef>
          </c:tx>
          <c:spPr>
            <a:solidFill>
              <a:srgbClr val="C0504D"/>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[工作簿1]Sheet1!$B$3:$H$3</c:f>
              <c:numCache>
                <c:formatCode>General</c:formatCode>
                <c:ptCount val="7"/>
                <c:pt idx="0">
                  <c:v>1195</c:v>
                </c:pt>
                <c:pt idx="1">
                  <c:v>1075</c:v>
                </c:pt>
                <c:pt idx="2">
                  <c:v>1121</c:v>
                </c:pt>
                <c:pt idx="3">
                  <c:v>1112</c:v>
                </c:pt>
                <c:pt idx="4">
                  <c:v>676</c:v>
                </c:pt>
                <c:pt idx="5">
                  <c:v>677</c:v>
                </c:pt>
                <c:pt idx="6">
                  <c:v>602</c:v>
                </c:pt>
              </c:numCache>
            </c:numRef>
          </c:val>
        </c:ser>
        <c:dLbls>
          <c:showLegendKey val="0"/>
          <c:showVal val="1"/>
          <c:showCatName val="0"/>
          <c:showSerName val="0"/>
          <c:showPercent val="0"/>
          <c:showBubbleSize val="0"/>
        </c:dLbls>
        <c:gapWidth val="219"/>
        <c:overlap val="-27"/>
        <c:axId val="260089885"/>
        <c:axId val="895969180"/>
      </c:barChart>
      <c:lineChart>
        <c:grouping val="standard"/>
        <c:varyColors val="0"/>
        <c:ser>
          <c:idx val="2"/>
          <c:order val="2"/>
          <c:tx>
            <c:strRef>
              <c:f>[工作簿1]Sheet1!$A$4</c:f>
              <c:strCache>
                <c:ptCount val="1"/>
                <c:pt idx="0">
                  <c:v>就业率</c:v>
                </c:pt>
              </c:strCache>
            </c:strRef>
          </c:tx>
          <c:spPr>
            <a:ln w="28575" cap="rnd">
              <a:solidFill>
                <a:srgbClr val="9BBB59"/>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04040">
                        <a:lumMod val="75000"/>
                        <a:lumOff val="25000"/>
                      </a:srgb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rgbClr val="A6A6A6">
                          <a:lumMod val="35000"/>
                          <a:lumOff val="65000"/>
                        </a:srgbClr>
                      </a:solidFill>
                      <a:round/>
                    </a:ln>
                    <a:effectLst/>
                  </c:spPr>
                </c15:leaderLines>
              </c:ext>
            </c:extLst>
          </c:dLbls>
          <c:cat>
            <c:strRef>
              <c:f>[工作簿1]Sheet1!$B$1:$H$1</c:f>
              <c:strCache>
                <c:ptCount val="7"/>
                <c:pt idx="0">
                  <c:v>2014届</c:v>
                </c:pt>
                <c:pt idx="1">
                  <c:v>2015届</c:v>
                </c:pt>
                <c:pt idx="2">
                  <c:v>2016届</c:v>
                </c:pt>
                <c:pt idx="3">
                  <c:v>2017届</c:v>
                </c:pt>
                <c:pt idx="4">
                  <c:v>2018届</c:v>
                </c:pt>
                <c:pt idx="5">
                  <c:v>2019届</c:v>
                </c:pt>
                <c:pt idx="6">
                  <c:v>2020届</c:v>
                </c:pt>
              </c:strCache>
            </c:strRef>
          </c:cat>
          <c:val>
            <c:numRef>
              <c:f>[工作簿1]Sheet1!$B$4:$H$4</c:f>
              <c:numCache>
                <c:formatCode>0.00%</c:formatCode>
                <c:ptCount val="7"/>
                <c:pt idx="0">
                  <c:v>0.8135</c:v>
                </c:pt>
                <c:pt idx="1">
                  <c:v>0.815</c:v>
                </c:pt>
                <c:pt idx="2">
                  <c:v>0.831</c:v>
                </c:pt>
                <c:pt idx="3">
                  <c:v>0.84</c:v>
                </c:pt>
                <c:pt idx="4">
                  <c:v>0.705</c:v>
                </c:pt>
                <c:pt idx="5">
                  <c:v>0.8505</c:v>
                </c:pt>
                <c:pt idx="6">
                  <c:v>0.7497</c:v>
                </c:pt>
              </c:numCache>
            </c:numRef>
          </c:val>
          <c:smooth val="0"/>
        </c:ser>
        <c:dLbls>
          <c:showLegendKey val="0"/>
          <c:showVal val="1"/>
          <c:showCatName val="0"/>
          <c:showSerName val="0"/>
          <c:showPercent val="0"/>
          <c:showBubbleSize val="0"/>
        </c:dLbls>
        <c:marker val="0"/>
        <c:smooth val="0"/>
        <c:axId val="98253602"/>
        <c:axId val="478573391"/>
      </c:lineChart>
      <c:catAx>
        <c:axId val="260089885"/>
        <c:scaling>
          <c:orientation val="minMax"/>
        </c:scaling>
        <c:delete val="0"/>
        <c:axPos val="b"/>
        <c:majorTickMark val="none"/>
        <c:minorTickMark val="none"/>
        <c:tickLblPos val="nextTo"/>
        <c:spPr>
          <a:noFill/>
          <a:ln w="9525" cap="flat" cmpd="sng" algn="ctr">
            <a:solidFill>
              <a:srgbClr val="D9D9D9">
                <a:lumMod val="15000"/>
                <a:lumOff val="85000"/>
              </a:srgbClr>
            </a:solidFill>
            <a:round/>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895969180"/>
        <c:crosses val="autoZero"/>
        <c:auto val="1"/>
        <c:lblAlgn val="ctr"/>
        <c:lblOffset val="100"/>
        <c:noMultiLvlLbl val="0"/>
      </c:catAx>
      <c:valAx>
        <c:axId val="895969180"/>
        <c:scaling>
          <c:orientation val="minMax"/>
        </c:scaling>
        <c:delete val="0"/>
        <c:axPos val="l"/>
        <c:majorGridlines>
          <c:spPr>
            <a:ln w="9525" cap="flat" cmpd="sng" algn="ctr">
              <a:solidFill>
                <a:srgbClr val="D9D9D9">
                  <a:lumMod val="15000"/>
                  <a:lumOff val="85000"/>
                </a:srgb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260089885"/>
        <c:crosses val="autoZero"/>
        <c:crossBetween val="between"/>
      </c:valAx>
      <c:catAx>
        <c:axId val="98253602"/>
        <c:scaling>
          <c:orientation val="minMax"/>
        </c:scaling>
        <c:delete val="1"/>
        <c:axPos val="b"/>
        <c:majorTickMark val="out"/>
        <c:minorTickMark val="none"/>
        <c:tickLblPos val="nextTo"/>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478573391"/>
        <c:crosses val="autoZero"/>
        <c:auto val="1"/>
        <c:lblAlgn val="ctr"/>
        <c:lblOffset val="100"/>
        <c:noMultiLvlLbl val="0"/>
      </c:catAx>
      <c:valAx>
        <c:axId val="478573391"/>
        <c:scaling>
          <c:orientation val="minMax"/>
        </c:scaling>
        <c:delete val="0"/>
        <c:axPos val="r"/>
        <c:numFmt formatCode="0.00%"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crossAx val="98253602"/>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rgbClr val="595959">
                  <a:lumMod val="65000"/>
                  <a:lumOff val="35000"/>
                </a:srgbClr>
              </a:solidFill>
              <a:latin typeface="+mn-lt"/>
              <a:ea typeface="+mn-ea"/>
              <a:cs typeface="+mn-cs"/>
            </a:defRPr>
          </a:pPr>
        </a:p>
      </c:txPr>
    </c:legend>
    <c:plotVisOnly val="1"/>
    <c:dispBlanksAs val="gap"/>
    <c:showDLblsOverMax val="0"/>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rgbClr val="C0504D"/>
  <a:srgbClr val="8064A2"/>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rgbClr val="808080">
        <a:lumMod val="50000"/>
        <a:lumOff val="50000"/>
      </a:srgbClr>
    </cs:fontRef>
    <cs:defRPr sz="900" kern="1200" cap="all"/>
  </cs:axisTitle>
  <cs:category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808080">
        <a:lumMod val="50000"/>
        <a:lumOff val="50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
  <cs:dataPoint3D>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3D>
  <cs:dataPointLine>
    <cs:lnRef idx="0">
      <cs:styleClr val="auto"/>
    </cs:lnRef>
    <cs:fillRef idx="2">
      <cs:styleClr val="auto"/>
    </cs:fillRef>
    <cs:effectRef idx="1"/>
    <cs:fontRef idx="minor">
      <a:srgbClr val="000000"/>
    </cs:fontRef>
    <cs:spPr>
      <a:ln w="15875" cap="rnd">
        <a:solidFill>
          <a:srgbClr val="FFFFFF"/>
        </a:solidFill>
        <a:round/>
      </a:ln>
    </cs:spPr>
  </cs:dataPointLine>
  <cs:dataPointMarker>
    <cs:lnRef idx="0">
      <cs:styleClr val="auto"/>
    </cs:lnRef>
    <cs:fillRef idx="2">
      <cs:styleClr val="auto"/>
    </cs:fillRef>
    <cs:effectRef idx="1"/>
    <cs:fontRef idx="minor">
      <a:srgbClr val="000000"/>
    </cs:fontRef>
    <cs:spPr>
      <a:ln w="9525" cap="flat" cmpd="sng" algn="ctr">
        <a:solidFill>
          <a:srgbClr val="F9F9F9">
            <a:shade val="95000"/>
          </a:srgbClr>
        </a:solidFill>
        <a:round/>
      </a:ln>
    </cs:spPr>
  </cs:dataPointMarker>
  <cs:dataPointMarkerLayout symbol="circle" size="4"/>
  <cs:dataPointWireframe>
    <cs:lnRef idx="0">
      <cs:styleClr val="auto"/>
    </cs:lnRef>
    <cs:fillRef idx="2"/>
    <cs:effectRef idx="0"/>
    <cs:fontRef idx="minor">
      <a:srgbClr val="000000"/>
    </cs:fontRef>
    <cs:spPr>
      <a:ln w="9525" cap="rnd">
        <a:solidFill>
          <a:srgbClr val="FFFFFF"/>
        </a:solidFill>
        <a:round/>
      </a:ln>
    </cs:spPr>
  </cs:dataPointWireframe>
  <cs:dataTable>
    <cs:lnRef idx="0"/>
    <cs:fillRef idx="0"/>
    <cs:effectRef idx="0"/>
    <cs:fontRef idx="minor">
      <a:srgbClr val="808080">
        <a:lumMod val="50000"/>
        <a:lumOff val="50000"/>
      </a:srgbClr>
    </cs:fontRef>
    <cs:spPr>
      <a:ln w="9525">
        <a:solidFill>
          <a:srgbClr val="D9D9D9">
            <a:lumMod val="15000"/>
            <a:lumOff val="85000"/>
          </a:srgbClr>
        </a:solidFill>
      </a:ln>
    </cs:spPr>
    <cs:defRPr sz="900" kern="1200"/>
  </cs:dataTable>
  <cs:downBar>
    <cs:lnRef idx="0"/>
    <cs:fillRef idx="0"/>
    <cs:effectRef idx="0"/>
    <cs:fontRef idx="minor">
      <a:srgbClr val="000000"/>
    </cs:fontRef>
    <cs:spPr>
      <a:solidFill>
        <a:srgbClr val="404040">
          <a:lumMod val="75000"/>
          <a:lumOff val="25000"/>
        </a:srgbClr>
      </a:solidFill>
      <a:ln w="9525">
        <a:solidFill>
          <a:srgbClr val="808080">
            <a:lumMod val="50000"/>
            <a:lumOff val="50000"/>
          </a:srgbClr>
        </a:solidFill>
      </a:ln>
    </cs:spPr>
  </cs:downBar>
  <cs:dropLine>
    <cs:lnRef idx="0"/>
    <cs:fillRef idx="0"/>
    <cs:effectRef idx="0"/>
    <cs:fontRef idx="minor">
      <a:srgbClr val="000000"/>
    </cs:fontRef>
    <cs:spPr>
      <a:ln w="9525">
        <a:solidFill>
          <a:srgbClr val="A6A6A6">
            <a:lumMod val="35000"/>
            <a:lumOff val="65000"/>
          </a:srgbClr>
        </a:solidFill>
        <a:prstDash val="dash"/>
      </a:ln>
    </cs:spPr>
  </cs:dropLine>
  <cs:errorBar>
    <cs:lnRef idx="0"/>
    <cs:fillRef idx="0"/>
    <cs:effectRef idx="0"/>
    <cs:fontRef idx="minor">
      <a:srgbClr val="000000"/>
    </cs:fontRef>
    <cs:spPr>
      <a:ln w="9525">
        <a:solidFill>
          <a:srgbClr val="808080">
            <a:lumMod val="50000"/>
            <a:lumOff val="50000"/>
          </a:srgbClr>
        </a:solidFill>
      </a:ln>
    </cs:spPr>
  </cs:errorBar>
  <cs:floor>
    <cs:lnRef idx="0"/>
    <cs:fillRef idx="0"/>
    <cs:effectRef idx="0"/>
    <cs:fontRef idx="minor">
      <a:srgbClr val="000000"/>
    </cs:fontRef>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a:solidFill>
          <a:srgbClr val="F2F2F2">
            <a:lumMod val="5000"/>
            <a:lumOff val="95000"/>
          </a:srgbClr>
        </a:solidFill>
      </a:ln>
    </cs:spPr>
  </cs:gridlineMinor>
  <cs:hiLoLine>
    <cs:lnRef idx="0"/>
    <cs:fillRef idx="0"/>
    <cs:effectRef idx="0"/>
    <cs:fontRef idx="minor">
      <a:srgbClr val="000000"/>
    </cs:fontRef>
    <cs:spPr>
      <a:ln w="9525">
        <a:solidFill>
          <a:srgbClr val="808080">
            <a:lumMod val="50000"/>
            <a:lumOff val="50000"/>
          </a:srgbClr>
        </a:solidFill>
        <a:prstDash val="dash"/>
      </a:ln>
    </cs:spPr>
  </cs:hiLoLine>
  <cs:leaderLine>
    <cs:lnRef idx="0"/>
    <cs:fillRef idx="0"/>
    <cs:effectRef idx="0"/>
    <cs:fontRef idx="minor">
      <a:srgbClr val="000000"/>
    </cs:fontRef>
    <cs:spPr>
      <a:ln w="9525">
        <a:solidFill>
          <a:srgbClr val="A6A6A6">
            <a:lumMod val="35000"/>
            <a:lumOff val="65000"/>
          </a:srgbClr>
        </a:solidFill>
      </a:ln>
    </cs:spPr>
  </cs:leaderLine>
  <cs:legend>
    <cs:lnRef idx="0"/>
    <cs:fillRef idx="0"/>
    <cs:effectRef idx="0"/>
    <cs:fontRef idx="minor">
      <a:srgbClr val="808080">
        <a:lumMod val="50000"/>
        <a:lumOff val="50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808080">
        <a:lumMod val="50000"/>
        <a:lumOff val="50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a:solidFill>
          <a:srgbClr val="A6A6A6">
            <a:lumMod val="35000"/>
            <a:lumOff val="65000"/>
          </a:srgbClr>
        </a:solidFill>
        <a:prstDash val="dash"/>
      </a:ln>
    </cs:spPr>
  </cs:seriesLine>
  <cs:title>
    <cs:lnRef idx="0"/>
    <cs:fillRef idx="0"/>
    <cs:effectRef idx="0"/>
    <cs:fontRef idx="minor">
      <a:srgbClr val="808080">
        <a:lumMod val="50000"/>
        <a:lumOff val="50000"/>
      </a:srgbClr>
    </cs:fontRef>
    <cs:defRPr sz="1400" kern="1200" cap="none" spc="20" baseline="0"/>
  </cs:title>
  <cs:trendline>
    <cs:lnRef idx="0">
      <cs:styleClr val="auto"/>
    </cs:lnRef>
    <cs:fillRef idx="2"/>
    <cs:effectRef idx="0"/>
    <cs:fontRef idx="minor">
      <a:srgbClr val="000000"/>
    </cs:fontRef>
    <cs:spPr>
      <a:ln w="9525" cap="rnd">
        <a:solidFill>
          <a:srgbClr val="FFFFFF"/>
        </a:solidFill>
      </a:ln>
    </cs:spPr>
  </cs:trendline>
  <cs:trendlineLabel>
    <cs:lnRef idx="0"/>
    <cs:fillRef idx="0"/>
    <cs:effectRef idx="0"/>
    <cs:fontRef idx="minor">
      <a:srgbClr val="808080">
        <a:lumMod val="50000"/>
        <a:lumOff val="50000"/>
      </a:srgbClr>
    </cs:fontRef>
    <cs:defRPr sz="900" kern="1200"/>
  </cs:trendlineLabel>
  <cs:upBar>
    <cs:lnRef idx="0"/>
    <cs:fillRef idx="0"/>
    <cs:effectRef idx="0"/>
    <cs:fontRef idx="minor">
      <a:srgbClr val="000000"/>
    </cs:fontRef>
    <cs:spPr>
      <a:solidFill>
        <a:srgbClr val="FFFFFF"/>
      </a:solidFill>
      <a:ln w="9525">
        <a:solidFill>
          <a:srgbClr val="808080">
            <a:lumMod val="50000"/>
            <a:lumOff val="50000"/>
          </a:srgbClr>
        </a:solidFill>
      </a:ln>
    </cs:spPr>
  </cs:upBar>
  <cs:valueAxis>
    <cs:lnRef idx="0"/>
    <cs:fillRef idx="0"/>
    <cs:effectRef idx="0"/>
    <cs:fontRef idx="minor">
      <a:srgbClr val="808080">
        <a:lumMod val="50000"/>
        <a:lumOff val="50000"/>
      </a:srgbClr>
    </cs:fontRef>
    <cs:defRPr sz="900" kern="1200"/>
  </cs:valueAxis>
  <cs:wall>
    <cs:lnRef idx="0"/>
    <cs:fillRef idx="0"/>
    <cs:effectRef idx="0"/>
    <cs:fontRef idx="minor">
      <a:srgbClr val="000000"/>
    </cs:fontRef>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solidFill>
        <a:srgbClr val="FFFFFF"/>
      </a:solidFill>
    </cs:spPr>
  </cs:dataPoint>
  <cs:dataPoint3D>
    <cs:lnRef idx="0"/>
    <cs:fillRef idx="1">
      <cs:styleClr val="auto"/>
    </cs:fillRef>
    <cs:effectRef idx="0"/>
    <cs:fontRef idx="minor">
      <a:srgbClr val="000000"/>
    </cs:fontRef>
    <cs:spPr>
      <a:solidFill>
        <a:srgbClr val="FFFFFF"/>
      </a:solidFill>
    </cs:spPr>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solidFill>
        <a:srgbClr val="FFFFFF"/>
      </a:solidFill>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9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spPr>
      <a:ln w="19050">
        <a:solidFill>
          <a:srgbClr val="FFFFFF"/>
        </a:solidFill>
      </a:ln>
    </cs:spPr>
  </cs:dataPoint>
  <cs:dataPoint3D>
    <cs:lnRef idx="0"/>
    <cs:fillRef idx="1">
      <cs:styleClr val="auto"/>
    </cs:fillRef>
    <cs:effectRef idx="0"/>
    <cs:fontRef idx="minor">
      <a:srgbClr val="000000"/>
    </cs:fontRef>
    <cs:spPr>
      <a:ln w="25400">
        <a:solidFill>
          <a:srgbClr val="FFFFFF"/>
        </a:solidFill>
      </a:ln>
    </cs:spPr>
  </cs:dataPoint3D>
  <cs:dataPointLine>
    <cs:lnRef idx="0">
      <cs:styleClr val="auto"/>
    </cs:lnRef>
    <cs:fillRef idx="0"/>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0"/>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404040">
          <a:lumMod val="75000"/>
          <a:lumOff val="25000"/>
        </a:srgbClr>
      </a:solidFill>
      <a:ln w="9525" cap="flat" cmpd="sng" algn="ctr">
        <a:solidFill>
          <a:srgbClr val="595959">
            <a:lumMod val="65000"/>
            <a:lumOff val="35000"/>
          </a:srgbClr>
        </a:solidFill>
        <a:round/>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808080">
            <a:lumMod val="50000"/>
            <a:lumOff val="50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cap="flat" cmpd="sng" algn="ctr">
        <a:solidFill>
          <a:srgbClr val="595959">
            <a:lumMod val="65000"/>
            <a:lumOff val="35000"/>
          </a:srgbClr>
        </a:solidFill>
        <a:round/>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30</Pages>
  <Words>9655</Words>
  <Characters>11037</Characters>
  <Lines>0</Lines>
  <Paragraphs>0</Paragraphs>
  <TotalTime>56.3333333333333</TotalTime>
  <ScaleCrop>false</ScaleCrop>
  <LinksUpToDate>false</LinksUpToDate>
  <CharactersWithSpaces>11260</CharactersWithSpaces>
  <Application>WPS Office_11.1.0.11807_F1E327BC-269C-435d-A152-05C5408002CA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2014-12-04T09:52:56Z</dcterms:created>
  <dc:creator>Administrator</dc:creator>
  <cp:lastModifiedBy>会发光的橙子</cp:lastModifiedBy>
  <cp:lastPrinted>2018-12-29T16:10:16Z</cp:lastPrinted>
  <dcterms:modified xsi:type="dcterms:W3CDTF">2022-06-30T01:34:10Z</dcterms:modified>
  <dc:title>前  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2052-11.1.0.11807</vt:lpwstr>
  </property>
  <property fmtid="{D5CDD505-2E9C-101B-9397-08002B2CF9AE}" pid="3" name="ICV">
    <vt:lpwstr>A767FD1F8CB74E3DAA386C2CA35ED6F9</vt:lpwstr>
  </property>
</Properties>
</file>