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
        <w:jc w:val="center"/>
        <w:rPr>
          <w:rFonts w:ascii="黑体"/>
          <w:sz w:val="52"/>
          <w:szCs w:val="52"/>
        </w:rPr>
      </w:pPr>
      <w:bookmarkStart w:id="0" w:name="_Toc504614041"/>
      <w:bookmarkStart w:id="1" w:name="_Toc437527447"/>
      <w:bookmarkStart w:id="2" w:name="_Toc504348379"/>
      <w:bookmarkStart w:id="3" w:name="_Toc436645835"/>
      <w:bookmarkStart w:id="4" w:name="_Toc436646437"/>
      <w:bookmarkStart w:id="5" w:name="_Toc436748505"/>
      <w:bookmarkStart w:id="6" w:name="_Toc437855830"/>
      <w:bookmarkStart w:id="7" w:name="_Toc436646021"/>
      <w:bookmarkStart w:id="8" w:name="_Toc436748628"/>
      <w:bookmarkStart w:id="9" w:name="_Toc436646500"/>
      <w:bookmarkStart w:id="10" w:name="_Toc436646456"/>
      <w:bookmarkStart w:id="11" w:name="_Toc436646039"/>
      <w:bookmarkStart w:id="12" w:name="_Toc504347736"/>
      <w:bookmarkStart w:id="13" w:name="_Toc436746484"/>
      <w:bookmarkStart w:id="14" w:name="_Toc438804332"/>
      <w:bookmarkStart w:id="15" w:name="_Toc470337458"/>
      <w:bookmarkStart w:id="16" w:name="_Toc504603945"/>
      <w:bookmarkStart w:id="17" w:name="_Toc436749062"/>
      <w:bookmarkStart w:id="18" w:name="_Toc436645677"/>
      <w:bookmarkStart w:id="19" w:name="_Toc436645710"/>
      <w:bookmarkStart w:id="121" w:name="_GoBack"/>
      <w:bookmarkEnd w:id="121"/>
    </w:p>
    <w:p>
      <w:pPr>
        <w:pStyle w:val="3"/>
        <w:jc w:val="center"/>
        <w:rPr>
          <w:rFonts w:ascii="黑体"/>
          <w:sz w:val="52"/>
          <w:szCs w:val="52"/>
        </w:rPr>
      </w:pPr>
      <w:r>
        <w:rPr>
          <w:rFonts w:hint="eastAsia" w:ascii="黑体"/>
          <w:sz w:val="52"/>
          <w:szCs w:val="52"/>
        </w:rPr>
        <w:t>毕业生就业质量年度报告</w:t>
      </w:r>
      <w:r>
        <w:rPr>
          <w:rFonts w:ascii="黑体"/>
          <w:sz w:val="52"/>
          <w:szCs w:val="52"/>
        </w:rPr>
        <w:t>(</w:t>
      </w:r>
      <w:r>
        <w:rPr>
          <w:rFonts w:hint="eastAsia" w:ascii="黑体"/>
          <w:sz w:val="52"/>
          <w:szCs w:val="52"/>
          <w:lang w:val="en-US" w:eastAsia="zh-CN"/>
        </w:rPr>
        <w:t>2020</w:t>
      </w:r>
      <w:r>
        <w:rPr>
          <w:rFonts w:ascii="黑体"/>
          <w:sz w:val="52"/>
          <w:szCs w:val="52"/>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Start w:id="20" w:name="_Toc436646501"/>
      <w:bookmarkStart w:id="21" w:name="_Toc436646040"/>
      <w:bookmarkStart w:id="22" w:name="_Toc436746485"/>
      <w:bookmarkStart w:id="23" w:name="_Toc436645836"/>
      <w:bookmarkStart w:id="24" w:name="_Toc436645711"/>
      <w:bookmarkStart w:id="25" w:name="_Toc436645678"/>
      <w:bookmarkStart w:id="26" w:name="_Toc436646457"/>
      <w:bookmarkStart w:id="27" w:name="_Toc436646022"/>
      <w:bookmarkStart w:id="28" w:name="_Toc436748506"/>
      <w:bookmarkStart w:id="29" w:name="_Toc437855831"/>
      <w:bookmarkStart w:id="30" w:name="_Toc436646438"/>
    </w:p>
    <w:p/>
    <w:p/>
    <w:p/>
    <w:p/>
    <w:p/>
    <w:p/>
    <w:p/>
    <w:p/>
    <w:p/>
    <w:p/>
    <w:p/>
    <w:p/>
    <w:p/>
    <w:p/>
    <w:p/>
    <w:p/>
    <w:p>
      <w:pPr>
        <w:pStyle w:val="3"/>
        <w:spacing w:before="0" w:after="0" w:line="240" w:lineRule="auto"/>
      </w:pPr>
      <w:bookmarkStart w:id="31" w:name="_Toc504614044"/>
    </w:p>
    <w:p>
      <w:pPr>
        <w:pStyle w:val="3"/>
      </w:pPr>
    </w:p>
    <w:p>
      <w:pPr>
        <w:pStyle w:val="3"/>
        <w:ind w:left="506" w:leftChars="241" w:firstLine="3196" w:firstLineChars="995"/>
      </w:pPr>
    </w:p>
    <w:p>
      <w:pPr>
        <w:pStyle w:val="3"/>
        <w:ind w:left="506" w:leftChars="241" w:firstLine="3196" w:firstLineChars="995"/>
      </w:pPr>
    </w:p>
    <w:p/>
    <w:p/>
    <w:p>
      <w:pPr>
        <w:pStyle w:val="3"/>
        <w:ind w:left="506" w:leftChars="241" w:firstLine="3196" w:firstLineChars="995"/>
      </w:pPr>
      <w:r>
        <w:drawing>
          <wp:anchor distT="0" distB="0" distL="114300" distR="114300" simplePos="0" relativeHeight="251658240" behindDoc="1" locked="0" layoutInCell="1" allowOverlap="1">
            <wp:simplePos x="0" y="0"/>
            <wp:positionH relativeFrom="column">
              <wp:posOffset>-1028700</wp:posOffset>
            </wp:positionH>
            <wp:positionV relativeFrom="paragraph">
              <wp:posOffset>69850</wp:posOffset>
            </wp:positionV>
            <wp:extent cx="7429500" cy="8801735"/>
            <wp:effectExtent l="0" t="0" r="0" b="0"/>
            <wp:wrapNone/>
            <wp:docPr id="75" name="图片 6" descr="最美创院 (1)"/>
            <wp:cNvGraphicFramePr/>
            <a:graphic xmlns:a="http://schemas.openxmlformats.org/drawingml/2006/main">
              <a:graphicData uri="http://schemas.openxmlformats.org/drawingml/2006/picture">
                <pic:pic xmlns:pic="http://schemas.openxmlformats.org/drawingml/2006/picture">
                  <pic:nvPicPr>
                    <pic:cNvPr id="75" name="图片 6" descr="最美创院 (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a:xfrm>
                      <a:off x="0" y="0"/>
                      <a:ext cx="7429500" cy="8801735"/>
                    </a:xfrm>
                    <a:prstGeom prst="rect">
                      <a:avLst/>
                    </a:prstGeom>
                    <a:noFill/>
                  </pic:spPr>
                </pic:pic>
              </a:graphicData>
            </a:graphic>
          </wp:anchor>
        </w:drawing>
      </w:r>
      <w:r>
        <w:rPr>
          <w:rFonts w:hint="eastAsia"/>
        </w:rPr>
        <w:t>前</w:t>
      </w:r>
      <w:r>
        <w:t xml:space="preserve">  </w:t>
      </w:r>
      <w:r>
        <w:rPr>
          <w:rFonts w:hint="eastAsia"/>
        </w:rPr>
        <w:t>言</w:t>
      </w:r>
      <w:bookmarkEnd w:id="20"/>
      <w:bookmarkEnd w:id="21"/>
      <w:bookmarkEnd w:id="22"/>
      <w:bookmarkEnd w:id="23"/>
      <w:bookmarkEnd w:id="24"/>
      <w:bookmarkEnd w:id="25"/>
      <w:bookmarkEnd w:id="26"/>
      <w:bookmarkEnd w:id="27"/>
      <w:bookmarkEnd w:id="28"/>
      <w:bookmarkEnd w:id="29"/>
      <w:bookmarkEnd w:id="30"/>
      <w:bookmarkEnd w:id="31"/>
    </w:p>
    <w:p>
      <w:pPr>
        <w:pStyle w:val="19"/>
        <w:spacing w:before="0" w:beforeAutospacing="0" w:after="0" w:afterAutospacing="0" w:line="460" w:lineRule="exact"/>
        <w:ind w:firstLine="480" w:firstLineChars="200"/>
        <w:rPr>
          <w:rFonts w:hint="eastAsia" w:ascii="宋体" w:eastAsia="宋体" w:cs="宋体"/>
          <w:kern w:val="2"/>
        </w:rPr>
      </w:pPr>
      <w:r>
        <w:rPr>
          <w:rFonts w:hint="eastAsia" w:ascii="宋体" w:eastAsia="宋体" w:cs="宋体"/>
          <w:kern w:val="2"/>
        </w:rPr>
        <w:t>内蒙古大学创业学院(以下简称“学院”)是内蒙古大学与社会投资方合作，于2005年开始筹建、2008年经教育部正式批准设立并在当年开始招生的一所本科层次的独立学院。目前有全日制本科生8200余名。</w:t>
      </w:r>
    </w:p>
    <w:p>
      <w:pPr>
        <w:pStyle w:val="19"/>
        <w:spacing w:before="0" w:beforeAutospacing="0" w:after="0" w:afterAutospacing="0" w:line="460" w:lineRule="exact"/>
        <w:ind w:firstLine="480" w:firstLineChars="200"/>
        <w:rPr>
          <w:rFonts w:hint="eastAsia" w:ascii="宋体" w:eastAsia="宋体" w:cs="宋体"/>
          <w:kern w:val="2"/>
        </w:rPr>
      </w:pPr>
      <w:r>
        <w:rPr>
          <w:rFonts w:hint="eastAsia" w:ascii="宋体" w:eastAsia="宋体" w:cs="宋体"/>
          <w:kern w:val="2"/>
        </w:rPr>
        <w:t>学院秉承内蒙古大学“求真务实”的校训，弘扬“崇尚真知、追求卓越”的内大精神，贯彻“以质量求生存，以创新求发展，以贡献求支持，以共赢求合作”的发展理念，致力于培养具有创新创业精神、勇于投身实践的应用型、复合型、创新型、开放型人才，努力把学院建设成为开放式、有特色、应用型高水平大学。</w:t>
      </w:r>
    </w:p>
    <w:p>
      <w:pPr>
        <w:pStyle w:val="19"/>
        <w:spacing w:before="0" w:beforeAutospacing="0" w:after="0" w:afterAutospacing="0" w:line="460" w:lineRule="exact"/>
        <w:ind w:firstLine="480" w:firstLineChars="200"/>
        <w:rPr>
          <w:rFonts w:hint="eastAsia" w:ascii="宋体" w:eastAsia="宋体" w:cs="宋体"/>
          <w:kern w:val="2"/>
        </w:rPr>
      </w:pPr>
      <w:r>
        <w:rPr>
          <w:rFonts w:hint="eastAsia" w:ascii="宋体" w:eastAsia="宋体" w:cs="宋体"/>
          <w:kern w:val="2"/>
        </w:rPr>
        <w:t>学院依托内蒙古大学综合办学优势，根据社会发展的需要，结合学院实际情况，目前设有艺术学院、 语言与传媒学院、信息工程学院、交通与环境学院、商学院、外国语学院等二级学院， 共开设了绘画、动画、视觉传达设计、环境</w:t>
      </w:r>
      <w:r>
        <w:rPr>
          <w:rFonts w:hint="eastAsia" w:ascii="宋体" w:cs="宋体"/>
          <w:kern w:val="2"/>
          <w:lang w:eastAsia="zh-CN"/>
        </w:rPr>
        <w:t>艺术</w:t>
      </w:r>
      <w:r>
        <w:rPr>
          <w:rFonts w:hint="eastAsia" w:ascii="宋体" w:eastAsia="宋体" w:cs="宋体"/>
          <w:kern w:val="2"/>
        </w:rPr>
        <w:t>设计、产品设计、服装与服饰设计、播音与主持艺术、表演、新闻学、汉语言文学、英语、会计学、金融学、财务管理、人力资源管理、电子商务、信息与计算科学、计算机科学与技术、通信工程、电子信息科学与技术、自动化、土木工程、环境科学</w:t>
      </w:r>
      <w:r>
        <w:rPr>
          <w:rFonts w:hint="eastAsia" w:ascii="宋体" w:cs="宋体"/>
          <w:kern w:val="2"/>
          <w:lang w:eastAsia="zh-CN"/>
        </w:rPr>
        <w:t>共</w:t>
      </w:r>
      <w:r>
        <w:rPr>
          <w:rFonts w:hint="eastAsia" w:ascii="宋体" w:cs="宋体"/>
          <w:kern w:val="2"/>
          <w:lang w:val="en-US" w:eastAsia="zh-CN"/>
        </w:rPr>
        <w:t>23</w:t>
      </w:r>
      <w:r>
        <w:rPr>
          <w:rFonts w:hint="eastAsia" w:ascii="宋体" w:eastAsia="宋体" w:cs="宋体"/>
          <w:kern w:val="2"/>
        </w:rPr>
        <w:t>个专业，涵盖了理、工、文、经、艺等方面的学科专业，现已成为集理学、工学、文学、经济学、管理学、艺术学6大学科门类的综合性大学。</w:t>
      </w:r>
    </w:p>
    <w:p>
      <w:pPr>
        <w:pStyle w:val="19"/>
        <w:spacing w:before="0" w:beforeAutospacing="0" w:after="0" w:afterAutospacing="0" w:line="460" w:lineRule="exact"/>
        <w:ind w:firstLine="480" w:firstLineChars="200"/>
        <w:rPr>
          <w:rFonts w:hint="eastAsia" w:ascii="宋体" w:eastAsia="宋体" w:cs="宋体"/>
          <w:kern w:val="2"/>
        </w:rPr>
      </w:pPr>
      <w:r>
        <w:rPr>
          <w:rFonts w:hint="eastAsia" w:ascii="宋体" w:eastAsia="宋体" w:cs="宋体"/>
          <w:kern w:val="2"/>
        </w:rPr>
        <w:t>目前学院的师资力量主要来自内蒙古大学的知名学者和教授、各大高校的优秀教师、学者、社会各界专家等。学院管理队伍是由内蒙古大学派遣及社会聘用人员组成的全员聘任制专职管理队伍。</w:t>
      </w:r>
    </w:p>
    <w:p>
      <w:pPr>
        <w:pStyle w:val="19"/>
        <w:spacing w:before="0" w:beforeAutospacing="0" w:after="0" w:afterAutospacing="0" w:line="460" w:lineRule="exact"/>
        <w:ind w:firstLine="480" w:firstLineChars="200"/>
        <w:rPr>
          <w:rFonts w:hint="eastAsia" w:ascii="宋体" w:eastAsia="宋体" w:cs="宋体"/>
          <w:kern w:val="2"/>
        </w:rPr>
      </w:pPr>
      <w:r>
        <w:rPr>
          <w:rFonts w:hint="eastAsia"/>
          <w:kern w:val="2"/>
        </w:rPr>
        <w:t>学院面向全国招生，目前有全日制在籍本科生</w:t>
      </w:r>
      <w:r>
        <w:rPr>
          <w:rFonts w:hint="eastAsia" w:ascii="宋体" w:eastAsia="宋体" w:cs="宋体"/>
          <w:kern w:val="2"/>
        </w:rPr>
        <w:t>8500</w:t>
      </w:r>
      <w:r>
        <w:rPr>
          <w:rFonts w:hint="eastAsia"/>
          <w:kern w:val="2"/>
        </w:rPr>
        <w:t>余名。</w:t>
      </w:r>
    </w:p>
    <w:p>
      <w:pPr>
        <w:pStyle w:val="19"/>
        <w:spacing w:before="0" w:beforeAutospacing="0" w:after="0" w:afterAutospacing="0" w:line="460" w:lineRule="exact"/>
        <w:ind w:firstLine="480" w:firstLineChars="200"/>
        <w:rPr>
          <w:rFonts w:hint="eastAsia" w:ascii="宋体" w:eastAsia="宋体" w:cs="宋体"/>
          <w:kern w:val="2"/>
        </w:rPr>
      </w:pPr>
      <w:r>
        <w:rPr>
          <w:rFonts w:hint="eastAsia" w:ascii="宋体" w:eastAsia="宋体"/>
          <w:kern w:val="2"/>
        </w:rPr>
        <w:t>学院立足为自治区区域经济社会发展服务，与生产实践相结合，以社会需求为导向，以培养“应用型、开放型、复合型、学术型、创新型人才”为育人目标。努力坚持把学院办成按照推进高等教育大众化思路，借鉴企业化管理模式的知识型企业，形成多元化投资主体，调动社会投资办教育的积极性。在新的形势下，学院抓住机遇，开拓创新，依托内蒙古大学优质教学资源，积极推动学院的快速发展，力争把学院建设成为一所服务自治区区域经济和社会发展为主要目标的、以培养实用型人才为特色的，以本科学生培养为主要任务的、有特色的、综合性教学型高等院校。</w:t>
      </w:r>
    </w:p>
    <w:p>
      <w:pPr>
        <w:spacing w:line="460" w:lineRule="exact"/>
        <w:ind w:firstLine="420" w:firstLineChars="200"/>
        <w:rPr>
          <w:rFonts w:hint="eastAsia" w:ascii="宋体" w:hAnsi="宋体" w:eastAsia="宋体" w:cs="宋体"/>
          <w:sz w:val="24"/>
        </w:rPr>
      </w:pPr>
      <w:r>
        <w:rPr>
          <w:rFonts w:hint="eastAsia" w:ascii="宋体" w:hAnsi="宋体" w:cs="宋体"/>
        </w:rPr>
        <w:drawing>
          <wp:anchor distT="0" distB="0" distL="114300" distR="114300" simplePos="0" relativeHeight="251659264" behindDoc="1" locked="0" layoutInCell="1" allowOverlap="1">
            <wp:simplePos x="0" y="0"/>
            <wp:positionH relativeFrom="column">
              <wp:posOffset>-1028700</wp:posOffset>
            </wp:positionH>
            <wp:positionV relativeFrom="paragraph">
              <wp:posOffset>0</wp:posOffset>
            </wp:positionV>
            <wp:extent cx="7429500" cy="8420100"/>
            <wp:effectExtent l="0" t="0" r="0" b="0"/>
            <wp:wrapNone/>
            <wp:docPr id="74" name="图片 5" descr="最美创院 (2)"/>
            <wp:cNvGraphicFramePr/>
            <a:graphic xmlns:a="http://schemas.openxmlformats.org/drawingml/2006/main">
              <a:graphicData uri="http://schemas.openxmlformats.org/drawingml/2006/picture">
                <pic:pic xmlns:pic="http://schemas.openxmlformats.org/drawingml/2006/picture">
                  <pic:nvPicPr>
                    <pic:cNvPr id="74" name="图片 5" descr="最美创院 (2)"/>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a:xfrm>
                      <a:off x="0" y="0"/>
                      <a:ext cx="7429500" cy="8420100"/>
                    </a:xfrm>
                    <a:prstGeom prst="rect">
                      <a:avLst/>
                    </a:prstGeom>
                    <a:noFill/>
                  </pic:spPr>
                </pic:pic>
              </a:graphicData>
            </a:graphic>
          </wp:anchor>
        </w:drawing>
      </w:r>
      <w:r>
        <w:rPr>
          <w:rFonts w:hint="eastAsia" w:ascii="宋体" w:hAnsi="宋体" w:eastAsia="宋体" w:cs="宋体"/>
          <w:sz w:val="24"/>
        </w:rPr>
        <w:t>内蒙古大学创业学院《毕业生就业质量年度报告(</w:t>
      </w:r>
      <w:r>
        <w:rPr>
          <w:rFonts w:hint="eastAsia" w:ascii="宋体" w:hAnsi="宋体" w:cs="宋体"/>
          <w:sz w:val="24"/>
          <w:lang w:val="en-US" w:eastAsia="zh-CN"/>
        </w:rPr>
        <w:t>2020</w:t>
      </w:r>
      <w:r>
        <w:rPr>
          <w:rFonts w:hint="eastAsia" w:ascii="宋体" w:hAnsi="宋体" w:eastAsia="宋体" w:cs="宋体"/>
          <w:sz w:val="24"/>
        </w:rPr>
        <w:t>)》由</w:t>
      </w:r>
      <w:r>
        <w:rPr>
          <w:rFonts w:hint="eastAsia" w:ascii="宋体" w:hAnsi="宋体" w:cs="宋体"/>
          <w:sz w:val="24"/>
        </w:rPr>
        <w:t>招生与就业服务中心</w:t>
      </w:r>
      <w:r>
        <w:rPr>
          <w:rFonts w:hint="eastAsia" w:ascii="宋体" w:hAnsi="宋体" w:eastAsia="宋体" w:cs="宋体"/>
          <w:sz w:val="24"/>
        </w:rPr>
        <w:t>编写，本报告旨在通过对学院</w:t>
      </w:r>
      <w:r>
        <w:rPr>
          <w:rFonts w:hint="eastAsia" w:ascii="宋体" w:hAnsi="宋体" w:cs="宋体"/>
          <w:sz w:val="24"/>
        </w:rPr>
        <w:t>2</w:t>
      </w:r>
      <w:r>
        <w:rPr>
          <w:rFonts w:hint="eastAsia" w:ascii="宋体" w:hAnsi="宋体" w:cs="宋体"/>
          <w:sz w:val="24"/>
          <w:lang w:val="en-US" w:eastAsia="zh-CN"/>
        </w:rPr>
        <w:t>020</w:t>
      </w:r>
      <w:r>
        <w:rPr>
          <w:rFonts w:hint="eastAsia" w:ascii="宋体" w:hAnsi="宋体" w:eastAsia="宋体" w:cs="宋体"/>
          <w:sz w:val="24"/>
        </w:rPr>
        <w:t>届毕业生整体就业情况、应往届毕业生就业满意度调查、建校十年来的历届毕业生就业趋势分析、用人单位反馈情况和毕业生就业工作的全面分析总结，结合我院办学模式、学生特点，探索建立就业工作、用人单位、及人才培养的良性互动长效机制。</w:t>
      </w:r>
    </w:p>
    <w:p>
      <w:pPr>
        <w:spacing w:line="460" w:lineRule="exact"/>
        <w:ind w:firstLine="480" w:firstLineChars="200"/>
        <w:rPr>
          <w:rFonts w:hint="eastAsia" w:ascii="宋体" w:hAnsi="宋体" w:eastAsia="宋体" w:cs="宋体"/>
          <w:sz w:val="24"/>
        </w:rPr>
      </w:pPr>
      <w:r>
        <w:rPr>
          <w:rFonts w:hint="eastAsia" w:ascii="宋体" w:hAnsi="宋体" w:eastAsia="宋体" w:cs="宋体"/>
          <w:sz w:val="24"/>
        </w:rPr>
        <w:t>我们秉承求真务实的作风，全面收集信息，科学严谨的分析数据，以期真实的反映我校毕业生的基本就业情况及工作特色。本报告内容包括</w:t>
      </w:r>
      <w:r>
        <w:rPr>
          <w:rFonts w:hint="eastAsia" w:ascii="宋体" w:hAnsi="宋体" w:cs="宋体"/>
          <w:sz w:val="24"/>
          <w:lang w:val="en-US" w:eastAsia="zh-CN"/>
        </w:rPr>
        <w:t>2020</w:t>
      </w:r>
      <w:r>
        <w:rPr>
          <w:rFonts w:hint="eastAsia" w:ascii="宋体" w:hAnsi="宋体" w:eastAsia="宋体" w:cs="宋体"/>
          <w:sz w:val="24"/>
        </w:rPr>
        <w:t>届毕业生基本情况、毕业生就业情况、毕业生就业工作特色、就业质量相关分析、就业趋势相关分析以及对教育教学的反馈等六部分。本报告统计截止时间</w:t>
      </w:r>
      <w:r>
        <w:rPr>
          <w:rFonts w:hint="eastAsia" w:ascii="宋体" w:hAnsi="宋体" w:cs="宋体"/>
          <w:sz w:val="24"/>
        </w:rPr>
        <w:t>20</w:t>
      </w:r>
      <w:r>
        <w:rPr>
          <w:rFonts w:hint="eastAsia" w:ascii="宋体" w:hAnsi="宋体" w:cs="宋体"/>
          <w:sz w:val="24"/>
          <w:lang w:val="en-US" w:eastAsia="zh-CN"/>
        </w:rPr>
        <w:t>20</w:t>
      </w:r>
      <w:r>
        <w:rPr>
          <w:rFonts w:hint="eastAsia" w:ascii="宋体" w:hAnsi="宋体" w:eastAsia="宋体" w:cs="宋体"/>
          <w:sz w:val="24"/>
        </w:rPr>
        <w:t>年9月1日，统计对象是内蒙古大学创业学院</w:t>
      </w:r>
      <w:r>
        <w:rPr>
          <w:rFonts w:hint="eastAsia" w:ascii="宋体" w:hAnsi="宋体" w:cs="宋体"/>
          <w:sz w:val="24"/>
          <w:lang w:val="en-US" w:eastAsia="zh-CN"/>
        </w:rPr>
        <w:t>2020</w:t>
      </w:r>
      <w:r>
        <w:rPr>
          <w:rFonts w:hint="eastAsia" w:ascii="宋体" w:hAnsi="宋体" w:eastAsia="宋体" w:cs="宋体"/>
          <w:sz w:val="24"/>
        </w:rPr>
        <w:t>届毕业生（未含</w:t>
      </w:r>
      <w:r>
        <w:rPr>
          <w:rFonts w:hint="eastAsia" w:ascii="宋体" w:hAnsi="宋体" w:cs="宋体"/>
          <w:sz w:val="24"/>
          <w:lang w:val="en-US" w:eastAsia="zh-CN"/>
        </w:rPr>
        <w:t>2020</w:t>
      </w:r>
      <w:r>
        <w:rPr>
          <w:rFonts w:hint="eastAsia" w:ascii="宋体" w:hAnsi="宋体" w:eastAsia="宋体" w:cs="宋体"/>
          <w:sz w:val="24"/>
        </w:rPr>
        <w:t>年9月以后毕业学生）。统计数据基于内蒙古高校毕业生就业信息管理系统，毕业生和用人单位数据来自《内蒙古大学创业学院</w:t>
      </w:r>
      <w:r>
        <w:rPr>
          <w:rFonts w:hint="eastAsia" w:ascii="宋体" w:hAnsi="宋体" w:cs="宋体"/>
          <w:sz w:val="24"/>
          <w:lang w:val="en-US" w:eastAsia="zh-CN"/>
        </w:rPr>
        <w:t>2020</w:t>
      </w:r>
      <w:r>
        <w:rPr>
          <w:rFonts w:hint="eastAsia" w:ascii="宋体" w:hAnsi="宋体" w:eastAsia="宋体" w:cs="宋体"/>
          <w:sz w:val="24"/>
        </w:rPr>
        <w:t>届毕业生调研结果》，《内蒙古大学创业学院用人单位调研报告》，校园招聘、就业管理等业务工作数据来自内蒙古大学创业学院就业信息平台和工作档案。</w:t>
      </w: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460" w:lineRule="exact"/>
        <w:ind w:firstLine="480" w:firstLineChars="200"/>
        <w:rPr>
          <w:rFonts w:ascii="??_GB2312" w:hAnsi="宋体" w:eastAsia="Times New Roman"/>
          <w:sz w:val="24"/>
        </w:rPr>
      </w:pPr>
    </w:p>
    <w:p>
      <w:pPr>
        <w:spacing w:line="360" w:lineRule="auto"/>
        <w:rPr>
          <w:rFonts w:ascii="宋体" w:cs="宋体"/>
        </w:rPr>
      </w:pPr>
    </w:p>
    <w:p>
      <w:pPr>
        <w:spacing w:line="360" w:lineRule="exact"/>
      </w:pPr>
      <w: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257800" cy="664210"/>
                <wp:effectExtent l="0" t="0" r="0" b="0"/>
                <wp:wrapSquare wrapText="bothSides"/>
                <wp:docPr id="73" name="文本框 47"/>
                <wp:cNvGraphicFramePr/>
                <a:graphic xmlns:a="http://schemas.openxmlformats.org/drawingml/2006/main">
                  <a:graphicData uri="http://schemas.microsoft.com/office/word/2010/wordprocessingShape">
                    <wps:wsp>
                      <wps:cNvSpPr txBox="1"/>
                      <wps:spPr bwMode="auto">
                        <a:xfrm>
                          <a:off x="0" y="0"/>
                          <a:ext cx="5257800" cy="664210"/>
                        </a:xfrm>
                        <a:prstGeom prst="rect">
                          <a:avLst/>
                        </a:prstGeom>
                        <a:solidFill>
                          <a:srgbClr val="FFFFFF"/>
                        </a:solidFill>
                        <a:ln>
                          <a:noFill/>
                        </a:ln>
                      </wps:spPr>
                      <wps:txbx>
                        <w:txbxContent>
                          <w:p>
                            <w:pPr>
                              <w:shd w:val="clear" w:color="auto" w:fill="9999FF"/>
                              <w:jc w:val="center"/>
                              <w:rPr>
                                <w:rFonts w:ascii="黑体" w:hAnsi="黑体" w:eastAsia="黑体"/>
                                <w:b/>
                                <w:sz w:val="36"/>
                                <w:szCs w:val="36"/>
                              </w:rPr>
                            </w:pPr>
                            <w:r>
                              <w:rPr>
                                <w:rFonts w:hint="eastAsia" w:ascii="黑体" w:hAnsi="黑体" w:eastAsia="黑体"/>
                                <w:b/>
                                <w:sz w:val="36"/>
                                <w:szCs w:val="36"/>
                              </w:rPr>
                              <w:t>目</w:t>
                            </w:r>
                            <w:r>
                              <w:rPr>
                                <w:rFonts w:ascii="黑体" w:hAnsi="黑体" w:eastAsia="黑体"/>
                                <w:b/>
                                <w:sz w:val="36"/>
                                <w:szCs w:val="36"/>
                              </w:rPr>
                              <w:t xml:space="preserve">   </w:t>
                            </w:r>
                            <w:r>
                              <w:rPr>
                                <w:rFonts w:hint="eastAsia" w:ascii="黑体" w:hAnsi="黑体" w:eastAsia="黑体"/>
                                <w:b/>
                                <w:sz w:val="36"/>
                                <w:szCs w:val="36"/>
                              </w:rPr>
                              <w:t>录</w:t>
                            </w:r>
                          </w:p>
                        </w:txbxContent>
                      </wps:txbx>
                      <wps:bodyPr rot="0" vert="horz" wrap="square" lIns="91440" tIns="45720" rIns="91440" bIns="45720" anchor="t" anchorCtr="0" upright="1">
                        <a:noAutofit/>
                      </wps:bodyPr>
                    </wps:wsp>
                  </a:graphicData>
                </a:graphic>
              </wp:anchor>
            </w:drawing>
          </mc:Choice>
          <mc:Fallback>
            <w:pict>
              <v:shape id="文本框 47" o:spid="_x0000_s1026" o:spt="202" type="#_x0000_t202" style="position:absolute;left:0pt;margin-left:0pt;margin-top:0pt;height:52.3pt;width:414pt;mso-wrap-distance-bottom:0pt;mso-wrap-distance-left:9pt;mso-wrap-distance-right:9pt;mso-wrap-distance-top:0pt;z-index:251658240;mso-width-relative:page;mso-height-relative:page;" fillcolor="#FFFFFF" filled="t" stroked="f" coordsize="21600,21600" o:gfxdata="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y8ijTTAAAABQEAAA8AAAAAAAAAAQAg&#10;AAAAIgAAAGRycy9kb3ducmV2LnhtbFBLAQIUABQAAAAIAIdO4kA43bcWEwIAABAEAAAOAAAAAAAA&#10;AAEAIAAAACIBAABkcnMvZTJvRG9jLnhtbFBLBQYAAAAABgAGAFkBAACnBQAAAAA=&#10;">
                <v:fill on="t" focussize="0,0"/>
                <v:stroke on="f"/>
                <v:imagedata o:title=""/>
                <o:lock v:ext="edit" aspectratio="f"/>
                <v:textbox>
                  <w:txbxContent>
                    <w:p>
                      <w:pPr>
                        <w:shd w:val="clear" w:color="auto" w:fill="9999FF"/>
                        <w:jc w:val="center"/>
                        <w:rPr>
                          <w:rFonts w:ascii="黑体" w:hAnsi="黑体" w:eastAsia="黑体"/>
                          <w:b/>
                          <w:sz w:val="36"/>
                          <w:szCs w:val="36"/>
                        </w:rPr>
                      </w:pPr>
                      <w:r>
                        <w:rPr>
                          <w:rFonts w:hint="eastAsia" w:ascii="黑体" w:hAnsi="黑体" w:eastAsia="黑体"/>
                          <w:b/>
                          <w:sz w:val="36"/>
                          <w:szCs w:val="36"/>
                        </w:rPr>
                        <w:t>目</w:t>
                      </w:r>
                      <w:r>
                        <w:rPr>
                          <w:rFonts w:ascii="黑体" w:hAnsi="黑体" w:eastAsia="黑体"/>
                          <w:b/>
                          <w:sz w:val="36"/>
                          <w:szCs w:val="36"/>
                        </w:rPr>
                        <w:t xml:space="preserve">   </w:t>
                      </w:r>
                      <w:r>
                        <w:rPr>
                          <w:rFonts w:hint="eastAsia" w:ascii="黑体" w:hAnsi="黑体" w:eastAsia="黑体"/>
                          <w:b/>
                          <w:sz w:val="36"/>
                          <w:szCs w:val="36"/>
                        </w:rPr>
                        <w:t>录</w:t>
                      </w:r>
                    </w:p>
                  </w:txbxContent>
                </v:textbox>
                <w10:wrap type="square"/>
              </v:shape>
            </w:pict>
          </mc:Fallback>
        </mc:AlternateContent>
      </w:r>
      <w:r>
        <w:rPr>
          <w:szCs w:val="21"/>
        </w:rPr>
        <w:fldChar w:fldCharType="begin"/>
      </w:r>
      <w:r>
        <w:rPr>
          <w:szCs w:val="21"/>
        </w:rPr>
        <w:instrText xml:space="preserve"> TOC \o "1-2" \h \z \u </w:instrText>
      </w:r>
      <w:r>
        <w:rPr>
          <w:szCs w:val="21"/>
        </w:rPr>
        <w:fldChar w:fldCharType="separate"/>
      </w:r>
    </w:p>
    <w:p>
      <w:pPr>
        <w:pStyle w:val="17"/>
        <w:tabs>
          <w:tab w:val="right" w:leader="dot" w:pos="8494"/>
        </w:tabs>
        <w:spacing w:line="360" w:lineRule="exact"/>
        <w:rPr>
          <w:smallCaps w:val="0"/>
          <w:sz w:val="21"/>
          <w:szCs w:val="24"/>
        </w:rPr>
      </w:pPr>
      <w:r>
        <w:fldChar w:fldCharType="begin"/>
      </w:r>
      <w:r>
        <w:instrText xml:space="preserve"> HYPERLINK \l "_Toc504614041" </w:instrText>
      </w:r>
      <w:r>
        <w:fldChar w:fldCharType="separate"/>
      </w:r>
      <w:r>
        <w:rPr>
          <w:rStyle w:val="25"/>
          <w:rFonts w:hint="eastAsia" w:ascii="黑体"/>
          <w:sz w:val="21"/>
        </w:rPr>
        <w:t>毕业生就业质量年度报告</w:t>
      </w:r>
      <w:r>
        <w:rPr>
          <w:rStyle w:val="25"/>
          <w:rFonts w:ascii="黑体"/>
          <w:sz w:val="21"/>
        </w:rPr>
        <w:t>(</w:t>
      </w:r>
      <w:r>
        <w:rPr>
          <w:rStyle w:val="25"/>
          <w:rFonts w:hint="eastAsia" w:ascii="黑体"/>
          <w:sz w:val="21"/>
          <w:lang w:val="en-US" w:eastAsia="zh-CN"/>
        </w:rPr>
        <w:t>2020</w:t>
      </w:r>
      <w:r>
        <w:rPr>
          <w:rStyle w:val="25"/>
          <w:rFonts w:ascii="黑体"/>
          <w:sz w:val="21"/>
        </w:rPr>
        <w:t>)</w:t>
      </w:r>
      <w:r>
        <w:rPr>
          <w:sz w:val="21"/>
        </w:rPr>
        <w:tab/>
      </w:r>
      <w:r>
        <w:rPr>
          <w:sz w:val="21"/>
        </w:rPr>
        <w:fldChar w:fldCharType="begin"/>
      </w:r>
      <w:r>
        <w:rPr>
          <w:sz w:val="21"/>
        </w:rPr>
        <w:instrText xml:space="preserve"> PAGEREF _Toc504614041 \h </w:instrText>
      </w:r>
      <w:r>
        <w:rPr>
          <w:sz w:val="21"/>
        </w:rPr>
        <w:fldChar w:fldCharType="separate"/>
      </w:r>
      <w:r>
        <w:rPr>
          <w:sz w:val="21"/>
        </w:rPr>
        <w:t>1</w:t>
      </w:r>
      <w:r>
        <w:rPr>
          <w:sz w:val="21"/>
        </w:rPr>
        <w:fldChar w:fldCharType="end"/>
      </w:r>
      <w:r>
        <w:rPr>
          <w:sz w:val="21"/>
        </w:rPr>
        <w:fldChar w:fldCharType="end"/>
      </w:r>
    </w:p>
    <w:p>
      <w:pPr>
        <w:pStyle w:val="17"/>
        <w:tabs>
          <w:tab w:val="right" w:leader="dot" w:pos="8494"/>
        </w:tabs>
        <w:spacing w:line="360" w:lineRule="exact"/>
        <w:rPr>
          <w:smallCaps w:val="0"/>
          <w:sz w:val="21"/>
          <w:szCs w:val="24"/>
        </w:rPr>
      </w:pPr>
      <w:r>
        <w:fldChar w:fldCharType="begin"/>
      </w:r>
      <w:r>
        <w:instrText xml:space="preserve"> HYPERLINK \l "_Toc504614044" </w:instrText>
      </w:r>
      <w:r>
        <w:fldChar w:fldCharType="separate"/>
      </w:r>
      <w:r>
        <w:rPr>
          <w:rStyle w:val="25"/>
          <w:rFonts w:hint="eastAsia"/>
          <w:sz w:val="21"/>
        </w:rPr>
        <w:t>前言</w:t>
      </w:r>
      <w:r>
        <w:rPr>
          <w:sz w:val="21"/>
        </w:rPr>
        <w:tab/>
      </w:r>
      <w:r>
        <w:rPr>
          <w:sz w:val="21"/>
        </w:rPr>
        <w:fldChar w:fldCharType="begin"/>
      </w:r>
      <w:r>
        <w:rPr>
          <w:sz w:val="21"/>
        </w:rPr>
        <w:instrText xml:space="preserve"> PAGEREF _Toc504614044 \h </w:instrText>
      </w:r>
      <w:r>
        <w:rPr>
          <w:sz w:val="21"/>
        </w:rPr>
        <w:fldChar w:fldCharType="separate"/>
      </w:r>
      <w:r>
        <w:rPr>
          <w:sz w:val="21"/>
        </w:rPr>
        <w:t>2</w:t>
      </w:r>
      <w:r>
        <w:rPr>
          <w:sz w:val="21"/>
        </w:rPr>
        <w:fldChar w:fldCharType="end"/>
      </w:r>
      <w:r>
        <w:rPr>
          <w:sz w:val="21"/>
        </w:rPr>
        <w:fldChar w:fldCharType="end"/>
      </w:r>
    </w:p>
    <w:p>
      <w:pPr>
        <w:pStyle w:val="14"/>
        <w:tabs>
          <w:tab w:val="right" w:leader="dot" w:pos="8494"/>
        </w:tabs>
        <w:spacing w:line="360" w:lineRule="exact"/>
        <w:rPr>
          <w:rFonts w:hint="eastAsia" w:eastAsia="宋体"/>
          <w:b w:val="0"/>
          <w:bCs w:val="0"/>
          <w:caps w:val="0"/>
          <w:sz w:val="21"/>
          <w:szCs w:val="24"/>
          <w:lang w:eastAsia="zh-CN"/>
        </w:rPr>
      </w:pPr>
      <w:r>
        <w:fldChar w:fldCharType="begin"/>
      </w:r>
      <w:r>
        <w:instrText xml:space="preserve"> HYPERLINK \l "_Toc504614045" </w:instrText>
      </w:r>
      <w:r>
        <w:fldChar w:fldCharType="separate"/>
      </w:r>
      <w:r>
        <w:rPr>
          <w:rStyle w:val="25"/>
          <w:rFonts w:hint="eastAsia" w:ascii="黑体" w:hAnsi="宋体"/>
          <w:sz w:val="21"/>
        </w:rPr>
        <w:t>第一部分</w:t>
      </w:r>
      <w:r>
        <w:rPr>
          <w:rStyle w:val="25"/>
          <w:rFonts w:ascii="黑体" w:hAnsi="宋体"/>
          <w:sz w:val="21"/>
        </w:rPr>
        <w:t xml:space="preserve"> </w:t>
      </w:r>
      <w:r>
        <w:rPr>
          <w:rStyle w:val="25"/>
          <w:rFonts w:hint="eastAsia" w:ascii="黑体" w:hAnsi="宋体"/>
          <w:sz w:val="21"/>
        </w:rPr>
        <w:t>：</w:t>
      </w:r>
      <w:r>
        <w:rPr>
          <w:rStyle w:val="25"/>
          <w:rFonts w:hint="eastAsia" w:ascii="黑体" w:hAnsi="宋体"/>
          <w:sz w:val="21"/>
          <w:lang w:val="en-US" w:eastAsia="zh-CN"/>
        </w:rPr>
        <w:t>2020</w:t>
      </w:r>
      <w:r>
        <w:rPr>
          <w:rStyle w:val="25"/>
          <w:rFonts w:hint="eastAsia" w:ascii="黑体" w:hAnsi="宋体"/>
          <w:sz w:val="21"/>
        </w:rPr>
        <w:t>届毕业生基本情况</w:t>
      </w:r>
      <w:r>
        <w:rPr>
          <w:b w:val="0"/>
          <w:sz w:val="21"/>
        </w:rPr>
        <w:tab/>
      </w:r>
      <w:r>
        <w:rPr>
          <w:b w:val="0"/>
          <w:sz w:val="21"/>
        </w:rPr>
        <w:fldChar w:fldCharType="end"/>
      </w:r>
      <w:r>
        <w:rPr>
          <w:rFonts w:hint="eastAsia"/>
          <w:b w:val="0"/>
          <w:sz w:val="21"/>
          <w:lang w:val="en-US" w:eastAsia="zh-CN"/>
        </w:rPr>
        <w:t>1</w:t>
      </w:r>
    </w:p>
    <w:p>
      <w:pPr>
        <w:pStyle w:val="17"/>
        <w:tabs>
          <w:tab w:val="left" w:pos="840"/>
          <w:tab w:val="right" w:leader="dot" w:pos="8494"/>
        </w:tabs>
        <w:spacing w:line="360" w:lineRule="exact"/>
        <w:rPr>
          <w:smallCaps w:val="0"/>
          <w:sz w:val="21"/>
          <w:szCs w:val="24"/>
        </w:rPr>
      </w:pPr>
      <w:r>
        <w:fldChar w:fldCharType="begin"/>
      </w:r>
      <w:r>
        <w:instrText xml:space="preserve"> HYPERLINK \l "_Toc504614046" </w:instrText>
      </w:r>
      <w:r>
        <w:fldChar w:fldCharType="separate"/>
      </w:r>
      <w:r>
        <w:rPr>
          <w:rStyle w:val="25"/>
          <w:rFonts w:hint="eastAsia"/>
          <w:sz w:val="21"/>
        </w:rPr>
        <w:t>一、</w:t>
      </w:r>
      <w:r>
        <w:rPr>
          <w:smallCaps w:val="0"/>
          <w:sz w:val="21"/>
          <w:szCs w:val="24"/>
        </w:rPr>
        <w:tab/>
      </w:r>
      <w:r>
        <w:rPr>
          <w:rStyle w:val="25"/>
          <w:rFonts w:hint="eastAsia"/>
          <w:sz w:val="21"/>
        </w:rPr>
        <w:t>基本规模</w:t>
      </w:r>
      <w:r>
        <w:rPr>
          <w:sz w:val="21"/>
        </w:rPr>
        <w:tab/>
      </w:r>
      <w:r>
        <w:rPr>
          <w:sz w:val="21"/>
        </w:rPr>
        <w:fldChar w:fldCharType="begin"/>
      </w:r>
      <w:r>
        <w:rPr>
          <w:sz w:val="21"/>
        </w:rPr>
        <w:instrText xml:space="preserve"> PAGEREF _Toc504614046 \h </w:instrText>
      </w:r>
      <w:r>
        <w:rPr>
          <w:sz w:val="21"/>
        </w:rPr>
        <w:fldChar w:fldCharType="separate"/>
      </w:r>
      <w:r>
        <w:rPr>
          <w:sz w:val="21"/>
        </w:rPr>
        <w:t>1</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"_Toc504614047" </w:instrText>
      </w:r>
      <w:r>
        <w:fldChar w:fldCharType="separate"/>
      </w:r>
      <w:r>
        <w:rPr>
          <w:rStyle w:val="25"/>
          <w:rFonts w:hint="eastAsia"/>
          <w:sz w:val="21"/>
        </w:rPr>
        <w:t>二、</w:t>
      </w:r>
      <w:r>
        <w:rPr>
          <w:smallCaps w:val="0"/>
          <w:sz w:val="21"/>
          <w:szCs w:val="24"/>
        </w:rPr>
        <w:tab/>
      </w:r>
      <w:r>
        <w:rPr>
          <w:rStyle w:val="25"/>
          <w:rFonts w:hint="eastAsia"/>
          <w:sz w:val="21"/>
        </w:rPr>
        <w:t>总体结构</w:t>
      </w:r>
      <w:r>
        <w:rPr>
          <w:sz w:val="21"/>
        </w:rPr>
        <w:tab/>
      </w:r>
      <w:r>
        <w:rPr>
          <w:sz w:val="21"/>
        </w:rPr>
        <w:fldChar w:fldCharType="begin"/>
      </w:r>
      <w:r>
        <w:rPr>
          <w:sz w:val="21"/>
        </w:rPr>
        <w:instrText xml:space="preserve"> PAGEREF _Toc504614047 \h </w:instrText>
      </w:r>
      <w:r>
        <w:rPr>
          <w:sz w:val="21"/>
        </w:rPr>
        <w:fldChar w:fldCharType="separate"/>
      </w:r>
      <w:r>
        <w:rPr>
          <w:sz w:val="21"/>
        </w:rPr>
        <w:t>1</w:t>
      </w:r>
      <w:r>
        <w:rPr>
          <w:sz w:val="21"/>
        </w:rPr>
        <w:fldChar w:fldCharType="end"/>
      </w:r>
      <w:r>
        <w:rPr>
          <w:sz w:val="21"/>
        </w:rPr>
        <w:fldChar w:fldCharType="end"/>
      </w:r>
    </w:p>
    <w:p>
      <w:pPr>
        <w:pStyle w:val="14"/>
        <w:tabs>
          <w:tab w:val="right" w:leader="dot" w:pos="8494"/>
        </w:tabs>
        <w:spacing w:line="360" w:lineRule="exact"/>
        <w:rPr>
          <w:b w:val="0"/>
          <w:bCs w:val="0"/>
          <w:caps w:val="0"/>
          <w:sz w:val="21"/>
          <w:szCs w:val="24"/>
        </w:rPr>
      </w:pPr>
      <w:r>
        <w:fldChar w:fldCharType="begin"/>
      </w:r>
      <w:r>
        <w:instrText xml:space="preserve"> HYPERLINK \l "_Toc504614048" </w:instrText>
      </w:r>
      <w:r>
        <w:fldChar w:fldCharType="separate"/>
      </w:r>
      <w:r>
        <w:rPr>
          <w:rStyle w:val="25"/>
          <w:rFonts w:hint="eastAsia" w:ascii="黑体"/>
          <w:sz w:val="21"/>
        </w:rPr>
        <w:t>第二部分</w:t>
      </w:r>
      <w:r>
        <w:rPr>
          <w:rStyle w:val="25"/>
          <w:rFonts w:ascii="黑体"/>
          <w:sz w:val="21"/>
        </w:rPr>
        <w:t xml:space="preserve"> </w:t>
      </w:r>
      <w:r>
        <w:rPr>
          <w:rStyle w:val="25"/>
          <w:rFonts w:hint="eastAsia" w:ascii="黑体"/>
          <w:sz w:val="21"/>
        </w:rPr>
        <w:t>：</w:t>
      </w:r>
      <w:r>
        <w:rPr>
          <w:rStyle w:val="25"/>
          <w:rFonts w:hint="eastAsia" w:ascii="黑体" w:hAnsi="宋体"/>
          <w:sz w:val="21"/>
          <w:lang w:val="en-US" w:eastAsia="zh-CN"/>
        </w:rPr>
        <w:t>2020</w:t>
      </w:r>
      <w:r>
        <w:rPr>
          <w:rStyle w:val="25"/>
          <w:rFonts w:hint="eastAsia" w:ascii="黑体"/>
          <w:sz w:val="21"/>
        </w:rPr>
        <w:t>届毕业生就业情况</w:t>
      </w:r>
      <w:r>
        <w:rPr>
          <w:b w:val="0"/>
          <w:sz w:val="21"/>
        </w:rPr>
        <w:tab/>
      </w:r>
      <w:r>
        <w:rPr>
          <w:b w:val="0"/>
          <w:sz w:val="21"/>
        </w:rPr>
        <w:fldChar w:fldCharType="begin"/>
      </w:r>
      <w:r>
        <w:rPr>
          <w:b w:val="0"/>
          <w:sz w:val="21"/>
        </w:rPr>
        <w:instrText xml:space="preserve"> PAGEREF _Toc504614048 \h </w:instrText>
      </w:r>
      <w:r>
        <w:rPr>
          <w:b w:val="0"/>
          <w:sz w:val="21"/>
        </w:rPr>
        <w:fldChar w:fldCharType="separate"/>
      </w:r>
      <w:r>
        <w:rPr>
          <w:b w:val="0"/>
          <w:sz w:val="21"/>
        </w:rPr>
        <w:t>5</w:t>
      </w:r>
      <w:r>
        <w:rPr>
          <w:b w:val="0"/>
          <w:sz w:val="21"/>
        </w:rPr>
        <w:fldChar w:fldCharType="end"/>
      </w:r>
      <w:r>
        <w:rPr>
          <w:b w:val="0"/>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"_Toc504614049" </w:instrText>
      </w:r>
      <w:r>
        <w:fldChar w:fldCharType="separate"/>
      </w:r>
      <w:r>
        <w:rPr>
          <w:rStyle w:val="25"/>
          <w:rFonts w:hint="eastAsia"/>
          <w:sz w:val="21"/>
        </w:rPr>
        <w:t>一、</w:t>
      </w:r>
      <w:r>
        <w:rPr>
          <w:smallCaps w:val="0"/>
          <w:sz w:val="21"/>
          <w:szCs w:val="24"/>
        </w:rPr>
        <w:tab/>
      </w:r>
      <w:r>
        <w:rPr>
          <w:rStyle w:val="25"/>
          <w:rFonts w:hint="eastAsia"/>
          <w:sz w:val="21"/>
        </w:rPr>
        <w:t>整体就业情况分析</w:t>
      </w:r>
      <w:r>
        <w:rPr>
          <w:sz w:val="21"/>
        </w:rPr>
        <w:tab/>
      </w:r>
      <w:r>
        <w:rPr>
          <w:sz w:val="21"/>
        </w:rPr>
        <w:fldChar w:fldCharType="begin"/>
      </w:r>
      <w:r>
        <w:rPr>
          <w:sz w:val="21"/>
        </w:rPr>
        <w:instrText xml:space="preserve"> PAGEREF _Toc504614049 \h </w:instrText>
      </w:r>
      <w:r>
        <w:rPr>
          <w:sz w:val="21"/>
        </w:rPr>
        <w:fldChar w:fldCharType="separate"/>
      </w:r>
      <w:r>
        <w:rPr>
          <w:sz w:val="21"/>
        </w:rPr>
        <w:t>5</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"_Toc504614050" </w:instrText>
      </w:r>
      <w:r>
        <w:fldChar w:fldCharType="separate"/>
      </w:r>
      <w:r>
        <w:rPr>
          <w:rStyle w:val="25"/>
          <w:rFonts w:hint="eastAsia"/>
          <w:sz w:val="21"/>
        </w:rPr>
        <w:t>二、</w:t>
      </w:r>
      <w:r>
        <w:rPr>
          <w:smallCaps w:val="0"/>
          <w:sz w:val="21"/>
          <w:szCs w:val="24"/>
        </w:rPr>
        <w:tab/>
      </w:r>
      <w:r>
        <w:rPr>
          <w:rStyle w:val="25"/>
          <w:rFonts w:hint="eastAsia"/>
          <w:sz w:val="21"/>
        </w:rPr>
        <w:t>毕业生就业结构分析</w:t>
      </w:r>
      <w:r>
        <w:rPr>
          <w:sz w:val="21"/>
        </w:rPr>
        <w:tab/>
      </w:r>
      <w:r>
        <w:rPr>
          <w:sz w:val="21"/>
        </w:rPr>
        <w:fldChar w:fldCharType="begin"/>
      </w:r>
      <w:r>
        <w:rPr>
          <w:sz w:val="21"/>
        </w:rPr>
        <w:instrText xml:space="preserve"> PAGEREF _Toc504614050 \h </w:instrText>
      </w:r>
      <w:r>
        <w:rPr>
          <w:sz w:val="21"/>
        </w:rPr>
        <w:fldChar w:fldCharType="separate"/>
      </w:r>
      <w:r>
        <w:rPr>
          <w:sz w:val="21"/>
        </w:rPr>
        <w:t>7</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"_Toc504614051" </w:instrText>
      </w:r>
      <w:r>
        <w:fldChar w:fldCharType="separate"/>
      </w:r>
      <w:r>
        <w:rPr>
          <w:rStyle w:val="25"/>
          <w:rFonts w:hint="eastAsia"/>
          <w:sz w:val="21"/>
        </w:rPr>
        <w:t>三、</w:t>
      </w:r>
      <w:r>
        <w:rPr>
          <w:smallCaps w:val="0"/>
          <w:sz w:val="21"/>
          <w:szCs w:val="24"/>
        </w:rPr>
        <w:tab/>
      </w:r>
      <w:r>
        <w:rPr>
          <w:rStyle w:val="25"/>
          <w:rFonts w:hint="eastAsia"/>
          <w:sz w:val="21"/>
        </w:rPr>
        <w:t>未就业毕业生情况说明</w:t>
      </w:r>
      <w:r>
        <w:rPr>
          <w:sz w:val="21"/>
        </w:rPr>
        <w:tab/>
      </w:r>
      <w:r>
        <w:rPr>
          <w:sz w:val="21"/>
        </w:rPr>
        <w:fldChar w:fldCharType="begin"/>
      </w:r>
      <w:r>
        <w:rPr>
          <w:sz w:val="21"/>
        </w:rPr>
        <w:instrText xml:space="preserve"> PAGEREF _Toc504614051 \h </w:instrText>
      </w:r>
      <w:r>
        <w:rPr>
          <w:sz w:val="21"/>
        </w:rPr>
        <w:fldChar w:fldCharType="separate"/>
      </w:r>
      <w:r>
        <w:rPr>
          <w:sz w:val="21"/>
        </w:rPr>
        <w:t>10</w:t>
      </w:r>
      <w:r>
        <w:rPr>
          <w:sz w:val="21"/>
        </w:rPr>
        <w:fldChar w:fldCharType="end"/>
      </w:r>
      <w:r>
        <w:rPr>
          <w:sz w:val="21"/>
        </w:rPr>
        <w:fldChar w:fldCharType="end"/>
      </w:r>
    </w:p>
    <w:p>
      <w:pPr>
        <w:pStyle w:val="14"/>
        <w:tabs>
          <w:tab w:val="right" w:leader="dot" w:pos="8494"/>
        </w:tabs>
        <w:spacing w:line="360" w:lineRule="exact"/>
        <w:rPr>
          <w:rFonts w:hint="default" w:eastAsia="宋体"/>
          <w:b w:val="0"/>
          <w:bCs w:val="0"/>
          <w:caps w:val="0"/>
          <w:sz w:val="21"/>
          <w:szCs w:val="24"/>
          <w:lang w:val="en-US" w:eastAsia="zh-CN"/>
        </w:rPr>
      </w:pPr>
      <w:r>
        <w:fldChar w:fldCharType="begin"/>
      </w:r>
      <w:r>
        <w:instrText xml:space="preserve"> HYPERLINK \l "_Toc504614052" </w:instrText>
      </w:r>
      <w:r>
        <w:fldChar w:fldCharType="separate"/>
      </w:r>
      <w:r>
        <w:rPr>
          <w:rStyle w:val="25"/>
          <w:rFonts w:hint="eastAsia" w:ascii="黑体"/>
          <w:sz w:val="21"/>
        </w:rPr>
        <w:t>第三部分</w:t>
      </w:r>
      <w:r>
        <w:rPr>
          <w:rStyle w:val="25"/>
          <w:rFonts w:ascii="黑体"/>
          <w:sz w:val="21"/>
        </w:rPr>
        <w:t xml:space="preserve"> </w:t>
      </w:r>
      <w:r>
        <w:rPr>
          <w:rStyle w:val="25"/>
          <w:rFonts w:hint="eastAsia" w:ascii="黑体"/>
          <w:sz w:val="21"/>
        </w:rPr>
        <w:t>：毕业生就业质量分析</w:t>
      </w:r>
      <w:r>
        <w:rPr>
          <w:b w:val="0"/>
          <w:sz w:val="21"/>
        </w:rPr>
        <w:tab/>
      </w:r>
      <w:r>
        <w:rPr>
          <w:b w:val="0"/>
          <w:sz w:val="21"/>
        </w:rPr>
        <w:fldChar w:fldCharType="end"/>
      </w:r>
      <w:r>
        <w:rPr>
          <w:rFonts w:hint="eastAsia"/>
          <w:b w:val="0"/>
          <w:sz w:val="21"/>
          <w:lang w:val="en-US" w:eastAsia="zh-CN"/>
        </w:rPr>
        <w:t>12</w:t>
      </w:r>
    </w:p>
    <w:p>
      <w:pPr>
        <w:pStyle w:val="17"/>
        <w:tabs>
          <w:tab w:val="left" w:pos="840"/>
          <w:tab w:val="right" w:leader="dot" w:pos="8494"/>
        </w:tabs>
        <w:spacing w:line="360" w:lineRule="exact"/>
        <w:rPr>
          <w:smallCaps w:val="0"/>
          <w:sz w:val="21"/>
          <w:szCs w:val="24"/>
        </w:rPr>
      </w:pPr>
      <w:r>
        <w:fldChar w:fldCharType="begin"/>
      </w:r>
      <w:r>
        <w:instrText xml:space="preserve"> HYPERLINK \l "_Toc504614053" </w:instrText>
      </w:r>
      <w:r>
        <w:fldChar w:fldCharType="separate"/>
      </w:r>
      <w:r>
        <w:rPr>
          <w:rStyle w:val="25"/>
          <w:rFonts w:hint="eastAsia"/>
          <w:sz w:val="21"/>
        </w:rPr>
        <w:t>一、</w:t>
      </w:r>
      <w:r>
        <w:rPr>
          <w:smallCaps w:val="0"/>
          <w:sz w:val="21"/>
          <w:szCs w:val="24"/>
        </w:rPr>
        <w:tab/>
      </w:r>
      <w:r>
        <w:rPr>
          <w:rStyle w:val="25"/>
          <w:rFonts w:hint="eastAsia"/>
          <w:sz w:val="21"/>
        </w:rPr>
        <w:t>就业质量分析</w:t>
      </w:r>
      <w:r>
        <w:rPr>
          <w:sz w:val="21"/>
        </w:rPr>
        <w:tab/>
      </w:r>
      <w:r>
        <w:rPr>
          <w:sz w:val="21"/>
        </w:rPr>
        <w:fldChar w:fldCharType="begin"/>
      </w:r>
      <w:r>
        <w:rPr>
          <w:sz w:val="21"/>
        </w:rPr>
        <w:instrText xml:space="preserve"> PAGEREF _Toc504614053 \h </w:instrText>
      </w:r>
      <w:r>
        <w:rPr>
          <w:sz w:val="21"/>
        </w:rPr>
        <w:fldChar w:fldCharType="separate"/>
      </w:r>
      <w:r>
        <w:rPr>
          <w:sz w:val="21"/>
        </w:rPr>
        <w:t>12</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"_Toc504614054" </w:instrText>
      </w:r>
      <w:r>
        <w:fldChar w:fldCharType="separate"/>
      </w:r>
      <w:r>
        <w:rPr>
          <w:rStyle w:val="25"/>
          <w:rFonts w:hint="eastAsia"/>
          <w:sz w:val="21"/>
        </w:rPr>
        <w:t>二、</w:t>
      </w:r>
      <w:r>
        <w:rPr>
          <w:smallCaps w:val="0"/>
          <w:sz w:val="21"/>
          <w:szCs w:val="24"/>
        </w:rPr>
        <w:tab/>
      </w:r>
      <w:r>
        <w:rPr>
          <w:rStyle w:val="25"/>
          <w:rFonts w:hint="eastAsia"/>
          <w:sz w:val="21"/>
        </w:rPr>
        <w:t>就业质量评价</w:t>
      </w:r>
      <w:r>
        <w:rPr>
          <w:sz w:val="21"/>
        </w:rPr>
        <w:tab/>
      </w:r>
      <w:r>
        <w:rPr>
          <w:sz w:val="21"/>
        </w:rPr>
        <w:fldChar w:fldCharType="begin"/>
      </w:r>
      <w:r>
        <w:rPr>
          <w:sz w:val="21"/>
        </w:rPr>
        <w:instrText xml:space="preserve"> PAGEREF _Toc504614054 \h </w:instrText>
      </w:r>
      <w:r>
        <w:rPr>
          <w:sz w:val="21"/>
        </w:rPr>
        <w:fldChar w:fldCharType="separate"/>
      </w:r>
      <w:r>
        <w:rPr>
          <w:sz w:val="21"/>
        </w:rPr>
        <w:t>16</w:t>
      </w:r>
      <w:r>
        <w:rPr>
          <w:sz w:val="21"/>
        </w:rPr>
        <w:fldChar w:fldCharType="end"/>
      </w:r>
      <w:r>
        <w:rPr>
          <w:sz w:val="21"/>
        </w:rPr>
        <w:fldChar w:fldCharType="end"/>
      </w:r>
    </w:p>
    <w:p>
      <w:pPr>
        <w:pStyle w:val="14"/>
        <w:tabs>
          <w:tab w:val="right" w:leader="dot" w:pos="8494"/>
        </w:tabs>
        <w:spacing w:line="360" w:lineRule="exact"/>
        <w:rPr>
          <w:b w:val="0"/>
          <w:bCs w:val="0"/>
          <w:caps w:val="0"/>
          <w:sz w:val="21"/>
          <w:szCs w:val="24"/>
        </w:rPr>
      </w:pPr>
      <w:r>
        <w:fldChar w:fldCharType="begin"/>
      </w:r>
      <w:r>
        <w:instrText xml:space="preserve"> HYPERLINK \l "_Toc504614055" </w:instrText>
      </w:r>
      <w:r>
        <w:fldChar w:fldCharType="separate"/>
      </w:r>
      <w:r>
        <w:rPr>
          <w:rStyle w:val="25"/>
          <w:rFonts w:hint="eastAsia" w:ascii="黑体"/>
          <w:sz w:val="21"/>
        </w:rPr>
        <w:t>第四部分</w:t>
      </w:r>
      <w:r>
        <w:rPr>
          <w:rStyle w:val="25"/>
          <w:rFonts w:ascii="黑体"/>
          <w:sz w:val="21"/>
        </w:rPr>
        <w:t xml:space="preserve"> </w:t>
      </w:r>
      <w:r>
        <w:rPr>
          <w:rStyle w:val="25"/>
          <w:rFonts w:hint="eastAsia" w:ascii="黑体"/>
          <w:sz w:val="21"/>
        </w:rPr>
        <w:t>：毕业生就业趋势分析</w:t>
      </w:r>
      <w:r>
        <w:rPr>
          <w:b w:val="0"/>
          <w:sz w:val="21"/>
        </w:rPr>
        <w:tab/>
      </w:r>
      <w:r>
        <w:rPr>
          <w:b w:val="0"/>
          <w:sz w:val="21"/>
        </w:rPr>
        <w:fldChar w:fldCharType="begin"/>
      </w:r>
      <w:r>
        <w:rPr>
          <w:b w:val="0"/>
          <w:sz w:val="21"/>
        </w:rPr>
        <w:instrText xml:space="preserve"> PAGEREF _Toc504614055 \h </w:instrText>
      </w:r>
      <w:r>
        <w:rPr>
          <w:b w:val="0"/>
          <w:sz w:val="21"/>
        </w:rPr>
        <w:fldChar w:fldCharType="separate"/>
      </w:r>
      <w:r>
        <w:rPr>
          <w:b w:val="0"/>
          <w:sz w:val="21"/>
        </w:rPr>
        <w:t>18</w:t>
      </w:r>
      <w:r>
        <w:rPr>
          <w:b w:val="0"/>
          <w:sz w:val="21"/>
        </w:rPr>
        <w:fldChar w:fldCharType="end"/>
      </w:r>
      <w:r>
        <w:rPr>
          <w:b w:val="0"/>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"_Toc504614056" </w:instrText>
      </w:r>
      <w:r>
        <w:fldChar w:fldCharType="separate"/>
      </w:r>
      <w:r>
        <w:rPr>
          <w:rStyle w:val="25"/>
          <w:rFonts w:hint="eastAsia" w:ascii="宋体" w:hAnsi="宋体"/>
          <w:sz w:val="21"/>
        </w:rPr>
        <w:t>一、</w:t>
      </w:r>
      <w:r>
        <w:rPr>
          <w:smallCaps w:val="0"/>
          <w:sz w:val="21"/>
          <w:szCs w:val="24"/>
        </w:rPr>
        <w:tab/>
      </w:r>
      <w:r>
        <w:rPr>
          <w:rStyle w:val="25"/>
          <w:rFonts w:hint="eastAsia" w:ascii="宋体" w:hAnsi="宋体"/>
          <w:sz w:val="21"/>
        </w:rPr>
        <w:t>规模变化情况</w:t>
      </w:r>
      <w:r>
        <w:rPr>
          <w:sz w:val="21"/>
        </w:rPr>
        <w:tab/>
      </w:r>
      <w:r>
        <w:rPr>
          <w:sz w:val="21"/>
        </w:rPr>
        <w:fldChar w:fldCharType="begin"/>
      </w:r>
      <w:r>
        <w:rPr>
          <w:sz w:val="21"/>
        </w:rPr>
        <w:instrText xml:space="preserve"> PAGEREF _Toc504614056 \h </w:instrText>
      </w:r>
      <w:r>
        <w:rPr>
          <w:sz w:val="21"/>
        </w:rPr>
        <w:fldChar w:fldCharType="separate"/>
      </w:r>
      <w:r>
        <w:rPr>
          <w:sz w:val="21"/>
        </w:rPr>
        <w:t>18</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"_Toc504614057" </w:instrText>
      </w:r>
      <w:r>
        <w:fldChar w:fldCharType="separate"/>
      </w:r>
      <w:r>
        <w:rPr>
          <w:rStyle w:val="25"/>
          <w:rFonts w:hint="eastAsia" w:ascii="宋体" w:hAnsi="宋体"/>
          <w:sz w:val="21"/>
        </w:rPr>
        <w:t>二、</w:t>
      </w:r>
      <w:r>
        <w:rPr>
          <w:smallCaps w:val="0"/>
          <w:sz w:val="21"/>
          <w:szCs w:val="24"/>
        </w:rPr>
        <w:tab/>
      </w:r>
      <w:r>
        <w:rPr>
          <w:rStyle w:val="25"/>
          <w:rFonts w:hint="eastAsia" w:ascii="宋体" w:hAnsi="宋体"/>
          <w:sz w:val="21"/>
        </w:rPr>
        <w:t>就业率变化情况</w:t>
      </w:r>
      <w:r>
        <w:rPr>
          <w:sz w:val="21"/>
        </w:rPr>
        <w:tab/>
      </w:r>
      <w:r>
        <w:rPr>
          <w:sz w:val="21"/>
        </w:rPr>
        <w:fldChar w:fldCharType="begin"/>
      </w:r>
      <w:r>
        <w:rPr>
          <w:sz w:val="21"/>
        </w:rPr>
        <w:instrText xml:space="preserve"> PAGEREF _Toc504614057 \h </w:instrText>
      </w:r>
      <w:r>
        <w:rPr>
          <w:sz w:val="21"/>
        </w:rPr>
        <w:fldChar w:fldCharType="separate"/>
      </w:r>
      <w:r>
        <w:rPr>
          <w:sz w:val="21"/>
        </w:rPr>
        <w:t>19</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"_Toc504614058" </w:instrText>
      </w:r>
      <w:r>
        <w:fldChar w:fldCharType="separate"/>
      </w:r>
      <w:r>
        <w:rPr>
          <w:rStyle w:val="25"/>
          <w:rFonts w:hint="eastAsia" w:ascii="宋体" w:hAnsi="宋体"/>
          <w:sz w:val="21"/>
        </w:rPr>
        <w:t>三、</w:t>
      </w:r>
      <w:r>
        <w:rPr>
          <w:smallCaps w:val="0"/>
          <w:sz w:val="21"/>
          <w:szCs w:val="24"/>
        </w:rPr>
        <w:tab/>
      </w:r>
      <w:r>
        <w:rPr>
          <w:rStyle w:val="25"/>
          <w:rFonts w:hint="eastAsia" w:ascii="宋体" w:hAnsi="宋体"/>
          <w:sz w:val="21"/>
        </w:rPr>
        <w:t>就业结构变化情况</w:t>
      </w:r>
      <w:r>
        <w:rPr>
          <w:sz w:val="21"/>
        </w:rPr>
        <w:tab/>
      </w:r>
      <w:r>
        <w:rPr>
          <w:sz w:val="21"/>
        </w:rPr>
        <w:fldChar w:fldCharType="begin"/>
      </w:r>
      <w:r>
        <w:rPr>
          <w:sz w:val="21"/>
        </w:rPr>
        <w:instrText xml:space="preserve"> PAGEREF _Toc504614058 \h </w:instrText>
      </w:r>
      <w:r>
        <w:rPr>
          <w:sz w:val="21"/>
        </w:rPr>
        <w:fldChar w:fldCharType="separate"/>
      </w:r>
      <w:r>
        <w:rPr>
          <w:sz w:val="21"/>
        </w:rPr>
        <w:t>22</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"_Toc504614059" </w:instrText>
      </w:r>
      <w:r>
        <w:fldChar w:fldCharType="separate"/>
      </w:r>
      <w:r>
        <w:rPr>
          <w:rStyle w:val="25"/>
          <w:rFonts w:hint="eastAsia" w:ascii="宋体" w:hAnsi="宋体"/>
          <w:sz w:val="21"/>
        </w:rPr>
        <w:t>四、</w:t>
      </w:r>
      <w:r>
        <w:rPr>
          <w:smallCaps w:val="0"/>
          <w:sz w:val="21"/>
          <w:szCs w:val="24"/>
        </w:rPr>
        <w:tab/>
      </w:r>
      <w:r>
        <w:rPr>
          <w:rStyle w:val="25"/>
          <w:rFonts w:hint="eastAsia" w:ascii="宋体" w:hAnsi="宋体"/>
          <w:sz w:val="21"/>
        </w:rPr>
        <w:t>就业质量变化情况</w:t>
      </w:r>
      <w:r>
        <w:rPr>
          <w:sz w:val="21"/>
        </w:rPr>
        <w:tab/>
      </w:r>
      <w:r>
        <w:rPr>
          <w:sz w:val="21"/>
        </w:rPr>
        <w:fldChar w:fldCharType="begin"/>
      </w:r>
      <w:r>
        <w:rPr>
          <w:sz w:val="21"/>
        </w:rPr>
        <w:instrText xml:space="preserve"> PAGEREF _Toc504614059 \h </w:instrText>
      </w:r>
      <w:r>
        <w:rPr>
          <w:sz w:val="21"/>
        </w:rPr>
        <w:fldChar w:fldCharType="separate"/>
      </w:r>
      <w:r>
        <w:rPr>
          <w:b/>
        </w:rPr>
        <w:t>错误！未定义书签。</w:t>
      </w:r>
      <w:r>
        <w:rPr>
          <w:sz w:val="21"/>
        </w:rPr>
        <w:fldChar w:fldCharType="end"/>
      </w:r>
      <w:r>
        <w:rPr>
          <w:sz w:val="21"/>
        </w:rPr>
        <w:fldChar w:fldCharType="end"/>
      </w:r>
    </w:p>
    <w:p>
      <w:pPr>
        <w:pStyle w:val="14"/>
        <w:tabs>
          <w:tab w:val="right" w:leader="dot" w:pos="8494"/>
        </w:tabs>
        <w:spacing w:line="360" w:lineRule="exact"/>
        <w:rPr>
          <w:b w:val="0"/>
          <w:bCs w:val="0"/>
          <w:caps w:val="0"/>
          <w:sz w:val="21"/>
          <w:szCs w:val="24"/>
        </w:rPr>
      </w:pPr>
      <w:r>
        <w:fldChar w:fldCharType="begin"/>
      </w:r>
      <w:r>
        <w:instrText xml:space="preserve"> HYPERLINK \l "_Toc504614060" </w:instrText>
      </w:r>
      <w:r>
        <w:fldChar w:fldCharType="separate"/>
      </w:r>
      <w:r>
        <w:rPr>
          <w:rStyle w:val="25"/>
          <w:rFonts w:hint="eastAsia" w:ascii="黑体"/>
          <w:sz w:val="21"/>
        </w:rPr>
        <w:t>第五部分</w:t>
      </w:r>
      <w:r>
        <w:rPr>
          <w:rStyle w:val="25"/>
          <w:rFonts w:ascii="黑体"/>
          <w:sz w:val="21"/>
        </w:rPr>
        <w:t xml:space="preserve"> </w:t>
      </w:r>
      <w:r>
        <w:rPr>
          <w:rStyle w:val="25"/>
          <w:rFonts w:hint="eastAsia" w:ascii="黑体"/>
          <w:sz w:val="21"/>
        </w:rPr>
        <w:t>：对教育教学的反馈</w:t>
      </w:r>
      <w:r>
        <w:rPr>
          <w:b w:val="0"/>
          <w:sz w:val="21"/>
        </w:rPr>
        <w:tab/>
      </w:r>
      <w:r>
        <w:rPr>
          <w:b w:val="0"/>
          <w:sz w:val="21"/>
        </w:rPr>
        <w:fldChar w:fldCharType="begin"/>
      </w:r>
      <w:r>
        <w:rPr>
          <w:b w:val="0"/>
          <w:sz w:val="21"/>
        </w:rPr>
        <w:instrText xml:space="preserve"> PAGEREF _Toc504614060 \h </w:instrText>
      </w:r>
      <w:r>
        <w:rPr>
          <w:b w:val="0"/>
          <w:sz w:val="21"/>
        </w:rPr>
        <w:fldChar w:fldCharType="separate"/>
      </w:r>
      <w:r>
        <w:rPr>
          <w:b w:val="0"/>
          <w:sz w:val="21"/>
        </w:rPr>
        <w:t>25</w:t>
      </w:r>
      <w:r>
        <w:rPr>
          <w:b w:val="0"/>
          <w:sz w:val="21"/>
        </w:rPr>
        <w:fldChar w:fldCharType="end"/>
      </w:r>
      <w:r>
        <w:rPr>
          <w:b w:val="0"/>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"_Toc504614061" </w:instrText>
      </w:r>
      <w:r>
        <w:fldChar w:fldCharType="separate"/>
      </w:r>
      <w:r>
        <w:rPr>
          <w:rStyle w:val="25"/>
          <w:rFonts w:hint="eastAsia"/>
          <w:sz w:val="21"/>
        </w:rPr>
        <w:t>一、</w:t>
      </w:r>
      <w:r>
        <w:rPr>
          <w:smallCaps w:val="0"/>
          <w:sz w:val="21"/>
          <w:szCs w:val="24"/>
        </w:rPr>
        <w:tab/>
      </w:r>
      <w:r>
        <w:rPr>
          <w:rStyle w:val="25"/>
          <w:rFonts w:hint="eastAsia" w:ascii="宋体" w:hAnsi="宋体"/>
          <w:sz w:val="21"/>
        </w:rPr>
        <w:t>动态调整招生计划及专业结构</w:t>
      </w:r>
      <w:r>
        <w:rPr>
          <w:sz w:val="21"/>
        </w:rPr>
        <w:tab/>
      </w:r>
      <w:r>
        <w:rPr>
          <w:sz w:val="21"/>
        </w:rPr>
        <w:fldChar w:fldCharType="begin"/>
      </w:r>
      <w:r>
        <w:rPr>
          <w:sz w:val="21"/>
        </w:rPr>
        <w:instrText xml:space="preserve"> PAGEREF _Toc504614061 \h </w:instrText>
      </w:r>
      <w:r>
        <w:rPr>
          <w:sz w:val="21"/>
        </w:rPr>
        <w:fldChar w:fldCharType="separate"/>
      </w:r>
      <w:r>
        <w:rPr>
          <w:b/>
        </w:rPr>
        <w:t>错误！未定义书签。</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"_Toc504614062" </w:instrText>
      </w:r>
      <w:r>
        <w:fldChar w:fldCharType="separate"/>
      </w:r>
      <w:r>
        <w:rPr>
          <w:rStyle w:val="25"/>
          <w:rFonts w:hint="eastAsia"/>
          <w:sz w:val="21"/>
        </w:rPr>
        <w:t>二、</w:t>
      </w:r>
      <w:r>
        <w:rPr>
          <w:smallCaps w:val="0"/>
          <w:sz w:val="21"/>
          <w:szCs w:val="24"/>
        </w:rPr>
        <w:tab/>
      </w:r>
      <w:r>
        <w:rPr>
          <w:rStyle w:val="25"/>
          <w:rFonts w:hint="eastAsia" w:ascii="宋体" w:hAnsi="宋体"/>
          <w:sz w:val="21"/>
        </w:rPr>
        <w:t>优化人才培养模式与体系</w:t>
      </w:r>
      <w:r>
        <w:rPr>
          <w:sz w:val="21"/>
        </w:rPr>
        <w:tab/>
      </w:r>
      <w:r>
        <w:rPr>
          <w:sz w:val="21"/>
        </w:rPr>
        <w:fldChar w:fldCharType="begin"/>
      </w:r>
      <w:r>
        <w:rPr>
          <w:sz w:val="21"/>
        </w:rPr>
        <w:instrText xml:space="preserve"> PAGEREF _Toc504614062 \h </w:instrText>
      </w:r>
      <w:r>
        <w:rPr>
          <w:sz w:val="21"/>
        </w:rPr>
        <w:fldChar w:fldCharType="separate"/>
      </w:r>
      <w:r>
        <w:rPr>
          <w:sz w:val="21"/>
        </w:rPr>
        <w:t>25</w:t>
      </w:r>
      <w:r>
        <w:rPr>
          <w:sz w:val="21"/>
        </w:rPr>
        <w:fldChar w:fldCharType="end"/>
      </w:r>
      <w:r>
        <w:rPr>
          <w:sz w:val="21"/>
        </w:rPr>
        <w:fldChar w:fldCharType="end"/>
      </w:r>
    </w:p>
    <w:p>
      <w:pPr>
        <w:pStyle w:val="14"/>
        <w:tabs>
          <w:tab w:val="right" w:leader="dot" w:pos="8494"/>
        </w:tabs>
        <w:spacing w:line="360" w:lineRule="exact"/>
        <w:rPr>
          <w:b w:val="0"/>
          <w:bCs w:val="0"/>
          <w:caps w:val="0"/>
          <w:sz w:val="21"/>
          <w:szCs w:val="24"/>
        </w:rPr>
      </w:pPr>
      <w:r>
        <w:fldChar w:fldCharType="begin"/>
      </w:r>
      <w:r>
        <w:instrText xml:space="preserve"> HYPERLINK \l "_Toc504614063" </w:instrText>
      </w:r>
      <w:r>
        <w:fldChar w:fldCharType="separate"/>
      </w:r>
      <w:r>
        <w:rPr>
          <w:rStyle w:val="25"/>
          <w:rFonts w:hint="eastAsia" w:ascii="黑体"/>
          <w:sz w:val="21"/>
        </w:rPr>
        <w:t>第六部分</w:t>
      </w:r>
      <w:r>
        <w:rPr>
          <w:rStyle w:val="25"/>
          <w:rFonts w:ascii="黑体"/>
          <w:sz w:val="21"/>
        </w:rPr>
        <w:t xml:space="preserve"> </w:t>
      </w:r>
      <w:r>
        <w:rPr>
          <w:rStyle w:val="25"/>
          <w:rFonts w:hint="eastAsia" w:ascii="黑体"/>
          <w:sz w:val="21"/>
        </w:rPr>
        <w:t>：</w:t>
      </w:r>
      <w:r>
        <w:rPr>
          <w:rStyle w:val="25"/>
          <w:rFonts w:hint="eastAsia" w:ascii="黑体" w:hAnsi="宋体"/>
          <w:sz w:val="21"/>
          <w:lang w:val="en-US" w:eastAsia="zh-CN"/>
        </w:rPr>
        <w:t>2020</w:t>
      </w:r>
      <w:r>
        <w:rPr>
          <w:rStyle w:val="25"/>
          <w:rFonts w:hint="eastAsia" w:ascii="黑体"/>
          <w:sz w:val="21"/>
        </w:rPr>
        <w:t>年毕业生就业工作内容</w:t>
      </w:r>
      <w:r>
        <w:rPr>
          <w:b w:val="0"/>
          <w:sz w:val="21"/>
        </w:rPr>
        <w:tab/>
      </w:r>
      <w:r>
        <w:rPr>
          <w:b w:val="0"/>
          <w:sz w:val="21"/>
        </w:rPr>
        <w:fldChar w:fldCharType="begin"/>
      </w:r>
      <w:r>
        <w:rPr>
          <w:b w:val="0"/>
          <w:sz w:val="21"/>
        </w:rPr>
        <w:instrText xml:space="preserve"> PAGEREF _Toc504614063 \h </w:instrText>
      </w:r>
      <w:r>
        <w:rPr>
          <w:b w:val="0"/>
          <w:sz w:val="21"/>
        </w:rPr>
        <w:fldChar w:fldCharType="separate"/>
      </w:r>
      <w:r>
        <w:rPr>
          <w:b w:val="0"/>
          <w:sz w:val="21"/>
        </w:rPr>
        <w:t>27</w:t>
      </w:r>
      <w:r>
        <w:rPr>
          <w:b w:val="0"/>
          <w:sz w:val="21"/>
        </w:rPr>
        <w:fldChar w:fldCharType="end"/>
      </w:r>
      <w:r>
        <w:rPr>
          <w:b w:val="0"/>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"_Toc504614064" </w:instrText>
      </w:r>
      <w:r>
        <w:fldChar w:fldCharType="separate"/>
      </w:r>
      <w:r>
        <w:rPr>
          <w:rStyle w:val="25"/>
          <w:rFonts w:hint="eastAsia"/>
          <w:sz w:val="21"/>
        </w:rPr>
        <w:t>一、</w:t>
      </w:r>
      <w:r>
        <w:rPr>
          <w:smallCaps w:val="0"/>
          <w:sz w:val="21"/>
          <w:szCs w:val="24"/>
        </w:rPr>
        <w:tab/>
      </w:r>
      <w:r>
        <w:rPr>
          <w:rStyle w:val="25"/>
          <w:rFonts w:hint="eastAsia" w:ascii="宋体" w:hAnsi="宋体"/>
          <w:sz w:val="21"/>
        </w:rPr>
        <w:t>坚持进一步深化机制、制度建设</w:t>
      </w:r>
      <w:r>
        <w:rPr>
          <w:sz w:val="21"/>
        </w:rPr>
        <w:tab/>
      </w:r>
      <w:r>
        <w:rPr>
          <w:sz w:val="21"/>
        </w:rPr>
        <w:fldChar w:fldCharType="begin"/>
      </w:r>
      <w:r>
        <w:rPr>
          <w:sz w:val="21"/>
        </w:rPr>
        <w:instrText xml:space="preserve"> PAGEREF _Toc504614064 \h </w:instrText>
      </w:r>
      <w:r>
        <w:rPr>
          <w:sz w:val="21"/>
        </w:rPr>
        <w:fldChar w:fldCharType="separate"/>
      </w:r>
      <w:r>
        <w:rPr>
          <w:sz w:val="21"/>
        </w:rPr>
        <w:t>28</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"_Toc504614065" </w:instrText>
      </w:r>
      <w:r>
        <w:fldChar w:fldCharType="separate"/>
      </w:r>
      <w:r>
        <w:rPr>
          <w:rStyle w:val="25"/>
          <w:rFonts w:hint="eastAsia"/>
          <w:sz w:val="21"/>
        </w:rPr>
        <w:t>二、</w:t>
      </w:r>
      <w:r>
        <w:rPr>
          <w:smallCaps w:val="0"/>
          <w:sz w:val="21"/>
          <w:szCs w:val="24"/>
        </w:rPr>
        <w:tab/>
      </w:r>
      <w:r>
        <w:rPr>
          <w:rStyle w:val="25"/>
          <w:rFonts w:hint="eastAsia" w:ascii="宋体" w:hAnsi="宋体"/>
          <w:sz w:val="21"/>
        </w:rPr>
        <w:t>坚持完善就业指导体系建设</w:t>
      </w:r>
      <w:r>
        <w:rPr>
          <w:sz w:val="21"/>
        </w:rPr>
        <w:tab/>
      </w:r>
      <w:r>
        <w:rPr>
          <w:sz w:val="21"/>
        </w:rPr>
        <w:fldChar w:fldCharType="begin"/>
      </w:r>
      <w:r>
        <w:rPr>
          <w:sz w:val="21"/>
        </w:rPr>
        <w:instrText xml:space="preserve"> PAGEREF _Toc504614065 \h </w:instrText>
      </w:r>
      <w:r>
        <w:rPr>
          <w:sz w:val="21"/>
        </w:rPr>
        <w:fldChar w:fldCharType="separate"/>
      </w:r>
      <w:r>
        <w:rPr>
          <w:sz w:val="21"/>
        </w:rPr>
        <w:t>30</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"_Toc504614066" </w:instrText>
      </w:r>
      <w:r>
        <w:fldChar w:fldCharType="separate"/>
      </w:r>
      <w:r>
        <w:rPr>
          <w:rStyle w:val="25"/>
          <w:rFonts w:hint="eastAsia"/>
          <w:sz w:val="21"/>
        </w:rPr>
        <w:t>三、</w:t>
      </w:r>
      <w:r>
        <w:rPr>
          <w:smallCaps w:val="0"/>
          <w:sz w:val="21"/>
          <w:szCs w:val="24"/>
        </w:rPr>
        <w:tab/>
      </w:r>
      <w:r>
        <w:rPr>
          <w:rStyle w:val="25"/>
          <w:rFonts w:hint="eastAsia" w:ascii="宋体" w:hAnsi="宋体"/>
          <w:sz w:val="21"/>
        </w:rPr>
        <w:t>坚持深入拓展就业市场</w:t>
      </w:r>
      <w:r>
        <w:rPr>
          <w:sz w:val="21"/>
        </w:rPr>
        <w:tab/>
      </w:r>
      <w:r>
        <w:rPr>
          <w:sz w:val="21"/>
        </w:rPr>
        <w:fldChar w:fldCharType="begin"/>
      </w:r>
      <w:r>
        <w:rPr>
          <w:sz w:val="21"/>
        </w:rPr>
        <w:instrText xml:space="preserve"> PAGEREF _Toc504614066 \h </w:instrText>
      </w:r>
      <w:r>
        <w:rPr>
          <w:sz w:val="21"/>
        </w:rPr>
        <w:fldChar w:fldCharType="separate"/>
      </w:r>
      <w:r>
        <w:rPr>
          <w:sz w:val="21"/>
        </w:rPr>
        <w:t>32</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"_Toc504614067" </w:instrText>
      </w:r>
      <w:r>
        <w:fldChar w:fldCharType="separate"/>
      </w:r>
      <w:r>
        <w:rPr>
          <w:rStyle w:val="25"/>
          <w:rFonts w:hint="eastAsia"/>
          <w:sz w:val="21"/>
        </w:rPr>
        <w:t>四、</w:t>
      </w:r>
      <w:r>
        <w:rPr>
          <w:smallCaps w:val="0"/>
          <w:sz w:val="21"/>
          <w:szCs w:val="24"/>
        </w:rPr>
        <w:tab/>
      </w:r>
      <w:r>
        <w:rPr>
          <w:rStyle w:val="25"/>
          <w:rFonts w:hint="eastAsia" w:ascii="宋体" w:hAnsi="宋体"/>
          <w:sz w:val="21"/>
        </w:rPr>
        <w:t>坚持鼓励基层就业</w:t>
      </w:r>
      <w:r>
        <w:rPr>
          <w:sz w:val="21"/>
        </w:rPr>
        <w:tab/>
      </w:r>
      <w:r>
        <w:rPr>
          <w:sz w:val="21"/>
        </w:rPr>
        <w:fldChar w:fldCharType="begin"/>
      </w:r>
      <w:r>
        <w:rPr>
          <w:sz w:val="21"/>
        </w:rPr>
        <w:instrText xml:space="preserve"> PAGEREF _Toc504614067 \h </w:instrText>
      </w:r>
      <w:r>
        <w:rPr>
          <w:sz w:val="21"/>
        </w:rPr>
        <w:fldChar w:fldCharType="separate"/>
      </w:r>
      <w:r>
        <w:rPr>
          <w:sz w:val="21"/>
        </w:rPr>
        <w:t>36</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"_Toc504614068" </w:instrText>
      </w:r>
      <w:r>
        <w:fldChar w:fldCharType="separate"/>
      </w:r>
      <w:r>
        <w:rPr>
          <w:rStyle w:val="25"/>
          <w:rFonts w:hint="eastAsia"/>
          <w:sz w:val="21"/>
        </w:rPr>
        <w:t>五、</w:t>
      </w:r>
      <w:r>
        <w:rPr>
          <w:smallCaps w:val="0"/>
          <w:sz w:val="21"/>
          <w:szCs w:val="24"/>
        </w:rPr>
        <w:tab/>
      </w:r>
      <w:r>
        <w:rPr>
          <w:rStyle w:val="25"/>
          <w:rFonts w:hint="eastAsia" w:ascii="宋体" w:hAnsi="宋体"/>
          <w:sz w:val="21"/>
        </w:rPr>
        <w:t>坚持推进创新创业教育及服务体系</w:t>
      </w:r>
      <w:r>
        <w:rPr>
          <w:sz w:val="21"/>
        </w:rPr>
        <w:tab/>
      </w:r>
      <w:r>
        <w:rPr>
          <w:sz w:val="21"/>
        </w:rPr>
        <w:fldChar w:fldCharType="begin"/>
      </w:r>
      <w:r>
        <w:rPr>
          <w:sz w:val="21"/>
        </w:rPr>
        <w:instrText xml:space="preserve"> PAGEREF _Toc504614068 \h </w:instrText>
      </w:r>
      <w:r>
        <w:rPr>
          <w:sz w:val="21"/>
        </w:rPr>
        <w:fldChar w:fldCharType="separate"/>
      </w:r>
      <w:r>
        <w:rPr>
          <w:sz w:val="21"/>
        </w:rPr>
        <w:t>37</w:t>
      </w:r>
      <w:r>
        <w:rPr>
          <w:sz w:val="21"/>
        </w:rPr>
        <w:fldChar w:fldCharType="end"/>
      </w:r>
      <w:r>
        <w:rPr>
          <w:sz w:val="21"/>
        </w:rPr>
        <w:fldChar w:fldCharType="end"/>
      </w:r>
    </w:p>
    <w:p>
      <w:pPr>
        <w:pStyle w:val="17"/>
        <w:tabs>
          <w:tab w:val="left" w:pos="840"/>
          <w:tab w:val="right" w:leader="dot" w:pos="8494"/>
        </w:tabs>
        <w:spacing w:line="360" w:lineRule="exact"/>
        <w:rPr>
          <w:smallCaps w:val="0"/>
          <w:sz w:val="21"/>
          <w:szCs w:val="24"/>
        </w:rPr>
      </w:pPr>
      <w:r>
        <w:fldChar w:fldCharType="begin"/>
      </w:r>
      <w:r>
        <w:instrText xml:space="preserve"> HYPERLINK \l "_Toc504614069" </w:instrText>
      </w:r>
      <w:r>
        <w:fldChar w:fldCharType="separate"/>
      </w:r>
      <w:r>
        <w:rPr>
          <w:rStyle w:val="25"/>
          <w:rFonts w:hint="eastAsia"/>
          <w:sz w:val="21"/>
        </w:rPr>
        <w:t>六、</w:t>
      </w:r>
      <w:r>
        <w:rPr>
          <w:smallCaps w:val="0"/>
          <w:sz w:val="21"/>
          <w:szCs w:val="24"/>
        </w:rPr>
        <w:tab/>
      </w:r>
      <w:r>
        <w:rPr>
          <w:rStyle w:val="25"/>
          <w:rFonts w:hint="eastAsia" w:ascii="宋体" w:hAnsi="宋体"/>
          <w:sz w:val="21"/>
        </w:rPr>
        <w:t>坚持建立健全的就业质量跟踪体系</w:t>
      </w:r>
      <w:r>
        <w:rPr>
          <w:sz w:val="21"/>
        </w:rPr>
        <w:tab/>
      </w:r>
      <w:r>
        <w:rPr>
          <w:sz w:val="21"/>
        </w:rPr>
        <w:fldChar w:fldCharType="begin"/>
      </w:r>
      <w:r>
        <w:rPr>
          <w:sz w:val="21"/>
        </w:rPr>
        <w:instrText xml:space="preserve"> PAGEREF _Toc504614069 \h </w:instrText>
      </w:r>
      <w:r>
        <w:rPr>
          <w:sz w:val="21"/>
        </w:rPr>
        <w:fldChar w:fldCharType="separate"/>
      </w:r>
      <w:r>
        <w:rPr>
          <w:sz w:val="21"/>
        </w:rPr>
        <w:t>40</w:t>
      </w:r>
      <w:r>
        <w:rPr>
          <w:sz w:val="21"/>
        </w:rPr>
        <w:fldChar w:fldCharType="end"/>
      </w:r>
      <w:r>
        <w:rPr>
          <w:sz w:val="21"/>
        </w:rPr>
        <w:fldChar w:fldCharType="end"/>
      </w:r>
    </w:p>
    <w:p>
      <w:pPr>
        <w:pStyle w:val="14"/>
        <w:tabs>
          <w:tab w:val="right" w:leader="dot" w:pos="8494"/>
        </w:tabs>
        <w:spacing w:line="360" w:lineRule="exact"/>
        <w:rPr>
          <w:b w:val="0"/>
          <w:bCs w:val="0"/>
          <w:caps w:val="0"/>
          <w:sz w:val="21"/>
          <w:szCs w:val="24"/>
        </w:rPr>
      </w:pPr>
      <w:r>
        <w:fldChar w:fldCharType="begin"/>
      </w:r>
      <w:r>
        <w:instrText xml:space="preserve"> HYPERLINK \l "_Toc504614070" </w:instrText>
      </w:r>
      <w:r>
        <w:fldChar w:fldCharType="separate"/>
      </w:r>
      <w:r>
        <w:rPr>
          <w:rStyle w:val="25"/>
          <w:rFonts w:hint="eastAsia" w:ascii="黑体"/>
          <w:sz w:val="21"/>
        </w:rPr>
        <w:t>结语</w:t>
      </w:r>
      <w:r>
        <w:rPr>
          <w:b w:val="0"/>
          <w:sz w:val="21"/>
        </w:rPr>
        <w:tab/>
      </w:r>
      <w:r>
        <w:rPr>
          <w:b w:val="0"/>
          <w:sz w:val="21"/>
        </w:rPr>
        <w:fldChar w:fldCharType="begin"/>
      </w:r>
      <w:r>
        <w:rPr>
          <w:b w:val="0"/>
          <w:sz w:val="21"/>
        </w:rPr>
        <w:instrText xml:space="preserve"> PAGEREF _Toc504614070 \h </w:instrText>
      </w:r>
      <w:r>
        <w:rPr>
          <w:b w:val="0"/>
          <w:sz w:val="21"/>
        </w:rPr>
        <w:fldChar w:fldCharType="separate"/>
      </w:r>
      <w:r>
        <w:rPr>
          <w:b w:val="0"/>
          <w:sz w:val="21"/>
        </w:rPr>
        <w:t>41</w:t>
      </w:r>
      <w:r>
        <w:rPr>
          <w:b w:val="0"/>
          <w:sz w:val="21"/>
        </w:rPr>
        <w:fldChar w:fldCharType="end"/>
      </w:r>
      <w:r>
        <w:rPr>
          <w:b w:val="0"/>
          <w:sz w:val="21"/>
        </w:rPr>
        <w:fldChar w:fldCharType="end"/>
      </w:r>
    </w:p>
    <w:p>
      <w:pPr>
        <w:spacing w:line="360" w:lineRule="exact"/>
        <w:ind w:firstLine="435"/>
        <w:rPr>
          <w:rFonts w:ascii="宋体"/>
          <w:smallCaps/>
          <w:szCs w:val="21"/>
        </w:rPr>
      </w:pPr>
      <w:r>
        <w:rPr>
          <w:szCs w:val="21"/>
        </w:rPr>
        <w:fldChar w:fldCharType="end"/>
      </w:r>
    </w:p>
    <w:p>
      <w:pPr>
        <w:spacing w:line="360" w:lineRule="auto"/>
        <w:ind w:firstLine="435"/>
        <w:rPr>
          <w:rFonts w:ascii="宋体"/>
          <w:smallCaps/>
          <w:szCs w:val="21"/>
        </w:rPr>
      </w:pPr>
    </w:p>
    <w:p>
      <w:pPr>
        <w:pStyle w:val="2"/>
        <w:rPr>
          <w:rFonts w:ascii="黑体" w:hAnsi="宋体" w:eastAsia="黑体"/>
          <w:sz w:val="32"/>
          <w:szCs w:val="32"/>
        </w:rPr>
        <w:sectPr>
          <w:headerReference r:id="rId5" w:type="first"/>
          <w:headerReference r:id="rId3" w:type="default"/>
          <w:headerReference r:id="rId4" w:type="even"/>
          <w:footerReference r:id="rId6" w:type="even"/>
          <w:pgSz w:w="11906" w:h="16838"/>
          <w:pgMar w:top="1440" w:right="1644" w:bottom="1440" w:left="1758" w:header="851" w:footer="992" w:gutter="0"/>
          <w:cols w:space="720" w:num="1"/>
          <w:titlePg/>
          <w:docGrid w:type="lines" w:linePitch="312" w:charSpace="0"/>
        </w:sectPr>
      </w:pPr>
      <w:bookmarkStart w:id="32" w:name="_Toc436746486"/>
      <w:bookmarkStart w:id="33" w:name="_Toc436748507"/>
    </w:p>
    <w:p>
      <w:pPr>
        <w:pStyle w:val="2"/>
        <w:numPr>
          <w:ilvl w:val="0"/>
          <w:numId w:val="1"/>
        </w:numPr>
        <w:jc w:val="center"/>
      </w:pPr>
      <w:bookmarkStart w:id="34" w:name="_Toc504614045"/>
      <w:r>
        <w:rPr>
          <w:rFonts w:hint="eastAsia" w:ascii="黑体" w:hAnsi="宋体" w:eastAsia="黑体"/>
          <w:sz w:val="32"/>
          <w:szCs w:val="32"/>
        </w:rPr>
        <w:t>：</w:t>
      </w:r>
      <w:r>
        <w:rPr>
          <w:rFonts w:hint="eastAsia" w:ascii="黑体" w:hAnsi="宋体" w:eastAsia="黑体"/>
          <w:sz w:val="32"/>
          <w:szCs w:val="32"/>
          <w:lang w:val="en-US" w:eastAsia="zh-CN"/>
        </w:rPr>
        <w:t>2020</w:t>
      </w:r>
      <w:r>
        <w:rPr>
          <w:rFonts w:hint="eastAsia" w:ascii="黑体" w:hAnsi="宋体" w:eastAsia="黑体"/>
          <w:sz w:val="32"/>
          <w:szCs w:val="32"/>
        </w:rPr>
        <w:t>届毕业生基本情况</w:t>
      </w:r>
      <w:bookmarkEnd w:id="32"/>
      <w:bookmarkEnd w:id="33"/>
      <w:bookmarkEnd w:id="34"/>
    </w:p>
    <w:p>
      <w:pPr>
        <w:pStyle w:val="3"/>
        <w:numPr>
          <w:ilvl w:val="0"/>
          <w:numId w:val="2"/>
        </w:numPr>
        <w:tabs>
          <w:tab w:val="left" w:pos="540"/>
          <w:tab w:val="left" w:pos="720"/>
          <w:tab w:val="clear" w:pos="600"/>
        </w:tabs>
        <w:spacing w:line="360" w:lineRule="auto"/>
      </w:pPr>
      <w:bookmarkStart w:id="35" w:name="_Toc436748508"/>
      <w:bookmarkStart w:id="36" w:name="_Toc504614046"/>
      <w:r>
        <w:rPr>
          <w:rFonts w:hint="eastAsia"/>
        </w:rPr>
        <w:t>基本</w:t>
      </w:r>
      <w:bookmarkEnd w:id="35"/>
      <w:r>
        <w:rPr>
          <w:rFonts w:hint="eastAsia"/>
        </w:rPr>
        <w:t>规模</w:t>
      </w:r>
      <w:bookmarkEnd w:id="36"/>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截止到</w:t>
      </w:r>
      <w:r>
        <w:rPr>
          <w:rFonts w:hint="eastAsia" w:ascii="宋体" w:hAnsi="宋体" w:cs="宋体"/>
          <w:sz w:val="24"/>
          <w:szCs w:val="24"/>
          <w:lang w:val="en-US" w:eastAsia="zh-CN"/>
        </w:rPr>
        <w:t>2020</w:t>
      </w:r>
      <w:r>
        <w:rPr>
          <w:rFonts w:hint="eastAsia" w:ascii="宋体" w:hAnsi="宋体" w:eastAsia="宋体" w:cs="宋体"/>
          <w:sz w:val="24"/>
          <w:szCs w:val="24"/>
        </w:rPr>
        <w:t>年9月1日，学院</w:t>
      </w:r>
      <w:r>
        <w:rPr>
          <w:rFonts w:hint="eastAsia" w:ascii="宋体" w:hAnsi="宋体" w:cs="宋体"/>
          <w:sz w:val="24"/>
          <w:szCs w:val="24"/>
        </w:rPr>
        <w:t>20</w:t>
      </w:r>
      <w:r>
        <w:rPr>
          <w:rFonts w:hint="eastAsia" w:ascii="宋体" w:hAnsi="宋体" w:cs="宋体"/>
          <w:sz w:val="24"/>
          <w:szCs w:val="24"/>
          <w:lang w:val="en-US" w:eastAsia="zh-CN"/>
        </w:rPr>
        <w:t>20</w:t>
      </w:r>
      <w:r>
        <w:rPr>
          <w:rFonts w:hint="eastAsia" w:ascii="宋体" w:hAnsi="宋体" w:eastAsia="宋体" w:cs="宋体"/>
          <w:sz w:val="24"/>
          <w:szCs w:val="24"/>
        </w:rPr>
        <w:t>届本科毕业生共有</w:t>
      </w:r>
      <w:r>
        <w:rPr>
          <w:rFonts w:hint="eastAsia" w:ascii="宋体" w:hAnsi="宋体" w:cs="宋体"/>
          <w:sz w:val="24"/>
          <w:szCs w:val="24"/>
          <w:lang w:val="en-US" w:eastAsia="zh-CN"/>
        </w:rPr>
        <w:t>1936</w:t>
      </w:r>
      <w:r>
        <w:rPr>
          <w:rFonts w:hint="eastAsia" w:ascii="宋体" w:hAnsi="宋体" w:eastAsia="宋体" w:cs="宋体"/>
          <w:sz w:val="24"/>
          <w:szCs w:val="24"/>
        </w:rPr>
        <w:t>人，与去年相比，毕业生总数上升了</w:t>
      </w:r>
      <w:r>
        <w:rPr>
          <w:rFonts w:hint="eastAsia" w:ascii="宋体" w:hAnsi="宋体" w:cs="宋体"/>
          <w:sz w:val="24"/>
          <w:szCs w:val="24"/>
          <w:lang w:val="en-US" w:eastAsia="zh-CN"/>
        </w:rPr>
        <w:t>2.65</w:t>
      </w:r>
      <w:r>
        <w:rPr>
          <w:rFonts w:hint="eastAsia" w:ascii="宋体" w:hAnsi="宋体" w:eastAsia="宋体" w:cs="宋体"/>
          <w:sz w:val="24"/>
          <w:szCs w:val="24"/>
        </w:rPr>
        <w:t>%。学院共有六个二级学院，毕业生规模超过四百人的二级学院</w:t>
      </w:r>
      <w:r>
        <w:rPr>
          <w:rFonts w:hint="eastAsia" w:ascii="宋体" w:hAnsi="宋体" w:cs="宋体"/>
          <w:sz w:val="24"/>
          <w:szCs w:val="24"/>
          <w:lang w:val="en-US" w:eastAsia="zh-CN"/>
        </w:rPr>
        <w:t>2</w:t>
      </w:r>
      <w:r>
        <w:rPr>
          <w:rFonts w:hint="eastAsia" w:ascii="宋体" w:hAnsi="宋体" w:eastAsia="宋体" w:cs="宋体"/>
          <w:sz w:val="24"/>
          <w:szCs w:val="24"/>
        </w:rPr>
        <w:t>个，三百</w:t>
      </w:r>
      <w:r>
        <w:rPr>
          <w:rFonts w:hint="eastAsia" w:ascii="宋体" w:hAnsi="宋体" w:cs="宋体"/>
          <w:sz w:val="24"/>
          <w:szCs w:val="24"/>
          <w:lang w:eastAsia="zh-CN"/>
        </w:rPr>
        <w:t>至四百</w:t>
      </w:r>
      <w:r>
        <w:rPr>
          <w:rFonts w:hint="eastAsia" w:ascii="宋体" w:hAnsi="宋体" w:eastAsia="宋体" w:cs="宋体"/>
          <w:sz w:val="24"/>
          <w:szCs w:val="24"/>
        </w:rPr>
        <w:t>人的二级学院</w:t>
      </w:r>
      <w:r>
        <w:rPr>
          <w:rFonts w:hint="eastAsia" w:ascii="宋体" w:hAnsi="宋体" w:cs="宋体"/>
          <w:sz w:val="24"/>
          <w:szCs w:val="24"/>
          <w:lang w:val="en-US" w:eastAsia="zh-CN"/>
        </w:rPr>
        <w:t>1</w:t>
      </w:r>
      <w:r>
        <w:rPr>
          <w:rFonts w:hint="eastAsia" w:ascii="宋体" w:hAnsi="宋体" w:eastAsia="宋体" w:cs="宋体"/>
          <w:sz w:val="24"/>
          <w:szCs w:val="24"/>
        </w:rPr>
        <w:t>个，两百至三百人的</w:t>
      </w:r>
      <w:r>
        <w:rPr>
          <w:rFonts w:hint="eastAsia" w:ascii="宋体" w:hAnsi="宋体" w:cs="宋体"/>
          <w:sz w:val="24"/>
          <w:szCs w:val="24"/>
          <w:lang w:eastAsia="zh-CN"/>
        </w:rPr>
        <w:t>二级</w:t>
      </w:r>
      <w:r>
        <w:rPr>
          <w:rFonts w:hint="eastAsia" w:ascii="宋体" w:hAnsi="宋体" w:eastAsia="宋体" w:cs="宋体"/>
          <w:sz w:val="24"/>
          <w:szCs w:val="24"/>
        </w:rPr>
        <w:t>学院</w:t>
      </w:r>
      <w:r>
        <w:rPr>
          <w:rFonts w:hint="eastAsia" w:ascii="宋体" w:hAnsi="宋体" w:cs="宋体"/>
          <w:sz w:val="24"/>
          <w:szCs w:val="24"/>
          <w:lang w:val="en-US" w:eastAsia="zh-CN"/>
        </w:rPr>
        <w:t>1</w:t>
      </w:r>
      <w:r>
        <w:rPr>
          <w:rFonts w:hint="eastAsia" w:ascii="宋体" w:hAnsi="宋体" w:eastAsia="宋体" w:cs="宋体"/>
          <w:sz w:val="24"/>
          <w:szCs w:val="24"/>
        </w:rPr>
        <w:t>个，一百至两百人之间的二级学院</w:t>
      </w:r>
      <w:r>
        <w:rPr>
          <w:rFonts w:hint="eastAsia" w:ascii="宋体" w:hAnsi="宋体" w:cs="宋体"/>
          <w:sz w:val="24"/>
          <w:szCs w:val="24"/>
          <w:lang w:val="en-US" w:eastAsia="zh-CN"/>
        </w:rPr>
        <w:t>2</w:t>
      </w:r>
      <w:r>
        <w:rPr>
          <w:rFonts w:hint="eastAsia" w:ascii="宋体" w:hAnsi="宋体" w:eastAsia="宋体" w:cs="宋体"/>
          <w:sz w:val="24"/>
          <w:szCs w:val="24"/>
        </w:rPr>
        <w:t xml:space="preserve">个。 </w:t>
      </w:r>
    </w:p>
    <w:p>
      <w:pPr>
        <w:rPr>
          <w:rFonts w:ascii="宋体" w:cs="宋体"/>
          <w:szCs w:val="21"/>
        </w:rPr>
      </w:pPr>
    </w:p>
    <w:p>
      <w:pPr>
        <w:ind w:left="0" w:leftChars="0" w:firstLine="1921" w:firstLineChars="800"/>
        <w:rPr>
          <w:rFonts w:ascii="??_GB2312" w:eastAsia="Times New Roman"/>
          <w:sz w:val="24"/>
        </w:rPr>
      </w:pPr>
      <w:r>
        <w:rPr>
          <w:rFonts w:ascii="??_GB2312" w:eastAsia="Times New Roman"/>
          <w:b/>
          <w:sz w:val="24"/>
        </w:rPr>
        <w:t>表1.2:各</w:t>
      </w:r>
      <w:r>
        <w:rPr>
          <w:rFonts w:hint="eastAsia" w:ascii="??_GB2312"/>
          <w:b/>
          <w:sz w:val="24"/>
        </w:rPr>
        <w:t>二级学院</w:t>
      </w:r>
      <w:r>
        <w:rPr>
          <w:rFonts w:hint="eastAsia" w:ascii="??_GB2312"/>
          <w:b/>
          <w:sz w:val="24"/>
          <w:lang w:val="en-US" w:eastAsia="zh-CN"/>
        </w:rPr>
        <w:t>2020</w:t>
      </w:r>
      <w:r>
        <w:rPr>
          <w:rFonts w:ascii="??_GB2312" w:eastAsia="Times New Roman"/>
          <w:b/>
          <w:sz w:val="24"/>
        </w:rPr>
        <w:t>届毕业生人数分布</w:t>
      </w:r>
    </w:p>
    <w:tbl>
      <w:tblPr>
        <w:tblStyle w:val="20"/>
        <w:tblW w:w="7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2485"/>
        <w:gridCol w:w="2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shd w:val="clear" w:color="auto" w:fill="9999FF"/>
            <w:vAlign w:val="center"/>
          </w:tcPr>
          <w:p>
            <w:pPr>
              <w:jc w:val="center"/>
              <w:rPr>
                <w:rFonts w:ascii="??_GB2312"/>
                <w:b/>
                <w:sz w:val="24"/>
              </w:rPr>
            </w:pPr>
            <w:r>
              <w:rPr>
                <w:rFonts w:hint="eastAsia" w:ascii="??_GB2312"/>
                <w:b/>
                <w:sz w:val="24"/>
              </w:rPr>
              <w:t>二级学院</w:t>
            </w:r>
          </w:p>
        </w:tc>
        <w:tc>
          <w:tcPr>
            <w:tcW w:w="2485" w:type="dxa"/>
            <w:shd w:val="clear" w:color="auto" w:fill="9999FF"/>
            <w:vAlign w:val="center"/>
          </w:tcPr>
          <w:p>
            <w:pPr>
              <w:jc w:val="center"/>
              <w:rPr>
                <w:rFonts w:hint="eastAsia" w:ascii="??_GB2312" w:eastAsia="宋体"/>
                <w:b/>
                <w:sz w:val="24"/>
                <w:lang w:eastAsia="zh-CN"/>
              </w:rPr>
            </w:pPr>
            <w:r>
              <w:rPr>
                <w:rFonts w:ascii="??_GB2312" w:eastAsia="Times New Roman"/>
                <w:b/>
                <w:sz w:val="24"/>
              </w:rPr>
              <w:t>人数</w:t>
            </w:r>
            <w:r>
              <w:rPr>
                <w:rFonts w:hint="eastAsia" w:ascii="??_GB2312"/>
                <w:b/>
                <w:sz w:val="24"/>
                <w:lang w:eastAsia="zh-CN"/>
              </w:rPr>
              <w:t>（人）</w:t>
            </w:r>
          </w:p>
        </w:tc>
        <w:tc>
          <w:tcPr>
            <w:tcW w:w="2485" w:type="dxa"/>
            <w:shd w:val="clear" w:color="auto" w:fill="9999FF"/>
            <w:vAlign w:val="center"/>
          </w:tcPr>
          <w:p>
            <w:pPr>
              <w:jc w:val="center"/>
              <w:rPr>
                <w:rFonts w:ascii="??_GB2312" w:eastAsia="Times New Roman"/>
                <w:b/>
                <w:sz w:val="24"/>
              </w:rPr>
            </w:pPr>
            <w:r>
              <w:rPr>
                <w:rFonts w:ascii="??_GB2312" w:eastAsia="Times New Roman"/>
                <w:b/>
                <w:sz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ascii="??_GB2312"/>
                <w:sz w:val="24"/>
              </w:rPr>
            </w:pPr>
            <w:r>
              <w:rPr>
                <w:rFonts w:ascii="??_GB2312" w:eastAsia="Times New Roman"/>
                <w:sz w:val="24"/>
              </w:rPr>
              <w:t>商学</w:t>
            </w:r>
            <w:r>
              <w:rPr>
                <w:rFonts w:hint="eastAsia" w:ascii="??_GB2312"/>
                <w:sz w:val="24"/>
              </w:rPr>
              <w:t>院</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666</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ascii="??_GB2312"/>
                <w:sz w:val="24"/>
              </w:rPr>
            </w:pPr>
            <w:r>
              <w:rPr>
                <w:rFonts w:ascii="??_GB2312" w:eastAsia="Times New Roman"/>
                <w:sz w:val="24"/>
              </w:rPr>
              <w:t>艺术</w:t>
            </w:r>
            <w:r>
              <w:rPr>
                <w:rFonts w:hint="eastAsia" w:ascii="??_GB2312"/>
                <w:sz w:val="24"/>
              </w:rPr>
              <w:t>学院</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416</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21.49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ascii="??_GB2312"/>
                <w:sz w:val="24"/>
              </w:rPr>
            </w:pPr>
            <w:r>
              <w:rPr>
                <w:rFonts w:ascii="??_GB2312" w:eastAsia="Times New Roman"/>
                <w:sz w:val="24"/>
              </w:rPr>
              <w:t>信息工程</w:t>
            </w:r>
            <w:r>
              <w:rPr>
                <w:rFonts w:hint="eastAsia" w:ascii="??_GB2312"/>
                <w:sz w:val="24"/>
              </w:rPr>
              <w:t>学院</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344</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ascii="??_GB2312"/>
                <w:sz w:val="24"/>
              </w:rPr>
            </w:pPr>
            <w:r>
              <w:rPr>
                <w:rFonts w:ascii="??_GB2312" w:eastAsia="Times New Roman"/>
                <w:sz w:val="24"/>
              </w:rPr>
              <w:t>语言与传媒</w:t>
            </w:r>
            <w:r>
              <w:rPr>
                <w:rFonts w:hint="eastAsia" w:ascii="??_GB2312"/>
                <w:sz w:val="24"/>
              </w:rPr>
              <w:t>学院</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287</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hint="eastAsia" w:ascii="??_GB2312" w:eastAsia="宋体"/>
                <w:sz w:val="24"/>
                <w:lang w:eastAsia="zh-CN"/>
              </w:rPr>
            </w:pPr>
            <w:r>
              <w:rPr>
                <w:rFonts w:hint="eastAsia" w:ascii="??_GB2312"/>
                <w:sz w:val="24"/>
                <w:lang w:eastAsia="zh-CN"/>
              </w:rPr>
              <w:t>外国语学院</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119</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hint="eastAsia" w:ascii="??_GB2312" w:eastAsia="宋体"/>
                <w:sz w:val="24"/>
                <w:lang w:eastAsia="zh-CN"/>
              </w:rPr>
            </w:pPr>
            <w:r>
              <w:rPr>
                <w:rFonts w:hint="eastAsia" w:ascii="??_GB2312"/>
                <w:sz w:val="24"/>
                <w:lang w:eastAsia="zh-CN"/>
              </w:rPr>
              <w:t>交通与环境学院</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104</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ascii="??_GB2312" w:eastAsia="Times New Roman"/>
                <w:sz w:val="24"/>
              </w:rPr>
            </w:pPr>
            <w:r>
              <w:rPr>
                <w:rFonts w:ascii="??_GB2312" w:eastAsia="Times New Roman"/>
                <w:sz w:val="24"/>
              </w:rPr>
              <w:t>总计</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1936</w:t>
            </w:r>
          </w:p>
        </w:tc>
        <w:tc>
          <w:tcPr>
            <w:tcW w:w="2485" w:type="dxa"/>
            <w:vAlign w:val="center"/>
          </w:tcPr>
          <w:p>
            <w:pPr>
              <w:jc w:val="center"/>
              <w:rPr>
                <w:rFonts w:hint="eastAsia" w:ascii="宋体" w:hAnsi="宋体" w:eastAsia="宋体" w:cs="宋体"/>
                <w:sz w:val="24"/>
              </w:rPr>
            </w:pPr>
            <w:r>
              <w:rPr>
                <w:rFonts w:hint="eastAsia" w:ascii="宋体" w:hAnsi="宋体" w:eastAsia="宋体" w:cs="宋体"/>
                <w:sz w:val="24"/>
              </w:rPr>
              <w:t>100.00</w:t>
            </w:r>
          </w:p>
        </w:tc>
      </w:tr>
    </w:tbl>
    <w:p>
      <w:pPr>
        <w:ind w:left="252" w:leftChars="120"/>
        <w:jc w:val="center"/>
      </w:pPr>
    </w:p>
    <w:p>
      <w:pPr>
        <w:tabs>
          <w:tab w:val="left" w:pos="1019"/>
        </w:tabs>
        <w:spacing w:line="360" w:lineRule="auto"/>
        <w:ind w:firstLine="480" w:firstLineChars="200"/>
        <w:rPr>
          <w:rFonts w:ascii="??_GB2312" w:hAnsi="宋体" w:eastAsia="Times New Roman"/>
          <w:sz w:val="24"/>
        </w:rPr>
      </w:pPr>
      <w:bookmarkStart w:id="37" w:name="_Toc436748509"/>
      <w:bookmarkStart w:id="38" w:name="_Toc504614047"/>
      <w:r>
        <w:rPr>
          <w:rFonts w:hint="eastAsia" w:ascii="宋体" w:hAnsi="宋体" w:cs="宋体"/>
          <w:sz w:val="24"/>
        </w:rPr>
        <w:t>20</w:t>
      </w:r>
      <w:r>
        <w:rPr>
          <w:rFonts w:hint="eastAsia" w:ascii="宋体" w:hAnsi="宋体" w:cs="宋体"/>
          <w:sz w:val="24"/>
          <w:lang w:val="en-US" w:eastAsia="zh-CN"/>
        </w:rPr>
        <w:t>20</w:t>
      </w:r>
      <w:r>
        <w:rPr>
          <w:rFonts w:hint="eastAsia" w:ascii="宋体" w:hAnsi="宋体" w:eastAsia="宋体" w:cs="宋体"/>
          <w:sz w:val="24"/>
        </w:rPr>
        <w:t>届毕业生比20</w:t>
      </w:r>
      <w:r>
        <w:rPr>
          <w:rFonts w:hint="eastAsia" w:ascii="宋体" w:hAnsi="宋体" w:cs="宋体"/>
          <w:sz w:val="24"/>
          <w:lang w:val="en-US" w:eastAsia="zh-CN"/>
        </w:rPr>
        <w:t>19</w:t>
      </w:r>
      <w:r>
        <w:rPr>
          <w:rFonts w:hint="eastAsia" w:ascii="宋体" w:hAnsi="宋体" w:eastAsia="宋体" w:cs="宋体"/>
          <w:sz w:val="24"/>
        </w:rPr>
        <w:t>届毕业生多</w:t>
      </w:r>
      <w:r>
        <w:rPr>
          <w:rFonts w:hint="eastAsia" w:ascii="宋体" w:hAnsi="宋体" w:cs="宋体"/>
          <w:sz w:val="24"/>
          <w:lang w:val="en-US" w:eastAsia="zh-CN"/>
        </w:rPr>
        <w:t>50</w:t>
      </w:r>
      <w:r>
        <w:rPr>
          <w:rFonts w:hint="eastAsia" w:ascii="宋体" w:hAnsi="宋体" w:eastAsia="宋体" w:cs="宋体"/>
          <w:sz w:val="24"/>
        </w:rPr>
        <w:t>人。其中，商学</w:t>
      </w:r>
      <w:r>
        <w:rPr>
          <w:rFonts w:hint="eastAsia" w:ascii="宋体" w:hAnsi="宋体" w:cs="宋体"/>
          <w:sz w:val="24"/>
        </w:rPr>
        <w:t>院</w:t>
      </w:r>
      <w:r>
        <w:rPr>
          <w:rFonts w:hint="eastAsia" w:ascii="宋体" w:hAnsi="宋体" w:cs="宋体"/>
          <w:sz w:val="24"/>
          <w:lang w:val="en-US" w:eastAsia="zh-CN"/>
        </w:rPr>
        <w:t>666</w:t>
      </w:r>
      <w:r>
        <w:rPr>
          <w:rFonts w:hint="eastAsia" w:ascii="宋体" w:hAnsi="宋体" w:eastAsia="宋体" w:cs="宋体"/>
          <w:sz w:val="24"/>
        </w:rPr>
        <w:t>人，同比增长</w:t>
      </w:r>
      <w:r>
        <w:rPr>
          <w:rFonts w:hint="eastAsia" w:ascii="宋体" w:hAnsi="宋体" w:cs="宋体"/>
          <w:sz w:val="24"/>
          <w:lang w:val="en-US" w:eastAsia="zh-CN"/>
        </w:rPr>
        <w:t>6.73</w:t>
      </w:r>
      <w:r>
        <w:rPr>
          <w:rFonts w:hint="eastAsia" w:ascii="宋体" w:hAnsi="宋体" w:eastAsia="宋体" w:cs="宋体"/>
          <w:sz w:val="24"/>
        </w:rPr>
        <w:t>%；</w:t>
      </w:r>
      <w:r>
        <w:rPr>
          <w:rFonts w:hint="eastAsia" w:ascii="宋体" w:hAnsi="宋体" w:cs="宋体"/>
          <w:sz w:val="24"/>
          <w:lang w:eastAsia="zh-CN"/>
        </w:rPr>
        <w:t>艺术学院</w:t>
      </w:r>
      <w:r>
        <w:rPr>
          <w:rFonts w:hint="eastAsia" w:ascii="宋体" w:hAnsi="宋体" w:cs="宋体"/>
          <w:sz w:val="24"/>
          <w:lang w:val="en-US" w:eastAsia="zh-CN"/>
        </w:rPr>
        <w:t>416人，同比增长27.22%；信息工程学院344人，同比下降13.78%；</w:t>
      </w:r>
      <w:r>
        <w:rPr>
          <w:rFonts w:hint="eastAsia" w:ascii="宋体" w:hAnsi="宋体" w:eastAsia="宋体" w:cs="宋体"/>
          <w:sz w:val="24"/>
        </w:rPr>
        <w:t>语言与传媒</w:t>
      </w:r>
      <w:r>
        <w:rPr>
          <w:rFonts w:hint="eastAsia" w:ascii="宋体" w:hAnsi="宋体" w:cs="宋体"/>
          <w:sz w:val="24"/>
        </w:rPr>
        <w:t>学院</w:t>
      </w:r>
      <w:r>
        <w:rPr>
          <w:rFonts w:hint="eastAsia" w:ascii="宋体" w:hAnsi="宋体" w:cs="宋体"/>
          <w:sz w:val="24"/>
          <w:lang w:val="en-US" w:eastAsia="zh-CN"/>
        </w:rPr>
        <w:t>287</w:t>
      </w:r>
      <w:r>
        <w:rPr>
          <w:rFonts w:hint="eastAsia" w:ascii="宋体" w:hAnsi="宋体" w:eastAsia="宋体" w:cs="宋体"/>
          <w:sz w:val="24"/>
        </w:rPr>
        <w:t>人，同比增长</w:t>
      </w:r>
      <w:r>
        <w:rPr>
          <w:rFonts w:hint="eastAsia" w:ascii="宋体" w:hAnsi="宋体" w:cs="宋体"/>
          <w:sz w:val="24"/>
        </w:rPr>
        <w:t>5</w:t>
      </w:r>
      <w:r>
        <w:rPr>
          <w:rFonts w:hint="eastAsia" w:ascii="宋体" w:hAnsi="宋体" w:cs="宋体"/>
          <w:sz w:val="24"/>
          <w:lang w:val="en-US" w:eastAsia="zh-CN"/>
        </w:rPr>
        <w:t>.13</w:t>
      </w:r>
      <w:r>
        <w:rPr>
          <w:rFonts w:hint="eastAsia" w:ascii="宋体" w:hAnsi="宋体" w:eastAsia="宋体" w:cs="宋体"/>
          <w:sz w:val="24"/>
        </w:rPr>
        <w:t>%；</w:t>
      </w:r>
      <w:r>
        <w:rPr>
          <w:rFonts w:hint="eastAsia" w:ascii="宋体" w:hAnsi="宋体" w:cs="宋体"/>
          <w:sz w:val="24"/>
          <w:lang w:eastAsia="zh-CN"/>
        </w:rPr>
        <w:t>外国语学院</w:t>
      </w:r>
      <w:r>
        <w:rPr>
          <w:rFonts w:hint="eastAsia" w:ascii="宋体" w:hAnsi="宋体" w:cs="宋体"/>
          <w:sz w:val="24"/>
          <w:lang w:val="en-US" w:eastAsia="zh-CN"/>
        </w:rPr>
        <w:t>119人，同比增长10.19%；</w:t>
      </w:r>
      <w:r>
        <w:rPr>
          <w:rFonts w:hint="eastAsia" w:ascii="宋体" w:hAnsi="宋体" w:eastAsia="宋体" w:cs="宋体"/>
          <w:sz w:val="24"/>
        </w:rPr>
        <w:t>交通与环境</w:t>
      </w:r>
      <w:r>
        <w:rPr>
          <w:rFonts w:hint="eastAsia" w:ascii="宋体" w:hAnsi="宋体" w:cs="宋体"/>
          <w:sz w:val="24"/>
        </w:rPr>
        <w:t>学院</w:t>
      </w:r>
      <w:r>
        <w:rPr>
          <w:rFonts w:hint="eastAsia" w:ascii="宋体" w:hAnsi="宋体" w:cs="宋体"/>
          <w:sz w:val="24"/>
          <w:lang w:val="en-US" w:eastAsia="zh-CN"/>
        </w:rPr>
        <w:t>104</w:t>
      </w:r>
      <w:r>
        <w:rPr>
          <w:rFonts w:hint="eastAsia" w:ascii="宋体" w:hAnsi="宋体" w:eastAsia="宋体" w:cs="宋体"/>
          <w:sz w:val="24"/>
        </w:rPr>
        <w:t>人，同比</w:t>
      </w:r>
      <w:r>
        <w:rPr>
          <w:rFonts w:hint="eastAsia" w:ascii="宋体" w:hAnsi="宋体" w:cs="宋体"/>
          <w:sz w:val="24"/>
        </w:rPr>
        <w:t>下降</w:t>
      </w:r>
      <w:r>
        <w:rPr>
          <w:rFonts w:hint="eastAsia" w:ascii="宋体" w:hAnsi="宋体" w:cs="宋体"/>
          <w:sz w:val="24"/>
          <w:lang w:val="en-US" w:eastAsia="zh-CN"/>
        </w:rPr>
        <w:t>32.90</w:t>
      </w:r>
      <w:r>
        <w:rPr>
          <w:rFonts w:hint="eastAsia" w:ascii="宋体" w:hAnsi="宋体" w:eastAsia="宋体" w:cs="宋体"/>
          <w:sz w:val="24"/>
        </w:rPr>
        <w:t>%。</w:t>
      </w:r>
    </w:p>
    <w:p>
      <w:pPr>
        <w:pStyle w:val="3"/>
        <w:numPr>
          <w:ilvl w:val="0"/>
          <w:numId w:val="2"/>
        </w:numPr>
        <w:spacing w:line="360" w:lineRule="auto"/>
      </w:pPr>
      <w:r>
        <w:rPr>
          <w:rFonts w:hint="eastAsia"/>
        </w:rPr>
        <w:t>总体结构</w:t>
      </w:r>
      <w:bookmarkEnd w:id="37"/>
      <w:bookmarkEnd w:id="38"/>
    </w:p>
    <w:p>
      <w:pPr>
        <w:pStyle w:val="4"/>
        <w:numPr>
          <w:ilvl w:val="0"/>
          <w:numId w:val="3"/>
        </w:numPr>
        <w:spacing w:line="360" w:lineRule="auto"/>
        <w:rPr>
          <w:sz w:val="28"/>
          <w:szCs w:val="28"/>
        </w:rPr>
      </w:pPr>
      <w:bookmarkStart w:id="39" w:name="_Toc436748510"/>
      <w:r>
        <w:rPr>
          <w:rFonts w:hint="eastAsia"/>
          <w:sz w:val="28"/>
          <w:szCs w:val="28"/>
        </w:rPr>
        <w:t>学科专业结构</w:t>
      </w:r>
      <w:bookmarkEnd w:id="39"/>
    </w:p>
    <w:p>
      <w:pPr>
        <w:spacing w:line="360" w:lineRule="auto"/>
        <w:ind w:firstLine="480" w:firstLineChars="200"/>
        <w:rPr>
          <w:rFonts w:ascii="??_GB2312" w:hAnsi="宋体" w:eastAsia="Times New Roman"/>
          <w:sz w:val="24"/>
        </w:rPr>
      </w:pPr>
      <w:r>
        <w:rPr>
          <w:rFonts w:hint="eastAsia" w:ascii="宋体" w:hAnsi="宋体" w:eastAsia="宋体" w:cs="宋体"/>
          <w:sz w:val="24"/>
        </w:rPr>
        <w:t>学院</w:t>
      </w:r>
      <w:r>
        <w:rPr>
          <w:rFonts w:hint="eastAsia" w:ascii="宋体" w:hAnsi="宋体" w:cs="宋体"/>
          <w:sz w:val="24"/>
          <w:lang w:val="en-US" w:eastAsia="zh-CN"/>
        </w:rPr>
        <w:t>2020</w:t>
      </w:r>
      <w:r>
        <w:rPr>
          <w:rFonts w:hint="eastAsia" w:ascii="宋体" w:hAnsi="宋体" w:eastAsia="宋体" w:cs="宋体"/>
          <w:sz w:val="24"/>
        </w:rPr>
        <w:t>届毕业生共6个二级学院，</w:t>
      </w:r>
      <w:r>
        <w:rPr>
          <w:rFonts w:hint="eastAsia" w:ascii="宋体" w:hAnsi="宋体" w:cs="宋体"/>
          <w:sz w:val="24"/>
          <w:lang w:val="en-US" w:eastAsia="zh-CN"/>
        </w:rPr>
        <w:t>23</w:t>
      </w:r>
      <w:r>
        <w:rPr>
          <w:rFonts w:hint="eastAsia" w:ascii="宋体" w:hAnsi="宋体" w:eastAsia="宋体" w:cs="宋体"/>
          <w:sz w:val="24"/>
        </w:rPr>
        <w:t>个专业</w:t>
      </w:r>
      <w:r>
        <w:rPr>
          <w:rFonts w:hint="eastAsia" w:ascii="宋体" w:hAnsi="宋体" w:cs="宋体"/>
          <w:sz w:val="24"/>
        </w:rPr>
        <w:t>，</w:t>
      </w:r>
      <w:r>
        <w:rPr>
          <w:rFonts w:hint="eastAsia" w:ascii="宋体" w:hAnsi="宋体" w:eastAsia="宋体" w:cs="宋体"/>
          <w:sz w:val="24"/>
        </w:rPr>
        <w:t>较1</w:t>
      </w:r>
      <w:r>
        <w:rPr>
          <w:rFonts w:hint="eastAsia" w:ascii="宋体" w:hAnsi="宋体" w:cs="宋体"/>
          <w:sz w:val="24"/>
          <w:lang w:val="en-US" w:eastAsia="zh-CN"/>
        </w:rPr>
        <w:t>9</w:t>
      </w:r>
      <w:r>
        <w:rPr>
          <w:rFonts w:hint="eastAsia" w:ascii="宋体" w:hAnsi="宋体" w:eastAsia="宋体" w:cs="宋体"/>
          <w:sz w:val="24"/>
        </w:rPr>
        <w:t>年均无变化。</w:t>
      </w:r>
    </w:p>
    <w:p>
      <w:pPr>
        <w:rPr>
          <w:rFonts w:ascii="宋体"/>
          <w:szCs w:val="21"/>
        </w:rPr>
      </w:pPr>
    </w:p>
    <w:p>
      <w:pPr>
        <w:ind w:firstLine="1807" w:firstLineChars="750"/>
        <w:rPr>
          <w:rFonts w:hint="eastAsia" w:ascii="宋体" w:hAnsi="宋体" w:eastAsia="宋体" w:cs="宋体"/>
          <w:b/>
          <w:sz w:val="24"/>
        </w:rPr>
      </w:pPr>
      <w:r>
        <w:rPr>
          <w:rFonts w:hint="eastAsia" w:ascii="宋体" w:hAnsi="宋体" w:eastAsia="宋体" w:cs="宋体"/>
          <w:b/>
          <w:sz w:val="24"/>
        </w:rPr>
        <w:t>表1.4:</w:t>
      </w:r>
      <w:r>
        <w:rPr>
          <w:rFonts w:hint="eastAsia" w:ascii="宋体" w:hAnsi="宋体" w:cs="宋体"/>
          <w:b/>
          <w:sz w:val="24"/>
        </w:rPr>
        <w:t>20</w:t>
      </w:r>
      <w:r>
        <w:rPr>
          <w:rFonts w:hint="eastAsia" w:ascii="宋体" w:hAnsi="宋体" w:cs="宋体"/>
          <w:b/>
          <w:sz w:val="24"/>
          <w:lang w:val="en-US" w:eastAsia="zh-CN"/>
        </w:rPr>
        <w:t>20届</w:t>
      </w:r>
      <w:r>
        <w:rPr>
          <w:rFonts w:hint="eastAsia" w:ascii="宋体" w:hAnsi="宋体" w:cs="宋体"/>
          <w:b/>
          <w:sz w:val="24"/>
          <w:lang w:eastAsia="zh-CN"/>
        </w:rPr>
        <w:t>与</w:t>
      </w:r>
      <w:r>
        <w:rPr>
          <w:rFonts w:hint="eastAsia" w:ascii="宋体" w:hAnsi="宋体" w:eastAsia="宋体" w:cs="宋体"/>
          <w:b/>
          <w:sz w:val="24"/>
        </w:rPr>
        <w:t>20</w:t>
      </w:r>
      <w:r>
        <w:rPr>
          <w:rFonts w:hint="eastAsia" w:ascii="宋体" w:hAnsi="宋体" w:cs="宋体"/>
          <w:b/>
          <w:sz w:val="24"/>
          <w:lang w:val="en-US" w:eastAsia="zh-CN"/>
        </w:rPr>
        <w:t>19</w:t>
      </w:r>
      <w:r>
        <w:rPr>
          <w:rFonts w:hint="eastAsia" w:ascii="宋体" w:hAnsi="宋体" w:eastAsia="宋体" w:cs="宋体"/>
          <w:b/>
          <w:sz w:val="24"/>
        </w:rPr>
        <w:t>届毕业生专业分布对比</w:t>
      </w:r>
    </w:p>
    <w:tbl>
      <w:tblPr>
        <w:tblStyle w:val="20"/>
        <w:tblW w:w="9614" w:type="dxa"/>
        <w:jc w:val="center"/>
        <w:tblLayout w:type="fixed"/>
        <w:tblCellMar>
          <w:top w:w="0" w:type="dxa"/>
          <w:left w:w="108" w:type="dxa"/>
          <w:bottom w:w="0" w:type="dxa"/>
          <w:right w:w="108" w:type="dxa"/>
        </w:tblCellMar>
      </w:tblPr>
      <w:tblGrid>
        <w:gridCol w:w="2277"/>
        <w:gridCol w:w="2024"/>
        <w:gridCol w:w="1771"/>
        <w:gridCol w:w="1771"/>
        <w:gridCol w:w="1771"/>
      </w:tblGrid>
      <w:tr>
        <w:tblPrEx>
          <w:tblCellMar>
            <w:top w:w="0" w:type="dxa"/>
            <w:left w:w="108" w:type="dxa"/>
            <w:bottom w:w="0" w:type="dxa"/>
            <w:right w:w="108" w:type="dxa"/>
          </w:tblCellMar>
        </w:tblPrEx>
        <w:trPr>
          <w:trHeight w:val="510" w:hRule="atLeast"/>
          <w:jc w:val="center"/>
        </w:trPr>
        <w:tc>
          <w:tcPr>
            <w:tcW w:w="2277" w:type="dxa"/>
            <w:tcBorders>
              <w:top w:val="single" w:color="auto" w:sz="8" w:space="0"/>
              <w:left w:val="nil"/>
              <w:bottom w:val="single" w:color="auto" w:sz="4" w:space="0"/>
              <w:right w:val="single" w:color="auto" w:sz="4" w:space="0"/>
            </w:tcBorders>
            <w:shd w:val="clear" w:color="auto" w:fill="9999FF"/>
            <w:vAlign w:val="center"/>
          </w:tcPr>
          <w:p>
            <w:pPr>
              <w:widowControl/>
              <w:jc w:val="center"/>
              <w:rPr>
                <w:rFonts w:ascii="??_GB2312" w:hAnsi="宋体" w:eastAsia="Times New Roman" w:cs="宋体"/>
                <w:b/>
                <w:bCs/>
                <w:kern w:val="0"/>
                <w:sz w:val="24"/>
              </w:rPr>
            </w:pPr>
            <w:r>
              <w:rPr>
                <w:rFonts w:ascii="??_GB2312" w:hAnsi="宋体" w:eastAsia="Times New Roman" w:cs="宋体"/>
                <w:b/>
                <w:bCs/>
                <w:kern w:val="0"/>
                <w:sz w:val="24"/>
              </w:rPr>
              <w:t>专业</w:t>
            </w:r>
          </w:p>
        </w:tc>
        <w:tc>
          <w:tcPr>
            <w:tcW w:w="2024" w:type="dxa"/>
            <w:tcBorders>
              <w:top w:val="single" w:color="auto" w:sz="8" w:space="0"/>
              <w:left w:val="nil"/>
              <w:bottom w:val="single" w:color="auto" w:sz="4" w:space="0"/>
              <w:right w:val="single" w:color="auto" w:sz="4" w:space="0"/>
            </w:tcBorders>
            <w:shd w:val="clear" w:color="auto" w:fill="9999FF"/>
            <w:vAlign w:val="center"/>
          </w:tcPr>
          <w:p>
            <w:pPr>
              <w:widowControl/>
              <w:jc w:val="center"/>
              <w:rPr>
                <w:rFonts w:hint="eastAsia" w:ascii="宋体" w:hAnsi="宋体" w:eastAsia="宋体" w:cs="宋体"/>
                <w:b/>
                <w:bCs/>
                <w:kern w:val="0"/>
                <w:sz w:val="24"/>
                <w:lang w:eastAsia="zh-CN"/>
              </w:rPr>
            </w:pPr>
            <w:r>
              <w:rPr>
                <w:rFonts w:hint="eastAsia" w:ascii="宋体" w:hAnsi="宋体" w:cs="宋体"/>
                <w:b/>
                <w:bCs/>
                <w:kern w:val="0"/>
                <w:sz w:val="24"/>
                <w:lang w:val="en-US" w:eastAsia="zh-CN"/>
              </w:rPr>
              <w:t>2020届</w:t>
            </w:r>
            <w:r>
              <w:rPr>
                <w:rFonts w:hint="eastAsia" w:ascii="宋体" w:hAnsi="宋体" w:eastAsia="宋体" w:cs="宋体"/>
                <w:b/>
                <w:bCs/>
                <w:kern w:val="0"/>
                <w:sz w:val="24"/>
              </w:rPr>
              <w:t>毕业生人数</w:t>
            </w:r>
            <w:r>
              <w:rPr>
                <w:rFonts w:hint="eastAsia" w:ascii="宋体" w:hAnsi="宋体" w:cs="宋体"/>
                <w:b/>
                <w:bCs/>
                <w:kern w:val="0"/>
                <w:sz w:val="24"/>
                <w:lang w:eastAsia="zh-CN"/>
              </w:rPr>
              <w:t>（人）</w:t>
            </w:r>
          </w:p>
        </w:tc>
        <w:tc>
          <w:tcPr>
            <w:tcW w:w="1771" w:type="dxa"/>
            <w:tcBorders>
              <w:top w:val="single" w:color="auto" w:sz="8" w:space="0"/>
              <w:left w:val="nil"/>
              <w:bottom w:val="single" w:color="auto" w:sz="4" w:space="0"/>
              <w:right w:val="single" w:color="auto" w:sz="4" w:space="0"/>
            </w:tcBorders>
            <w:shd w:val="clear" w:color="auto" w:fill="9999FF"/>
            <w:vAlign w:val="center"/>
          </w:tcPr>
          <w:p>
            <w:pPr>
              <w:widowControl/>
              <w:jc w:val="center"/>
              <w:rPr>
                <w:rFonts w:hint="eastAsia" w:ascii="宋体" w:hAnsi="宋体" w:eastAsia="宋体" w:cs="宋体"/>
                <w:b/>
                <w:bCs/>
                <w:kern w:val="0"/>
                <w:sz w:val="24"/>
              </w:rPr>
            </w:pPr>
            <w:r>
              <w:rPr>
                <w:rFonts w:hint="eastAsia" w:ascii="宋体" w:hAnsi="宋体" w:cs="宋体"/>
                <w:b/>
                <w:bCs/>
                <w:kern w:val="0"/>
                <w:sz w:val="24"/>
                <w:lang w:val="en-US" w:eastAsia="zh-CN"/>
              </w:rPr>
              <w:t>2019届</w:t>
            </w:r>
            <w:r>
              <w:rPr>
                <w:rFonts w:hint="eastAsia" w:ascii="宋体" w:hAnsi="宋体" w:eastAsia="宋体" w:cs="宋体"/>
                <w:b/>
                <w:bCs/>
                <w:kern w:val="0"/>
                <w:sz w:val="24"/>
              </w:rPr>
              <w:t>毕业生人数</w:t>
            </w:r>
            <w:r>
              <w:rPr>
                <w:rFonts w:hint="eastAsia" w:ascii="宋体" w:hAnsi="宋体" w:cs="宋体"/>
                <w:b/>
                <w:bCs/>
                <w:kern w:val="0"/>
                <w:sz w:val="24"/>
                <w:lang w:eastAsia="zh-CN"/>
              </w:rPr>
              <w:t>（人）</w:t>
            </w:r>
          </w:p>
        </w:tc>
        <w:tc>
          <w:tcPr>
            <w:tcW w:w="1771" w:type="dxa"/>
            <w:tcBorders>
              <w:top w:val="single" w:color="auto" w:sz="8" w:space="0"/>
              <w:left w:val="nil"/>
              <w:bottom w:val="single" w:color="auto" w:sz="4" w:space="0"/>
              <w:right w:val="single" w:color="auto" w:sz="4" w:space="0"/>
            </w:tcBorders>
            <w:shd w:val="clear" w:color="auto" w:fill="9999FF"/>
            <w:vAlign w:val="center"/>
          </w:tcPr>
          <w:p>
            <w:pPr>
              <w:widowControl/>
              <w:jc w:val="center"/>
              <w:rPr>
                <w:rFonts w:hint="eastAsia" w:ascii="宋体" w:hAnsi="宋体" w:eastAsia="宋体" w:cs="宋体"/>
                <w:b/>
                <w:bCs/>
                <w:kern w:val="0"/>
                <w:sz w:val="24"/>
              </w:rPr>
            </w:pPr>
            <w:r>
              <w:rPr>
                <w:rFonts w:hint="eastAsia" w:ascii="宋体" w:hAnsi="宋体" w:cs="宋体"/>
                <w:b/>
                <w:bCs/>
                <w:kern w:val="0"/>
                <w:sz w:val="24"/>
                <w:lang w:val="en-US" w:eastAsia="zh-CN"/>
              </w:rPr>
              <w:t>2020届毕业生人数所占</w:t>
            </w:r>
            <w:r>
              <w:rPr>
                <w:rFonts w:hint="eastAsia" w:ascii="宋体" w:hAnsi="宋体" w:eastAsia="宋体" w:cs="宋体"/>
                <w:b/>
                <w:bCs/>
                <w:kern w:val="0"/>
                <w:sz w:val="24"/>
              </w:rPr>
              <w:t>比例（％）</w:t>
            </w:r>
          </w:p>
        </w:tc>
        <w:tc>
          <w:tcPr>
            <w:tcW w:w="1771" w:type="dxa"/>
            <w:tcBorders>
              <w:top w:val="single" w:color="auto" w:sz="8" w:space="0"/>
              <w:left w:val="nil"/>
              <w:bottom w:val="single" w:color="auto" w:sz="4" w:space="0"/>
              <w:right w:val="single" w:color="auto" w:sz="4" w:space="0"/>
            </w:tcBorders>
            <w:shd w:val="clear" w:color="auto" w:fill="9999FF"/>
            <w:vAlign w:val="center"/>
          </w:tcPr>
          <w:p>
            <w:pPr>
              <w:widowControl/>
              <w:jc w:val="center"/>
              <w:rPr>
                <w:rFonts w:hint="eastAsia" w:ascii="宋体" w:hAnsi="宋体" w:eastAsia="宋体" w:cs="宋体"/>
                <w:b/>
                <w:bCs/>
                <w:kern w:val="0"/>
                <w:sz w:val="24"/>
              </w:rPr>
            </w:pPr>
            <w:r>
              <w:rPr>
                <w:rFonts w:hint="eastAsia" w:ascii="宋体" w:hAnsi="宋体" w:cs="宋体"/>
                <w:b/>
                <w:bCs/>
                <w:kern w:val="0"/>
                <w:sz w:val="24"/>
                <w:lang w:eastAsia="zh-CN"/>
              </w:rPr>
              <w:t>同比</w:t>
            </w:r>
            <w:r>
              <w:rPr>
                <w:rFonts w:hint="eastAsia" w:ascii="宋体" w:hAnsi="宋体" w:eastAsia="宋体" w:cs="宋体"/>
                <w:b/>
                <w:bCs/>
                <w:kern w:val="0"/>
                <w:sz w:val="24"/>
              </w:rPr>
              <w:t>变化率（％）</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shd w:val="clear" w:color="auto" w:fill="FFFFFF"/>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人力资源管理</w:t>
            </w:r>
          </w:p>
        </w:tc>
        <w:tc>
          <w:tcPr>
            <w:tcW w:w="202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121</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cs="宋体"/>
                <w:kern w:val="0"/>
                <w:sz w:val="24"/>
              </w:rPr>
              <w:t>07</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6.25</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13.08</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shd w:val="clear" w:color="auto" w:fill="FFFFFF"/>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会计学</w:t>
            </w:r>
          </w:p>
        </w:tc>
        <w:tc>
          <w:tcPr>
            <w:tcW w:w="202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172</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cs="宋体"/>
                <w:kern w:val="0"/>
                <w:sz w:val="24"/>
              </w:rPr>
              <w:t>75</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8.88</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-1.71</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shd w:val="clear" w:color="auto" w:fill="FFFFFF"/>
            <w:vAlign w:val="center"/>
          </w:tcPr>
          <w:p>
            <w:pPr>
              <w:widowControl/>
              <w:ind w:right="-107" w:rightChars="-51"/>
              <w:jc w:val="center"/>
              <w:rPr>
                <w:rFonts w:ascii="??_GB2312" w:hAnsi="宋体" w:eastAsia="Times New Roman" w:cs="宋体"/>
                <w:bCs/>
                <w:kern w:val="0"/>
                <w:sz w:val="24"/>
              </w:rPr>
            </w:pPr>
            <w:r>
              <w:rPr>
                <w:rFonts w:ascii="??_GB2312" w:hAnsi="宋体" w:eastAsia="Times New Roman" w:cs="宋体"/>
                <w:bCs/>
                <w:kern w:val="0"/>
                <w:sz w:val="24"/>
              </w:rPr>
              <w:t>金融学</w:t>
            </w:r>
          </w:p>
        </w:tc>
        <w:tc>
          <w:tcPr>
            <w:tcW w:w="202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126</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cs="宋体"/>
                <w:kern w:val="0"/>
                <w:sz w:val="24"/>
              </w:rPr>
              <w:t>15</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6.51</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9.57</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shd w:val="clear" w:color="auto" w:fill="FFFFFF"/>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财务管理</w:t>
            </w:r>
          </w:p>
        </w:tc>
        <w:tc>
          <w:tcPr>
            <w:tcW w:w="202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rPr>
            </w:pPr>
            <w:r>
              <w:rPr>
                <w:rFonts w:hint="eastAsia" w:ascii="宋体" w:hAnsi="宋体" w:cs="宋体"/>
                <w:kern w:val="0"/>
                <w:sz w:val="24"/>
                <w:lang w:val="en-US" w:eastAsia="zh-CN"/>
              </w:rPr>
              <w:t>129</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cs="宋体"/>
                <w:kern w:val="0"/>
                <w:sz w:val="24"/>
              </w:rPr>
              <w:t>24</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rPr>
            </w:pPr>
            <w:r>
              <w:rPr>
                <w:rFonts w:hint="eastAsia" w:ascii="宋体" w:hAnsi="宋体" w:cs="宋体"/>
                <w:kern w:val="0"/>
                <w:sz w:val="24"/>
                <w:lang w:val="en-US" w:eastAsia="zh-CN"/>
              </w:rPr>
              <w:t>6.66</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4.03</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shd w:val="clear" w:color="auto" w:fill="FFFFFF"/>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电子商务</w:t>
            </w:r>
          </w:p>
        </w:tc>
        <w:tc>
          <w:tcPr>
            <w:tcW w:w="202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118</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rPr>
            </w:pPr>
            <w:r>
              <w:rPr>
                <w:rFonts w:hint="eastAsia" w:ascii="宋体" w:hAnsi="宋体" w:cs="宋体"/>
                <w:kern w:val="0"/>
                <w:sz w:val="24"/>
              </w:rPr>
              <w:t>104</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sz w:val="24"/>
                <w:lang w:val="en-US" w:eastAsia="zh-CN"/>
              </w:rPr>
            </w:pPr>
            <w:r>
              <w:rPr>
                <w:rFonts w:hint="eastAsia" w:ascii="宋体" w:hAnsi="宋体" w:cs="宋体"/>
                <w:kern w:val="0"/>
                <w:sz w:val="24"/>
                <w:lang w:val="en-US" w:eastAsia="zh-CN"/>
              </w:rPr>
              <w:t>6.10</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sz w:val="24"/>
                <w:lang w:val="en-US" w:eastAsia="zh-CN"/>
              </w:rPr>
            </w:pPr>
            <w:r>
              <w:rPr>
                <w:rFonts w:hint="eastAsia" w:ascii="宋体" w:hAnsi="宋体" w:cs="宋体"/>
                <w:sz w:val="24"/>
                <w:lang w:val="en-US" w:eastAsia="zh-CN"/>
              </w:rPr>
              <w:t>13.46</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shd w:val="clear" w:color="auto" w:fill="FFFFFF"/>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汉语言文学</w:t>
            </w:r>
          </w:p>
        </w:tc>
        <w:tc>
          <w:tcPr>
            <w:tcW w:w="202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131</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cs="宋体"/>
                <w:kern w:val="0"/>
                <w:sz w:val="24"/>
              </w:rPr>
              <w:t>20</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6.77</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9.17</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土木工程</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51</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98</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2.63</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47.96</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播音与主持艺术</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23</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38</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1.19</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-39.47</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环境</w:t>
            </w:r>
            <w:r>
              <w:rPr>
                <w:rFonts w:hint="eastAsia" w:ascii="??_GB2312" w:hAnsi="宋体" w:cs="宋体"/>
                <w:bCs/>
                <w:kern w:val="0"/>
                <w:sz w:val="24"/>
                <w:lang w:eastAsia="zh-CN"/>
              </w:rPr>
              <w:t>艺术</w:t>
            </w:r>
            <w:r>
              <w:rPr>
                <w:rFonts w:ascii="??_GB2312" w:hAnsi="宋体" w:eastAsia="Times New Roman" w:cs="宋体"/>
                <w:bCs/>
                <w:kern w:val="0"/>
                <w:sz w:val="24"/>
              </w:rPr>
              <w:t>设计</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119</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56</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6.15</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112.5</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绘画</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62</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60</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3.20</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3.33</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自动化</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112</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104</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5.79</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7.69</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动画</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62</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5</w:t>
            </w:r>
            <w:r>
              <w:rPr>
                <w:rFonts w:hint="eastAsia" w:ascii="宋体" w:hAnsi="宋体" w:cs="宋体"/>
                <w:kern w:val="0"/>
                <w:sz w:val="24"/>
              </w:rPr>
              <w:t>3</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3.20</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16.98</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shd w:val="clear" w:color="auto" w:fill="FFFFFF"/>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通信工程</w:t>
            </w:r>
          </w:p>
        </w:tc>
        <w:tc>
          <w:tcPr>
            <w:tcW w:w="202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63</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5</w:t>
            </w:r>
            <w:r>
              <w:rPr>
                <w:rFonts w:hint="eastAsia" w:ascii="宋体" w:hAnsi="宋体" w:cs="宋体"/>
                <w:kern w:val="0"/>
                <w:sz w:val="24"/>
              </w:rPr>
              <w:t>4</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3.25</w:t>
            </w:r>
          </w:p>
        </w:tc>
        <w:tc>
          <w:tcPr>
            <w:tcW w:w="177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16.67</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计算机科学与技术</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56</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65</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2.89</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-13.85</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电子信息科学与技术</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63</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128</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3.25</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-50.78</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产品设计</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57</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49</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kern w:val="0"/>
                <w:sz w:val="24"/>
                <w:lang w:val="en-US" w:eastAsia="zh-CN"/>
              </w:rPr>
              <w:t>2.94</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sz w:val="24"/>
                <w:lang w:val="en-US" w:eastAsia="zh-CN"/>
              </w:rPr>
              <w:t>16.33</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4"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新闻学</w:t>
            </w:r>
          </w:p>
        </w:tc>
        <w:tc>
          <w:tcPr>
            <w:tcW w:w="202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128</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114</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6.61</w:t>
            </w:r>
          </w:p>
        </w:tc>
        <w:tc>
          <w:tcPr>
            <w:tcW w:w="177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12.28</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nil"/>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环境科学</w:t>
            </w:r>
          </w:p>
        </w:tc>
        <w:tc>
          <w:tcPr>
            <w:tcW w:w="2024"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53</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57</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2.74</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-7.02</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nil"/>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英语</w:t>
            </w:r>
          </w:p>
        </w:tc>
        <w:tc>
          <w:tcPr>
            <w:tcW w:w="2024"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119</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108</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kern w:val="0"/>
                <w:sz w:val="24"/>
                <w:lang w:val="en-US" w:eastAsia="zh-CN"/>
              </w:rPr>
              <w:t>6.15</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sz w:val="24"/>
                <w:lang w:val="en-US" w:eastAsia="zh-CN"/>
              </w:rPr>
              <w:t>10.19</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nil"/>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服装与服饰设计</w:t>
            </w:r>
          </w:p>
        </w:tc>
        <w:tc>
          <w:tcPr>
            <w:tcW w:w="2024"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52</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4</w:t>
            </w:r>
            <w:r>
              <w:rPr>
                <w:rFonts w:hint="eastAsia" w:ascii="宋体" w:hAnsi="宋体" w:cs="宋体"/>
                <w:kern w:val="0"/>
                <w:sz w:val="24"/>
              </w:rPr>
              <w:t>9</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kern w:val="0"/>
                <w:sz w:val="24"/>
                <w:lang w:val="en-US" w:eastAsia="zh-CN"/>
              </w:rPr>
              <w:t>2.69</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sz w:val="24"/>
                <w:lang w:val="en-US" w:eastAsia="zh-CN"/>
              </w:rPr>
              <w:t>6.12</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nil"/>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视觉传达设计</w:t>
            </w:r>
          </w:p>
        </w:tc>
        <w:tc>
          <w:tcPr>
            <w:tcW w:w="2024"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64</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60</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kern w:val="0"/>
                <w:sz w:val="24"/>
                <w:lang w:val="en-US" w:eastAsia="zh-CN"/>
              </w:rPr>
              <w:t>3.31</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sz w:val="24"/>
                <w:lang w:val="en-US" w:eastAsia="zh-CN"/>
              </w:rPr>
              <w:t>6.67</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nil"/>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信息与计算科学</w:t>
            </w:r>
          </w:p>
        </w:tc>
        <w:tc>
          <w:tcPr>
            <w:tcW w:w="2024"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50</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48</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kern w:val="0"/>
                <w:sz w:val="24"/>
                <w:lang w:val="en-US" w:eastAsia="zh-CN"/>
              </w:rPr>
              <w:t>2.58</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sz w:val="24"/>
                <w:lang w:val="en-US" w:eastAsia="zh-CN"/>
              </w:rPr>
              <w:t>4.17</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nil"/>
              <w:right w:val="single" w:color="auto" w:sz="4" w:space="0"/>
            </w:tcBorders>
            <w:vAlign w:val="center"/>
          </w:tcPr>
          <w:p>
            <w:pPr>
              <w:widowControl/>
              <w:jc w:val="center"/>
              <w:rPr>
                <w:rFonts w:ascii="??_GB2312" w:hAnsi="宋体" w:cs="宋体" w:eastAsiaTheme="minorEastAsia"/>
                <w:bCs/>
                <w:kern w:val="0"/>
                <w:sz w:val="24"/>
              </w:rPr>
            </w:pPr>
            <w:r>
              <w:rPr>
                <w:rFonts w:hint="eastAsia" w:ascii="宋体" w:hAnsi="宋体" w:cs="宋体"/>
                <w:bCs/>
                <w:kern w:val="0"/>
                <w:sz w:val="24"/>
              </w:rPr>
              <w:t>表演</w:t>
            </w:r>
          </w:p>
        </w:tc>
        <w:tc>
          <w:tcPr>
            <w:tcW w:w="2024"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lang w:eastAsia="zh-CN"/>
              </w:rPr>
            </w:pPr>
            <w:r>
              <w:rPr>
                <w:rFonts w:hint="eastAsia" w:ascii="宋体" w:hAnsi="宋体" w:cs="宋体"/>
                <w:kern w:val="0"/>
                <w:sz w:val="24"/>
                <w:lang w:val="en-US" w:eastAsia="zh-CN"/>
              </w:rPr>
              <w:t>5</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cs="宋体"/>
                <w:kern w:val="0"/>
                <w:sz w:val="24"/>
              </w:rPr>
              <w:t>----</w:t>
            </w:r>
          </w:p>
        </w:tc>
        <w:tc>
          <w:tcPr>
            <w:tcW w:w="1771" w:type="dxa"/>
            <w:tcBorders>
              <w:top w:val="nil"/>
              <w:left w:val="nil"/>
              <w:bottom w:val="nil"/>
              <w:right w:val="single" w:color="auto" w:sz="4" w:space="0"/>
            </w:tcBorders>
            <w:vAlign w:val="center"/>
          </w:tcPr>
          <w:p>
            <w:pPr>
              <w:widowControl/>
              <w:jc w:val="center"/>
              <w:rPr>
                <w:rFonts w:hint="eastAsia" w:ascii="宋体" w:hAnsi="宋体" w:eastAsia="宋体" w:cs="宋体"/>
                <w:sz w:val="24"/>
              </w:rPr>
            </w:pPr>
            <w:r>
              <w:rPr>
                <w:rFonts w:hint="eastAsia" w:ascii="宋体" w:hAnsi="宋体" w:cs="宋体"/>
                <w:kern w:val="0"/>
                <w:sz w:val="24"/>
              </w:rPr>
              <w:t>----</w:t>
            </w:r>
          </w:p>
        </w:tc>
        <w:tc>
          <w:tcPr>
            <w:tcW w:w="1771" w:type="dxa"/>
            <w:tcBorders>
              <w:top w:val="nil"/>
              <w:left w:val="nil"/>
              <w:bottom w:val="nil"/>
              <w:right w:val="single" w:color="auto" w:sz="4" w:space="0"/>
            </w:tcBorders>
            <w:vAlign w:val="center"/>
          </w:tcPr>
          <w:p>
            <w:pPr>
              <w:widowControl/>
              <w:jc w:val="center"/>
              <w:rPr>
                <w:rFonts w:hint="eastAsia" w:ascii="宋体" w:hAnsi="宋体" w:cs="宋体"/>
                <w:sz w:val="24"/>
              </w:rPr>
            </w:pPr>
            <w:r>
              <w:rPr>
                <w:rFonts w:hint="eastAsia" w:ascii="宋体" w:hAnsi="宋体" w:cs="宋体"/>
                <w:sz w:val="24"/>
              </w:rPr>
              <w:t>----</w:t>
            </w:r>
          </w:p>
        </w:tc>
      </w:tr>
      <w:tr>
        <w:tblPrEx>
          <w:tblCellMar>
            <w:top w:w="0" w:type="dxa"/>
            <w:left w:w="108" w:type="dxa"/>
            <w:bottom w:w="0" w:type="dxa"/>
            <w:right w:w="108" w:type="dxa"/>
          </w:tblCellMar>
        </w:tblPrEx>
        <w:trPr>
          <w:trHeight w:val="510" w:hRule="atLeast"/>
          <w:jc w:val="center"/>
        </w:trPr>
        <w:tc>
          <w:tcPr>
            <w:tcW w:w="2277" w:type="dxa"/>
            <w:tcBorders>
              <w:top w:val="nil"/>
              <w:left w:val="nil"/>
              <w:bottom w:val="single" w:color="auto" w:sz="8" w:space="0"/>
              <w:right w:val="single" w:color="auto" w:sz="4" w:space="0"/>
            </w:tcBorders>
            <w:vAlign w:val="center"/>
          </w:tcPr>
          <w:p>
            <w:pPr>
              <w:widowControl/>
              <w:jc w:val="center"/>
              <w:rPr>
                <w:rFonts w:ascii="??_GB2312" w:hAnsi="宋体" w:eastAsia="Times New Roman" w:cs="宋体"/>
                <w:bCs/>
                <w:kern w:val="0"/>
                <w:sz w:val="24"/>
              </w:rPr>
            </w:pPr>
            <w:r>
              <w:rPr>
                <w:rFonts w:ascii="??_GB2312" w:hAnsi="宋体" w:eastAsia="Times New Roman" w:cs="宋体"/>
                <w:bCs/>
                <w:kern w:val="0"/>
                <w:sz w:val="24"/>
              </w:rPr>
              <w:t>合计</w:t>
            </w:r>
          </w:p>
        </w:tc>
        <w:tc>
          <w:tcPr>
            <w:tcW w:w="2024" w:type="dxa"/>
            <w:tcBorders>
              <w:top w:val="nil"/>
              <w:left w:val="nil"/>
              <w:bottom w:val="single" w:color="auto" w:sz="8"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1936</w:t>
            </w:r>
          </w:p>
        </w:tc>
        <w:tc>
          <w:tcPr>
            <w:tcW w:w="1771" w:type="dxa"/>
            <w:tcBorders>
              <w:top w:val="nil"/>
              <w:left w:val="nil"/>
              <w:bottom w:val="single" w:color="auto" w:sz="8" w:space="0"/>
              <w:right w:val="single" w:color="auto" w:sz="4" w:space="0"/>
            </w:tcBorders>
            <w:vAlign w:val="center"/>
          </w:tcPr>
          <w:p>
            <w:pPr>
              <w:widowControl/>
              <w:jc w:val="center"/>
              <w:rPr>
                <w:rFonts w:hint="eastAsia" w:ascii="宋体" w:hAnsi="宋体" w:eastAsia="宋体" w:cs="宋体"/>
                <w:kern w:val="0"/>
                <w:sz w:val="24"/>
              </w:rPr>
            </w:pPr>
            <w:r>
              <w:rPr>
                <w:rFonts w:hint="eastAsia" w:ascii="宋体" w:hAnsi="宋体" w:eastAsia="宋体" w:cs="宋体"/>
                <w:kern w:val="0"/>
                <w:sz w:val="24"/>
              </w:rPr>
              <w:t>1</w:t>
            </w:r>
            <w:r>
              <w:rPr>
                <w:rFonts w:hint="eastAsia" w:ascii="宋体" w:hAnsi="宋体" w:cs="宋体"/>
                <w:kern w:val="0"/>
                <w:sz w:val="24"/>
              </w:rPr>
              <w:t>886</w:t>
            </w:r>
          </w:p>
        </w:tc>
        <w:tc>
          <w:tcPr>
            <w:tcW w:w="1771" w:type="dxa"/>
            <w:tcBorders>
              <w:top w:val="nil"/>
              <w:left w:val="nil"/>
              <w:bottom w:val="single" w:color="auto" w:sz="8" w:space="0"/>
              <w:right w:val="single" w:color="auto" w:sz="4" w:space="0"/>
            </w:tcBorders>
            <w:vAlign w:val="center"/>
          </w:tcPr>
          <w:p>
            <w:pPr>
              <w:widowControl/>
              <w:jc w:val="center"/>
              <w:rPr>
                <w:rFonts w:hint="eastAsia" w:ascii="宋体" w:hAnsi="宋体" w:cs="宋体"/>
                <w:color w:val="FF0000"/>
                <w:kern w:val="0"/>
                <w:sz w:val="24"/>
              </w:rPr>
            </w:pPr>
            <w:r>
              <w:rPr>
                <w:rFonts w:hint="eastAsia" w:ascii="宋体" w:hAnsi="宋体" w:eastAsia="宋体" w:cs="宋体"/>
                <w:kern w:val="0"/>
                <w:sz w:val="24"/>
              </w:rPr>
              <w:t>100</w:t>
            </w:r>
          </w:p>
        </w:tc>
        <w:tc>
          <w:tcPr>
            <w:tcW w:w="1771" w:type="dxa"/>
            <w:tcBorders>
              <w:top w:val="nil"/>
              <w:left w:val="nil"/>
              <w:bottom w:val="single" w:color="auto" w:sz="8" w:space="0"/>
              <w:right w:val="single" w:color="auto" w:sz="4" w:space="0"/>
            </w:tcBorders>
            <w:vAlign w:val="center"/>
          </w:tcPr>
          <w:p>
            <w:pPr>
              <w:widowControl/>
              <w:jc w:val="center"/>
              <w:rPr>
                <w:rFonts w:hint="eastAsia" w:ascii="宋体" w:hAnsi="宋体" w:eastAsia="宋体" w:cs="宋体"/>
                <w:color w:val="FF0000"/>
                <w:kern w:val="0"/>
                <w:sz w:val="24"/>
                <w:lang w:val="en-US" w:eastAsia="zh-CN"/>
              </w:rPr>
            </w:pPr>
            <w:r>
              <w:rPr>
                <w:rFonts w:hint="eastAsia" w:ascii="宋体" w:hAnsi="宋体" w:cs="宋体"/>
                <w:color w:val="FF0000"/>
                <w:kern w:val="0"/>
                <w:sz w:val="24"/>
                <w:lang w:val="en-US" w:eastAsia="zh-CN"/>
              </w:rPr>
              <w:t>2.65</w:t>
            </w:r>
          </w:p>
        </w:tc>
      </w:tr>
    </w:tbl>
    <w:p>
      <w:pPr>
        <w:ind w:firstLine="210" w:firstLineChars="100"/>
        <w:rPr>
          <w:rFonts w:ascii="??_GB2312" w:eastAsia="Times New Roman"/>
          <w:sz w:val="24"/>
        </w:rPr>
      </w:pPr>
      <w:bookmarkStart w:id="40" w:name="_Toc436748511"/>
      <w:r>
        <w:rPr>
          <w:rFonts w:ascii="??_GB2312" w:hAnsi="宋体" w:eastAsia="Times New Roman"/>
          <w:szCs w:val="21"/>
        </w:rPr>
        <w:t>注：“----”表示无变化情况</w:t>
      </w:r>
      <w:r>
        <w:rPr>
          <w:rFonts w:ascii="??_GB2312" w:eastAsia="Times New Roman"/>
          <w:szCs w:val="21"/>
        </w:rPr>
        <w:t>。</w:t>
      </w:r>
    </w:p>
    <w:p>
      <w:pPr>
        <w:spacing w:line="360" w:lineRule="auto"/>
        <w:ind w:firstLine="420"/>
        <w:rPr>
          <w:rFonts w:ascii="??_GB2312" w:hAnsi="宋体" w:eastAsia="Times New Roman"/>
          <w:sz w:val="24"/>
          <w:szCs w:val="24"/>
        </w:rPr>
      </w:pPr>
      <w:r>
        <w:rPr>
          <w:rFonts w:hint="eastAsia" w:ascii="宋体" w:hAnsi="宋体" w:eastAsia="宋体" w:cs="宋体"/>
          <w:sz w:val="24"/>
          <w:szCs w:val="24"/>
        </w:rPr>
        <w:t>从数据上看，</w:t>
      </w:r>
      <w:r>
        <w:rPr>
          <w:rFonts w:hint="eastAsia" w:ascii="宋体" w:hAnsi="宋体" w:cs="宋体"/>
          <w:sz w:val="24"/>
          <w:szCs w:val="24"/>
          <w:lang w:val="en-US" w:eastAsia="zh-CN"/>
        </w:rPr>
        <w:t>23</w:t>
      </w:r>
      <w:r>
        <w:rPr>
          <w:rFonts w:hint="eastAsia" w:ascii="宋体" w:hAnsi="宋体" w:eastAsia="宋体" w:cs="宋体"/>
          <w:sz w:val="24"/>
          <w:szCs w:val="24"/>
        </w:rPr>
        <w:t>个专业中，</w:t>
      </w:r>
      <w:r>
        <w:rPr>
          <w:rFonts w:hint="eastAsia" w:ascii="宋体" w:hAnsi="宋体" w:cs="宋体"/>
          <w:sz w:val="24"/>
          <w:szCs w:val="24"/>
          <w:lang w:val="en-US" w:eastAsia="zh-CN"/>
        </w:rPr>
        <w:t>5</w:t>
      </w:r>
      <w:r>
        <w:rPr>
          <w:rFonts w:hint="eastAsia" w:ascii="宋体" w:hAnsi="宋体" w:eastAsia="宋体" w:cs="宋体"/>
          <w:sz w:val="24"/>
          <w:szCs w:val="24"/>
        </w:rPr>
        <w:t>个专业毕业生人数较去年有所下降，分别是</w:t>
      </w:r>
      <w:r>
        <w:rPr>
          <w:rFonts w:hint="eastAsia" w:ascii="宋体" w:hAnsi="宋体" w:cs="宋体"/>
          <w:sz w:val="24"/>
          <w:szCs w:val="24"/>
          <w:lang w:eastAsia="zh-CN"/>
        </w:rPr>
        <w:t>会计学、</w:t>
      </w:r>
      <w:r>
        <w:rPr>
          <w:rFonts w:hint="eastAsia" w:ascii="宋体" w:hAnsi="宋体" w:cs="宋体"/>
          <w:sz w:val="24"/>
          <w:szCs w:val="24"/>
        </w:rPr>
        <w:t>播音与主持艺术、</w:t>
      </w:r>
      <w:r>
        <w:rPr>
          <w:rFonts w:hint="eastAsia" w:ascii="宋体" w:hAnsi="宋体" w:cs="宋体"/>
          <w:sz w:val="24"/>
          <w:szCs w:val="24"/>
          <w:lang w:eastAsia="zh-CN"/>
        </w:rPr>
        <w:t>计算机科学与技术、</w:t>
      </w:r>
      <w:r>
        <w:rPr>
          <w:rFonts w:hint="eastAsia" w:ascii="宋体" w:hAnsi="宋体" w:eastAsia="宋体" w:cs="宋体"/>
          <w:bCs/>
          <w:kern w:val="0"/>
          <w:sz w:val="24"/>
        </w:rPr>
        <w:t>电子信息科学与技术</w:t>
      </w:r>
      <w:r>
        <w:rPr>
          <w:rFonts w:hint="eastAsia" w:ascii="宋体" w:hAnsi="宋体" w:cs="宋体"/>
          <w:bCs/>
          <w:kern w:val="0"/>
          <w:sz w:val="24"/>
          <w:lang w:eastAsia="zh-CN"/>
        </w:rPr>
        <w:t>、环境科学</w:t>
      </w:r>
      <w:r>
        <w:rPr>
          <w:rFonts w:hint="eastAsia" w:ascii="宋体" w:hAnsi="宋体" w:eastAsia="宋体" w:cs="宋体"/>
          <w:sz w:val="24"/>
          <w:szCs w:val="24"/>
        </w:rPr>
        <w:t>，</w:t>
      </w:r>
      <w:r>
        <w:rPr>
          <w:rFonts w:hint="eastAsia" w:ascii="宋体" w:hAnsi="宋体" w:cs="宋体"/>
          <w:sz w:val="24"/>
          <w:szCs w:val="24"/>
          <w:lang w:eastAsia="zh-CN"/>
        </w:rPr>
        <w:t>其余</w:t>
      </w:r>
      <w:r>
        <w:rPr>
          <w:rFonts w:hint="eastAsia" w:ascii="宋体" w:hAnsi="宋体" w:cs="宋体"/>
          <w:sz w:val="24"/>
          <w:szCs w:val="24"/>
          <w:lang w:val="en-US" w:eastAsia="zh-CN"/>
        </w:rPr>
        <w:t>18个</w:t>
      </w:r>
      <w:r>
        <w:rPr>
          <w:rFonts w:hint="eastAsia" w:ascii="宋体" w:hAnsi="宋体" w:eastAsia="宋体" w:cs="宋体"/>
          <w:sz w:val="24"/>
          <w:szCs w:val="24"/>
        </w:rPr>
        <w:t>专业毕业生人数</w:t>
      </w:r>
      <w:r>
        <w:rPr>
          <w:rFonts w:hint="eastAsia" w:ascii="宋体" w:hAnsi="宋体" w:cs="宋体"/>
          <w:sz w:val="24"/>
          <w:szCs w:val="24"/>
          <w:lang w:eastAsia="zh-CN"/>
        </w:rPr>
        <w:t>同比增加</w:t>
      </w:r>
      <w:r>
        <w:rPr>
          <w:rFonts w:hint="eastAsia" w:ascii="宋体" w:hAnsi="宋体" w:eastAsia="宋体" w:cs="宋体"/>
          <w:sz w:val="24"/>
          <w:szCs w:val="24"/>
        </w:rPr>
        <w:t>。</w:t>
      </w:r>
    </w:p>
    <w:p>
      <w:pPr>
        <w:pStyle w:val="4"/>
        <w:numPr>
          <w:ilvl w:val="0"/>
          <w:numId w:val="3"/>
        </w:numPr>
        <w:spacing w:line="360" w:lineRule="auto"/>
        <w:rPr>
          <w:sz w:val="28"/>
          <w:szCs w:val="28"/>
        </w:rPr>
      </w:pPr>
      <w:r>
        <w:rPr>
          <w:rFonts w:hint="eastAsia"/>
          <w:sz w:val="28"/>
          <w:szCs w:val="28"/>
        </w:rPr>
        <w:t>生源结构</w:t>
      </w:r>
      <w:bookmarkEnd w:id="40"/>
    </w:p>
    <w:p>
      <w:pPr>
        <w:spacing w:line="360" w:lineRule="auto"/>
        <w:ind w:firstLine="477" w:firstLineChars="199"/>
        <w:rPr>
          <w:rFonts w:hint="eastAsia" w:ascii="宋体" w:hAnsi="宋体" w:eastAsia="宋体" w:cs="宋体"/>
          <w:color w:val="FF0000"/>
          <w:sz w:val="24"/>
          <w:szCs w:val="24"/>
        </w:rPr>
      </w:pPr>
      <w:r>
        <w:rPr>
          <w:rFonts w:hint="eastAsia" w:ascii="宋体" w:hAnsi="宋体" w:eastAsia="宋体" w:cs="宋体"/>
          <w:sz w:val="24"/>
          <w:szCs w:val="24"/>
        </w:rPr>
        <w:t>学院</w:t>
      </w:r>
      <w:r>
        <w:rPr>
          <w:rFonts w:hint="eastAsia" w:ascii="宋体" w:hAnsi="宋体" w:cs="宋体"/>
          <w:sz w:val="24"/>
          <w:szCs w:val="24"/>
          <w:lang w:val="en-US" w:eastAsia="zh-CN"/>
        </w:rPr>
        <w:t>2020</w:t>
      </w:r>
      <w:r>
        <w:rPr>
          <w:rFonts w:hint="eastAsia" w:ascii="宋体" w:hAnsi="宋体" w:eastAsia="宋体" w:cs="宋体"/>
          <w:sz w:val="24"/>
          <w:szCs w:val="24"/>
        </w:rPr>
        <w:t>届毕业生生源地主要分布于区内，呼和浩特市、鄂尔多斯市、乌兰察布市，及巴彦淖尔市和包头市等五个地区，这五个地区毕业生人数占</w:t>
      </w:r>
      <w:r>
        <w:rPr>
          <w:rFonts w:hint="eastAsia" w:ascii="宋体" w:hAnsi="宋体" w:cs="宋体"/>
          <w:sz w:val="24"/>
          <w:szCs w:val="24"/>
        </w:rPr>
        <w:t>2019</w:t>
      </w:r>
      <w:r>
        <w:rPr>
          <w:rFonts w:hint="eastAsia" w:ascii="宋体" w:hAnsi="宋体" w:eastAsia="宋体" w:cs="宋体"/>
          <w:sz w:val="24"/>
          <w:szCs w:val="24"/>
        </w:rPr>
        <w:t>届毕业生总数的</w:t>
      </w:r>
      <w:r>
        <w:rPr>
          <w:rFonts w:hint="eastAsia" w:ascii="宋体" w:hAnsi="宋体" w:cs="宋体"/>
          <w:sz w:val="24"/>
          <w:szCs w:val="24"/>
          <w:lang w:val="en-US" w:eastAsia="zh-CN"/>
        </w:rPr>
        <w:t>73.76</w:t>
      </w:r>
      <w:r>
        <w:rPr>
          <w:rFonts w:hint="eastAsia" w:ascii="宋体" w:hAnsi="宋体" w:eastAsia="宋体" w:cs="宋体"/>
          <w:sz w:val="24"/>
          <w:szCs w:val="24"/>
        </w:rPr>
        <w:t>%。其中鄂尔多斯市</w:t>
      </w:r>
      <w:r>
        <w:rPr>
          <w:rFonts w:hint="eastAsia" w:ascii="宋体" w:hAnsi="宋体" w:cs="宋体"/>
          <w:sz w:val="24"/>
          <w:szCs w:val="24"/>
          <w:lang w:val="en-US" w:eastAsia="zh-CN"/>
        </w:rPr>
        <w:t>215</w:t>
      </w:r>
      <w:r>
        <w:rPr>
          <w:rFonts w:hint="eastAsia" w:ascii="宋体" w:hAnsi="宋体" w:eastAsia="宋体" w:cs="宋体"/>
          <w:sz w:val="24"/>
          <w:szCs w:val="24"/>
        </w:rPr>
        <w:t>人，比去年下降</w:t>
      </w:r>
      <w:r>
        <w:rPr>
          <w:rFonts w:hint="eastAsia" w:ascii="宋体" w:hAnsi="宋体" w:cs="宋体"/>
          <w:sz w:val="24"/>
          <w:szCs w:val="24"/>
          <w:lang w:val="en-US" w:eastAsia="zh-CN"/>
        </w:rPr>
        <w:t>41.86</w:t>
      </w:r>
      <w:r>
        <w:rPr>
          <w:rFonts w:hint="eastAsia" w:ascii="宋体" w:hAnsi="宋体" w:eastAsia="宋体" w:cs="宋体"/>
          <w:sz w:val="24"/>
          <w:szCs w:val="24"/>
        </w:rPr>
        <w:t>%（鄂尔多斯市毕业生生源已是连续</w:t>
      </w:r>
      <w:r>
        <w:rPr>
          <w:rFonts w:hint="eastAsia" w:ascii="宋体" w:hAnsi="宋体" w:cs="宋体"/>
          <w:sz w:val="24"/>
          <w:szCs w:val="24"/>
          <w:lang w:val="en-US" w:eastAsia="zh-CN"/>
        </w:rPr>
        <w:t>四</w:t>
      </w:r>
      <w:r>
        <w:rPr>
          <w:rFonts w:hint="eastAsia" w:ascii="宋体" w:hAnsi="宋体" w:eastAsia="宋体" w:cs="宋体"/>
          <w:sz w:val="24"/>
          <w:szCs w:val="24"/>
        </w:rPr>
        <w:t>年下降），呼和浩特市</w:t>
      </w:r>
      <w:r>
        <w:rPr>
          <w:rFonts w:hint="eastAsia" w:ascii="宋体" w:hAnsi="宋体" w:cs="宋体"/>
          <w:sz w:val="24"/>
          <w:szCs w:val="24"/>
          <w:lang w:val="en-US" w:eastAsia="zh-CN"/>
        </w:rPr>
        <w:t>367</w:t>
      </w:r>
      <w:r>
        <w:rPr>
          <w:rFonts w:hint="eastAsia" w:ascii="宋体" w:hAnsi="宋体" w:eastAsia="宋体" w:cs="宋体"/>
          <w:sz w:val="24"/>
          <w:szCs w:val="24"/>
        </w:rPr>
        <w:t>人，比去年上升</w:t>
      </w:r>
      <w:r>
        <w:rPr>
          <w:rFonts w:hint="eastAsia" w:ascii="宋体" w:hAnsi="宋体" w:cs="宋体"/>
          <w:sz w:val="24"/>
          <w:szCs w:val="24"/>
          <w:lang w:val="en-US" w:eastAsia="zh-CN"/>
        </w:rPr>
        <w:t>2.91</w:t>
      </w:r>
      <w:r>
        <w:rPr>
          <w:rFonts w:hint="eastAsia" w:ascii="宋体" w:hAnsi="宋体" w:eastAsia="宋体" w:cs="宋体"/>
          <w:sz w:val="24"/>
          <w:szCs w:val="24"/>
        </w:rPr>
        <w:t>%，乌兰察布市</w:t>
      </w:r>
      <w:r>
        <w:rPr>
          <w:rFonts w:hint="eastAsia" w:ascii="宋体" w:hAnsi="宋体" w:cs="宋体"/>
          <w:sz w:val="24"/>
          <w:szCs w:val="24"/>
          <w:lang w:val="en-US" w:eastAsia="zh-CN"/>
        </w:rPr>
        <w:t>389</w:t>
      </w:r>
      <w:r>
        <w:rPr>
          <w:rFonts w:hint="eastAsia" w:ascii="宋体" w:hAnsi="宋体" w:eastAsia="宋体" w:cs="宋体"/>
          <w:sz w:val="24"/>
          <w:szCs w:val="24"/>
        </w:rPr>
        <w:t>人，比去年上升</w:t>
      </w:r>
      <w:r>
        <w:rPr>
          <w:rFonts w:hint="eastAsia" w:ascii="宋体" w:hAnsi="宋体" w:cs="宋体"/>
          <w:sz w:val="24"/>
          <w:szCs w:val="24"/>
          <w:lang w:val="en-US" w:eastAsia="zh-CN"/>
        </w:rPr>
        <w:t>48.59</w:t>
      </w:r>
      <w:r>
        <w:rPr>
          <w:rFonts w:hint="eastAsia" w:ascii="宋体" w:hAnsi="宋体" w:eastAsia="宋体" w:cs="宋体"/>
          <w:sz w:val="24"/>
          <w:szCs w:val="24"/>
        </w:rPr>
        <w:t>%（乌兰察布市生源连续</w:t>
      </w:r>
      <w:r>
        <w:rPr>
          <w:rFonts w:hint="eastAsia" w:ascii="宋体" w:hAnsi="宋体" w:cs="宋体"/>
          <w:sz w:val="24"/>
          <w:szCs w:val="24"/>
          <w:lang w:val="en-US" w:eastAsia="zh-CN"/>
        </w:rPr>
        <w:t>四</w:t>
      </w:r>
      <w:r>
        <w:rPr>
          <w:rFonts w:hint="eastAsia" w:ascii="宋体" w:hAnsi="宋体" w:eastAsia="宋体" w:cs="宋体"/>
          <w:sz w:val="24"/>
          <w:szCs w:val="24"/>
        </w:rPr>
        <w:t>年上升），包头市</w:t>
      </w:r>
      <w:r>
        <w:rPr>
          <w:rFonts w:hint="eastAsia" w:ascii="宋体" w:hAnsi="宋体" w:cs="宋体"/>
          <w:sz w:val="24"/>
          <w:szCs w:val="24"/>
          <w:lang w:val="en-US" w:eastAsia="zh-CN"/>
        </w:rPr>
        <w:t>225</w:t>
      </w:r>
      <w:r>
        <w:rPr>
          <w:rFonts w:hint="eastAsia" w:ascii="宋体" w:hAnsi="宋体" w:eastAsia="宋体" w:cs="宋体"/>
          <w:sz w:val="24"/>
          <w:szCs w:val="24"/>
        </w:rPr>
        <w:t>人（包头市生源连续三年上升），比去年上升</w:t>
      </w:r>
      <w:r>
        <w:rPr>
          <w:rFonts w:hint="eastAsia" w:ascii="宋体" w:hAnsi="宋体" w:cs="宋体"/>
          <w:sz w:val="24"/>
          <w:szCs w:val="24"/>
          <w:lang w:val="en-US" w:eastAsia="zh-CN"/>
        </w:rPr>
        <w:t>13.78</w:t>
      </w:r>
      <w:r>
        <w:rPr>
          <w:rFonts w:hint="eastAsia" w:ascii="宋体" w:hAnsi="宋体" w:eastAsia="宋体" w:cs="宋体"/>
          <w:sz w:val="24"/>
          <w:szCs w:val="24"/>
        </w:rPr>
        <w:t>%，巴彦淖尔市</w:t>
      </w:r>
      <w:r>
        <w:rPr>
          <w:rFonts w:hint="eastAsia" w:ascii="宋体" w:hAnsi="宋体" w:cs="宋体"/>
          <w:sz w:val="24"/>
          <w:szCs w:val="24"/>
          <w:lang w:val="en-US" w:eastAsia="zh-CN"/>
        </w:rPr>
        <w:t>232</w:t>
      </w:r>
      <w:r>
        <w:rPr>
          <w:rFonts w:hint="eastAsia" w:ascii="宋体" w:hAnsi="宋体" w:eastAsia="宋体" w:cs="宋体"/>
          <w:sz w:val="24"/>
          <w:szCs w:val="24"/>
        </w:rPr>
        <w:t>人，比去年上升</w:t>
      </w:r>
      <w:r>
        <w:rPr>
          <w:rFonts w:hint="eastAsia" w:ascii="宋体" w:hAnsi="宋体" w:cs="宋体"/>
          <w:sz w:val="24"/>
          <w:szCs w:val="24"/>
          <w:lang w:val="en-US" w:eastAsia="zh-CN"/>
        </w:rPr>
        <w:t>17.24</w:t>
      </w:r>
      <w:r>
        <w:rPr>
          <w:rFonts w:hint="eastAsia" w:ascii="宋体" w:hAnsi="宋体" w:eastAsia="宋体" w:cs="宋体"/>
          <w:sz w:val="24"/>
          <w:szCs w:val="24"/>
        </w:rPr>
        <w:t>%。</w:t>
      </w:r>
    </w:p>
    <w:p>
      <w:pPr>
        <w:spacing w:line="360" w:lineRule="auto"/>
        <w:ind w:firstLine="2378" w:firstLineChars="987"/>
        <w:rPr>
          <w:rFonts w:ascii="??_GB2312" w:eastAsia="Times New Roman"/>
          <w:b/>
          <w:sz w:val="24"/>
        </w:rPr>
      </w:pPr>
      <w:r>
        <w:rPr>
          <w:rFonts w:hint="eastAsia" w:ascii="宋体" w:hAnsi="宋体" w:eastAsia="宋体" w:cs="宋体"/>
          <w:b/>
          <w:sz w:val="24"/>
        </w:rPr>
        <w:t xml:space="preserve">表1.5: </w:t>
      </w:r>
      <w:r>
        <w:rPr>
          <w:rFonts w:hint="eastAsia" w:ascii="宋体" w:hAnsi="宋体" w:cs="宋体"/>
          <w:b/>
          <w:sz w:val="24"/>
          <w:lang w:val="en-US" w:eastAsia="zh-CN"/>
        </w:rPr>
        <w:t>2020</w:t>
      </w:r>
      <w:r>
        <w:rPr>
          <w:rFonts w:hint="eastAsia" w:ascii="宋体" w:hAnsi="宋体" w:eastAsia="宋体" w:cs="宋体"/>
          <w:b/>
          <w:sz w:val="24"/>
        </w:rPr>
        <w:t>届毕业生生源分布（前五）</w:t>
      </w:r>
    </w:p>
    <w:tbl>
      <w:tblPr>
        <w:tblStyle w:val="20"/>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2024"/>
        <w:gridCol w:w="2024"/>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24" w:type="dxa"/>
            <w:shd w:val="clear" w:color="auto" w:fill="9999FF"/>
            <w:vAlign w:val="center"/>
          </w:tcPr>
          <w:p>
            <w:pPr>
              <w:spacing w:line="360" w:lineRule="auto"/>
              <w:jc w:val="center"/>
              <w:rPr>
                <w:rFonts w:ascii="??_GB2312" w:hAnsi="宋体" w:eastAsia="Times New Roman"/>
                <w:b/>
                <w:sz w:val="24"/>
              </w:rPr>
            </w:pPr>
            <w:r>
              <w:rPr>
                <w:rFonts w:ascii="??_GB2312" w:hAnsi="宋体" w:eastAsia="Times New Roman"/>
                <w:b/>
                <w:sz w:val="24"/>
              </w:rPr>
              <w:t>序号</w:t>
            </w:r>
          </w:p>
        </w:tc>
        <w:tc>
          <w:tcPr>
            <w:tcW w:w="2024" w:type="dxa"/>
            <w:shd w:val="clear" w:color="auto" w:fill="9999FF"/>
            <w:vAlign w:val="center"/>
          </w:tcPr>
          <w:p>
            <w:pPr>
              <w:spacing w:line="360" w:lineRule="auto"/>
              <w:jc w:val="center"/>
              <w:rPr>
                <w:rFonts w:ascii="??_GB2312" w:hAnsi="宋体" w:eastAsia="Times New Roman"/>
                <w:b/>
                <w:sz w:val="24"/>
              </w:rPr>
            </w:pPr>
            <w:r>
              <w:rPr>
                <w:rFonts w:ascii="??_GB2312" w:hAnsi="宋体" w:eastAsia="Times New Roman"/>
                <w:b/>
                <w:sz w:val="24"/>
              </w:rPr>
              <w:t>生源地</w:t>
            </w:r>
          </w:p>
        </w:tc>
        <w:tc>
          <w:tcPr>
            <w:tcW w:w="2024" w:type="dxa"/>
            <w:shd w:val="clear" w:color="auto" w:fill="9999FF"/>
            <w:vAlign w:val="center"/>
          </w:tcPr>
          <w:p>
            <w:pPr>
              <w:spacing w:line="360" w:lineRule="auto"/>
              <w:jc w:val="center"/>
              <w:rPr>
                <w:rFonts w:ascii="??_GB2312" w:hAnsi="宋体" w:eastAsia="Times New Roman"/>
                <w:b/>
                <w:sz w:val="24"/>
              </w:rPr>
            </w:pPr>
            <w:r>
              <w:rPr>
                <w:rFonts w:ascii="??_GB2312" w:hAnsi="宋体" w:eastAsia="Times New Roman"/>
                <w:b/>
                <w:sz w:val="24"/>
              </w:rPr>
              <w:t>人数</w:t>
            </w:r>
          </w:p>
        </w:tc>
        <w:tc>
          <w:tcPr>
            <w:tcW w:w="2025" w:type="dxa"/>
            <w:shd w:val="clear" w:color="auto" w:fill="9999FF"/>
            <w:vAlign w:val="center"/>
          </w:tcPr>
          <w:p>
            <w:pPr>
              <w:spacing w:line="360" w:lineRule="auto"/>
              <w:jc w:val="center"/>
              <w:rPr>
                <w:rFonts w:ascii="??_GB2312" w:hAnsi="宋体" w:eastAsia="Times New Roman"/>
                <w:b/>
                <w:sz w:val="24"/>
              </w:rPr>
            </w:pPr>
            <w:r>
              <w:rPr>
                <w:rFonts w:ascii="??_GB2312" w:hAnsi="宋体" w:eastAsia="Times New Roman"/>
                <w:b/>
                <w:sz w:val="24"/>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24" w:type="dxa"/>
            <w:vAlign w:val="center"/>
          </w:tcPr>
          <w:p>
            <w:pPr>
              <w:jc w:val="center"/>
              <w:rPr>
                <w:rFonts w:hint="eastAsia" w:ascii="宋体" w:hAnsi="宋体" w:eastAsia="宋体" w:cs="宋体"/>
                <w:sz w:val="24"/>
              </w:rPr>
            </w:pPr>
            <w:r>
              <w:rPr>
                <w:rFonts w:hint="eastAsia" w:ascii="宋体" w:hAnsi="宋体" w:eastAsia="宋体" w:cs="宋体"/>
                <w:sz w:val="24"/>
              </w:rPr>
              <w:t>1</w:t>
            </w:r>
          </w:p>
        </w:tc>
        <w:tc>
          <w:tcPr>
            <w:tcW w:w="2024" w:type="dxa"/>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乌兰察布市</w:t>
            </w:r>
          </w:p>
        </w:tc>
        <w:tc>
          <w:tcPr>
            <w:tcW w:w="2024"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389</w:t>
            </w:r>
          </w:p>
        </w:tc>
        <w:tc>
          <w:tcPr>
            <w:tcW w:w="202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24" w:type="dxa"/>
            <w:vAlign w:val="center"/>
          </w:tcPr>
          <w:p>
            <w:pPr>
              <w:jc w:val="center"/>
              <w:rPr>
                <w:rFonts w:hint="eastAsia" w:ascii="宋体" w:hAnsi="宋体" w:eastAsia="宋体" w:cs="宋体"/>
                <w:sz w:val="24"/>
              </w:rPr>
            </w:pPr>
            <w:r>
              <w:rPr>
                <w:rFonts w:hint="eastAsia" w:ascii="宋体" w:hAnsi="宋体" w:eastAsia="宋体" w:cs="宋体"/>
                <w:sz w:val="24"/>
              </w:rPr>
              <w:t>2</w:t>
            </w:r>
          </w:p>
        </w:tc>
        <w:tc>
          <w:tcPr>
            <w:tcW w:w="2024" w:type="dxa"/>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呼和浩特市</w:t>
            </w:r>
          </w:p>
        </w:tc>
        <w:tc>
          <w:tcPr>
            <w:tcW w:w="2024"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367</w:t>
            </w:r>
          </w:p>
        </w:tc>
        <w:tc>
          <w:tcPr>
            <w:tcW w:w="202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24" w:type="dxa"/>
            <w:vAlign w:val="center"/>
          </w:tcPr>
          <w:p>
            <w:pPr>
              <w:jc w:val="center"/>
              <w:rPr>
                <w:rFonts w:hint="eastAsia" w:ascii="宋体" w:hAnsi="宋体" w:eastAsia="宋体" w:cs="宋体"/>
                <w:sz w:val="24"/>
              </w:rPr>
            </w:pPr>
            <w:r>
              <w:rPr>
                <w:rFonts w:hint="eastAsia" w:ascii="宋体" w:hAnsi="宋体" w:eastAsia="宋体" w:cs="宋体"/>
                <w:sz w:val="24"/>
              </w:rPr>
              <w:t>3</w:t>
            </w:r>
          </w:p>
        </w:tc>
        <w:tc>
          <w:tcPr>
            <w:tcW w:w="2024" w:type="dxa"/>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巴彦淖尔市</w:t>
            </w:r>
          </w:p>
        </w:tc>
        <w:tc>
          <w:tcPr>
            <w:tcW w:w="2024"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232</w:t>
            </w:r>
          </w:p>
        </w:tc>
        <w:tc>
          <w:tcPr>
            <w:tcW w:w="202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24" w:type="dxa"/>
            <w:vAlign w:val="center"/>
          </w:tcPr>
          <w:p>
            <w:pPr>
              <w:jc w:val="center"/>
              <w:rPr>
                <w:rFonts w:hint="eastAsia" w:ascii="宋体" w:hAnsi="宋体" w:eastAsia="宋体" w:cs="宋体"/>
                <w:sz w:val="24"/>
              </w:rPr>
            </w:pPr>
            <w:r>
              <w:rPr>
                <w:rFonts w:hint="eastAsia" w:ascii="宋体" w:hAnsi="宋体" w:eastAsia="宋体" w:cs="宋体"/>
                <w:sz w:val="24"/>
              </w:rPr>
              <w:t>4</w:t>
            </w:r>
          </w:p>
        </w:tc>
        <w:tc>
          <w:tcPr>
            <w:tcW w:w="2024" w:type="dxa"/>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包头市</w:t>
            </w:r>
          </w:p>
        </w:tc>
        <w:tc>
          <w:tcPr>
            <w:tcW w:w="2024"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225</w:t>
            </w:r>
          </w:p>
        </w:tc>
        <w:tc>
          <w:tcPr>
            <w:tcW w:w="202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024" w:type="dxa"/>
            <w:vAlign w:val="center"/>
          </w:tcPr>
          <w:p>
            <w:pPr>
              <w:jc w:val="center"/>
              <w:rPr>
                <w:rFonts w:hint="eastAsia" w:ascii="宋体" w:hAnsi="宋体" w:eastAsia="宋体" w:cs="宋体"/>
                <w:sz w:val="24"/>
              </w:rPr>
            </w:pPr>
            <w:r>
              <w:rPr>
                <w:rFonts w:hint="eastAsia" w:ascii="宋体" w:hAnsi="宋体" w:eastAsia="宋体" w:cs="宋体"/>
                <w:sz w:val="24"/>
              </w:rPr>
              <w:t>5</w:t>
            </w:r>
          </w:p>
        </w:tc>
        <w:tc>
          <w:tcPr>
            <w:tcW w:w="2024" w:type="dxa"/>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鄂尔多斯市</w:t>
            </w:r>
          </w:p>
        </w:tc>
        <w:tc>
          <w:tcPr>
            <w:tcW w:w="2024"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215</w:t>
            </w:r>
          </w:p>
        </w:tc>
        <w:tc>
          <w:tcPr>
            <w:tcW w:w="202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11.10</w:t>
            </w:r>
          </w:p>
        </w:tc>
      </w:tr>
    </w:tbl>
    <w:p>
      <w:pPr>
        <w:pStyle w:val="4"/>
        <w:numPr>
          <w:ilvl w:val="0"/>
          <w:numId w:val="3"/>
        </w:numPr>
        <w:spacing w:line="360" w:lineRule="auto"/>
        <w:rPr>
          <w:sz w:val="28"/>
          <w:szCs w:val="28"/>
        </w:rPr>
      </w:pPr>
      <w:bookmarkStart w:id="41" w:name="_Toc436748512"/>
      <w:r>
        <w:rPr>
          <w:rFonts w:hint="eastAsia"/>
          <w:sz w:val="28"/>
          <w:szCs w:val="28"/>
        </w:rPr>
        <w:t>性别结构</w:t>
      </w:r>
      <w:bookmarkEnd w:id="41"/>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学院</w:t>
      </w:r>
      <w:r>
        <w:rPr>
          <w:rFonts w:hint="eastAsia" w:ascii="宋体" w:hAnsi="宋体" w:cs="宋体"/>
          <w:bCs/>
          <w:sz w:val="24"/>
          <w:lang w:val="en-US" w:eastAsia="zh-CN"/>
        </w:rPr>
        <w:t>2020</w:t>
      </w:r>
      <w:r>
        <w:rPr>
          <w:rFonts w:hint="eastAsia" w:ascii="宋体" w:hAnsi="宋体" w:eastAsia="宋体" w:cs="宋体"/>
          <w:bCs/>
          <w:sz w:val="24"/>
        </w:rPr>
        <w:t>届毕业生中，男生</w:t>
      </w:r>
      <w:r>
        <w:rPr>
          <w:rFonts w:hint="eastAsia" w:ascii="宋体" w:hAnsi="宋体" w:cs="宋体"/>
          <w:bCs/>
          <w:sz w:val="24"/>
          <w:lang w:val="en-US" w:eastAsia="zh-CN"/>
        </w:rPr>
        <w:t>721</w:t>
      </w:r>
      <w:r>
        <w:rPr>
          <w:rFonts w:hint="eastAsia" w:ascii="宋体" w:hAnsi="宋体" w:eastAsia="宋体" w:cs="宋体"/>
          <w:bCs/>
          <w:sz w:val="24"/>
        </w:rPr>
        <w:t>人，占毕业生总人数的</w:t>
      </w:r>
      <w:r>
        <w:rPr>
          <w:rFonts w:hint="eastAsia" w:ascii="宋体" w:hAnsi="宋体" w:cs="宋体"/>
          <w:bCs/>
          <w:sz w:val="24"/>
          <w:lang w:val="en-US" w:eastAsia="zh-CN"/>
        </w:rPr>
        <w:t>37.24</w:t>
      </w:r>
      <w:r>
        <w:rPr>
          <w:rFonts w:hint="eastAsia" w:ascii="宋体" w:hAnsi="宋体" w:eastAsia="宋体" w:cs="宋体"/>
          <w:bCs/>
          <w:sz w:val="24"/>
        </w:rPr>
        <w:t>％，女生</w:t>
      </w:r>
      <w:r>
        <w:rPr>
          <w:rFonts w:hint="eastAsia" w:ascii="宋体" w:hAnsi="宋体" w:cs="宋体"/>
          <w:bCs/>
          <w:sz w:val="24"/>
          <w:lang w:val="en-US" w:eastAsia="zh-CN"/>
        </w:rPr>
        <w:t>1215</w:t>
      </w:r>
      <w:r>
        <w:rPr>
          <w:rFonts w:hint="eastAsia" w:ascii="宋体" w:hAnsi="宋体" w:eastAsia="宋体" w:cs="宋体"/>
          <w:bCs/>
          <w:sz w:val="24"/>
        </w:rPr>
        <w:t>人，占毕业生总人数的</w:t>
      </w:r>
      <w:r>
        <w:rPr>
          <w:rFonts w:hint="eastAsia" w:ascii="宋体" w:hAnsi="宋体" w:cs="宋体"/>
          <w:bCs/>
          <w:sz w:val="24"/>
          <w:lang w:val="en-US" w:eastAsia="zh-CN"/>
        </w:rPr>
        <w:t>62.76</w:t>
      </w:r>
      <w:r>
        <w:rPr>
          <w:rFonts w:hint="eastAsia" w:ascii="宋体" w:hAnsi="宋体" w:eastAsia="宋体" w:cs="宋体"/>
          <w:bCs/>
          <w:sz w:val="24"/>
        </w:rPr>
        <w:t>％，男女比例为1:1.</w:t>
      </w:r>
      <w:r>
        <w:rPr>
          <w:rFonts w:hint="eastAsia" w:ascii="宋体" w:hAnsi="宋体" w:cs="宋体"/>
          <w:bCs/>
          <w:sz w:val="24"/>
        </w:rPr>
        <w:t>52</w:t>
      </w:r>
      <w:r>
        <w:rPr>
          <w:rFonts w:hint="eastAsia" w:ascii="宋体" w:hAnsi="宋体" w:eastAsia="宋体" w:cs="宋体"/>
          <w:bCs/>
          <w:sz w:val="24"/>
        </w:rPr>
        <w:t>。各</w:t>
      </w:r>
      <w:r>
        <w:rPr>
          <w:rFonts w:hint="eastAsia" w:ascii="宋体" w:hAnsi="宋体" w:cs="宋体"/>
          <w:bCs/>
          <w:sz w:val="24"/>
        </w:rPr>
        <w:t>二级</w:t>
      </w:r>
      <w:r>
        <w:rPr>
          <w:rFonts w:hint="eastAsia" w:ascii="宋体" w:hAnsi="宋体" w:cs="宋体"/>
          <w:sz w:val="24"/>
        </w:rPr>
        <w:t>学院</w:t>
      </w:r>
      <w:r>
        <w:rPr>
          <w:rFonts w:hint="eastAsia" w:ascii="宋体" w:hAnsi="宋体" w:eastAsia="宋体" w:cs="宋体"/>
          <w:bCs/>
          <w:sz w:val="24"/>
        </w:rPr>
        <w:t>男女生人数占比情况如图：</w:t>
      </w:r>
    </w:p>
    <w:p>
      <w:pPr>
        <w:spacing w:line="360" w:lineRule="auto"/>
        <w:ind w:left="504" w:leftChars="240" w:firstLine="2147" w:firstLineChars="891"/>
        <w:rPr>
          <w:rFonts w:hint="eastAsia" w:ascii="宋体" w:hAnsi="宋体" w:eastAsia="宋体" w:cs="宋体"/>
          <w:b/>
          <w:sz w:val="24"/>
        </w:rPr>
      </w:pPr>
    </w:p>
    <w:p>
      <w:pPr>
        <w:spacing w:line="360" w:lineRule="auto"/>
        <w:ind w:left="504" w:leftChars="240" w:firstLine="2147" w:firstLineChars="891"/>
        <w:rPr>
          <w:rFonts w:hint="eastAsia" w:ascii="宋体" w:hAnsi="宋体" w:eastAsia="宋体" w:cs="宋体"/>
          <w:b/>
          <w:sz w:val="24"/>
        </w:rPr>
      </w:pPr>
    </w:p>
    <w:p>
      <w:pPr>
        <w:spacing w:line="360" w:lineRule="auto"/>
        <w:ind w:left="504" w:leftChars="240" w:firstLine="2147" w:firstLineChars="891"/>
        <w:rPr>
          <w:rFonts w:hint="eastAsia" w:ascii="宋体" w:hAnsi="宋体" w:eastAsia="宋体" w:cs="宋体"/>
          <w:b/>
          <w:sz w:val="24"/>
        </w:rPr>
      </w:pPr>
    </w:p>
    <w:p>
      <w:pPr>
        <w:spacing w:line="360" w:lineRule="auto"/>
        <w:ind w:left="504" w:leftChars="240" w:firstLine="2147" w:firstLineChars="891"/>
        <w:rPr>
          <w:rFonts w:hint="eastAsia" w:ascii="宋体" w:hAnsi="宋体" w:eastAsia="宋体" w:cs="宋体"/>
          <w:b/>
          <w:sz w:val="24"/>
        </w:rPr>
      </w:pPr>
      <w:r>
        <w:rPr>
          <w:rFonts w:hint="eastAsia" w:ascii="宋体" w:hAnsi="宋体" w:eastAsia="宋体" w:cs="宋体"/>
          <w:b/>
          <w:sz w:val="24"/>
        </w:rPr>
        <w:t>表1.6: 20</w:t>
      </w:r>
      <w:r>
        <w:rPr>
          <w:rFonts w:hint="eastAsia" w:ascii="宋体" w:hAnsi="宋体" w:cs="宋体"/>
          <w:b/>
          <w:sz w:val="24"/>
          <w:lang w:val="en-US" w:eastAsia="zh-CN"/>
        </w:rPr>
        <w:t>20</w:t>
      </w:r>
      <w:r>
        <w:rPr>
          <w:rFonts w:hint="eastAsia" w:ascii="宋体" w:hAnsi="宋体" w:eastAsia="宋体" w:cs="宋体"/>
          <w:b/>
          <w:sz w:val="24"/>
        </w:rPr>
        <w:t>届毕业生男女分布图</w:t>
      </w:r>
    </w:p>
    <w:p>
      <w:pPr>
        <w:spacing w:line="360" w:lineRule="auto"/>
        <w:ind w:firstLine="643" w:firstLineChars="200"/>
        <w:jc w:val="left"/>
        <w:rPr>
          <w:rFonts w:ascii="??_GB2312" w:hAnsi="宋体" w:eastAsia="Times New Roman"/>
          <w:bCs/>
          <w:sz w:val="24"/>
        </w:rPr>
      </w:pPr>
      <w:r>
        <w:rPr>
          <w:b/>
          <w:sz w:val="32"/>
          <w:szCs w:val="32"/>
          <w:bdr w:val="single" w:color="auto" w:sz="4" w:space="0"/>
        </w:rPr>
        <w:object>
          <v:shape id="_x0000_i1025" o:spt="75" type="#_x0000_t75" style="height:247.85pt;width:431.3pt;" o:ole="t" filled="f" o:preferrelative="t" stroked="f" coordsize="21600,21600">
            <v:path/>
            <v:fill on="f" focussize="0,0"/>
            <v:stroke on="f"/>
            <v:imagedata r:id="rId14" cropleft="-8311f" croptop="-2083f" cropright="-6076f" cropbottom="-2897f" o:title=""/>
            <o:lock v:ext="edit" aspectratio="f"/>
            <w10:wrap type="none"/>
            <w10:anchorlock/>
          </v:shape>
          <o:OLEObject Type="Embed" ProgID="Excel.Sheet.8" ShapeID="_x0000_i1025" DrawAspect="Content" ObjectID="_1468075725" r:id="rId13">
            <o:LockedField>false</o:LockedField>
          </o:OLEObject>
        </w:object>
      </w:r>
      <w:r>
        <w:rPr>
          <w:rFonts w:ascii="??_GB2312" w:hAnsi="宋体" w:eastAsia="Times New Roman"/>
          <w:bCs/>
          <w:sz w:val="24"/>
        </w:rPr>
        <w:t>从数据上看，我院男女生人数总体差别不大，具体到各学科，文理科男女生人数差别较大。</w:t>
      </w:r>
    </w:p>
    <w:p>
      <w:pPr>
        <w:pStyle w:val="4"/>
        <w:numPr>
          <w:ilvl w:val="0"/>
          <w:numId w:val="3"/>
        </w:numPr>
        <w:spacing w:line="360" w:lineRule="auto"/>
        <w:rPr>
          <w:sz w:val="28"/>
          <w:szCs w:val="28"/>
        </w:rPr>
      </w:pPr>
      <w:bookmarkStart w:id="42" w:name="_Toc436748513"/>
      <w:r>
        <w:rPr>
          <w:rFonts w:hint="eastAsia"/>
          <w:sz w:val="28"/>
          <w:szCs w:val="28"/>
        </w:rPr>
        <w:t>民族结构</w:t>
      </w:r>
      <w:bookmarkEnd w:id="42"/>
    </w:p>
    <w:p>
      <w:pPr>
        <w:spacing w:line="360" w:lineRule="auto"/>
        <w:ind w:firstLine="504" w:firstLineChars="210"/>
        <w:rPr>
          <w:rFonts w:hint="eastAsia" w:ascii="宋体" w:hAnsi="宋体" w:cs="宋体"/>
        </w:rPr>
      </w:pPr>
      <w:r>
        <w:rPr>
          <w:rFonts w:hint="eastAsia" w:ascii="宋体" w:hAnsi="宋体" w:eastAsia="宋体" w:cs="宋体"/>
          <w:bCs/>
          <w:sz w:val="24"/>
        </w:rPr>
        <w:t>我院</w:t>
      </w:r>
      <w:r>
        <w:rPr>
          <w:rFonts w:hint="eastAsia" w:ascii="宋体" w:hAnsi="宋体" w:cs="宋体"/>
          <w:bCs/>
          <w:sz w:val="24"/>
          <w:lang w:val="en-US" w:eastAsia="zh-CN"/>
        </w:rPr>
        <w:t>2020</w:t>
      </w:r>
      <w:r>
        <w:rPr>
          <w:rFonts w:hint="eastAsia" w:ascii="宋体" w:hAnsi="宋体" w:eastAsia="宋体" w:cs="宋体"/>
          <w:bCs/>
          <w:sz w:val="24"/>
        </w:rPr>
        <w:t>届毕业生主要民族构成为汉族和蒙古族，其中汉族</w:t>
      </w:r>
      <w:r>
        <w:rPr>
          <w:rFonts w:hint="eastAsia" w:ascii="宋体" w:hAnsi="宋体" w:cs="宋体"/>
          <w:bCs/>
          <w:sz w:val="24"/>
        </w:rPr>
        <w:t>16</w:t>
      </w:r>
      <w:r>
        <w:rPr>
          <w:rFonts w:hint="eastAsia" w:ascii="宋体" w:hAnsi="宋体" w:cs="宋体"/>
          <w:bCs/>
          <w:sz w:val="24"/>
          <w:lang w:val="en-US" w:eastAsia="zh-CN"/>
        </w:rPr>
        <w:t>81</w:t>
      </w:r>
      <w:r>
        <w:rPr>
          <w:rFonts w:hint="eastAsia" w:ascii="宋体" w:hAnsi="宋体" w:eastAsia="宋体" w:cs="宋体"/>
          <w:bCs/>
          <w:sz w:val="24"/>
        </w:rPr>
        <w:t>人，占比</w:t>
      </w:r>
      <w:r>
        <w:rPr>
          <w:rFonts w:hint="eastAsia" w:ascii="宋体" w:hAnsi="宋体" w:cs="宋体"/>
          <w:bCs/>
          <w:sz w:val="24"/>
          <w:lang w:val="en-US" w:eastAsia="zh-CN"/>
        </w:rPr>
        <w:t>86.84</w:t>
      </w:r>
      <w:r>
        <w:rPr>
          <w:rFonts w:hint="eastAsia" w:ascii="宋体" w:hAnsi="宋体" w:cs="宋体"/>
          <w:bCs/>
          <w:sz w:val="24"/>
        </w:rPr>
        <w:t>.</w:t>
      </w:r>
      <w:r>
        <w:rPr>
          <w:rFonts w:hint="eastAsia" w:ascii="宋体" w:hAnsi="宋体" w:eastAsia="宋体" w:cs="宋体"/>
          <w:bCs/>
          <w:sz w:val="24"/>
        </w:rPr>
        <w:t>％；蒙古族</w:t>
      </w:r>
      <w:r>
        <w:rPr>
          <w:rFonts w:hint="eastAsia" w:ascii="宋体" w:hAnsi="宋体" w:cs="宋体"/>
          <w:bCs/>
          <w:sz w:val="24"/>
          <w:lang w:val="en-US" w:eastAsia="zh-CN"/>
        </w:rPr>
        <w:t>209</w:t>
      </w:r>
      <w:r>
        <w:rPr>
          <w:rFonts w:hint="eastAsia" w:ascii="宋体" w:hAnsi="宋体" w:eastAsia="宋体" w:cs="宋体"/>
          <w:bCs/>
          <w:sz w:val="24"/>
        </w:rPr>
        <w:t>人，占比</w:t>
      </w:r>
      <w:r>
        <w:rPr>
          <w:rFonts w:hint="eastAsia" w:ascii="宋体" w:hAnsi="宋体" w:cs="宋体"/>
          <w:bCs/>
          <w:sz w:val="24"/>
          <w:lang w:val="en-US" w:eastAsia="zh-CN"/>
        </w:rPr>
        <w:t>10.79</w:t>
      </w:r>
      <w:r>
        <w:rPr>
          <w:rFonts w:hint="eastAsia" w:ascii="宋体" w:hAnsi="宋体" w:eastAsia="宋体" w:cs="宋体"/>
          <w:bCs/>
          <w:sz w:val="24"/>
        </w:rPr>
        <w:t>％；还有满族</w:t>
      </w:r>
      <w:r>
        <w:rPr>
          <w:rFonts w:hint="eastAsia" w:ascii="宋体" w:hAnsi="宋体" w:cs="宋体"/>
          <w:bCs/>
          <w:sz w:val="24"/>
          <w:lang w:val="en-US" w:eastAsia="zh-CN"/>
        </w:rPr>
        <w:t>27</w:t>
      </w:r>
      <w:r>
        <w:rPr>
          <w:rFonts w:hint="eastAsia" w:ascii="宋体" w:hAnsi="宋体" w:eastAsia="宋体" w:cs="宋体"/>
          <w:bCs/>
          <w:sz w:val="24"/>
        </w:rPr>
        <w:t>人、回族</w:t>
      </w:r>
      <w:r>
        <w:rPr>
          <w:rFonts w:hint="eastAsia" w:ascii="宋体" w:hAnsi="宋体" w:cs="宋体"/>
          <w:bCs/>
          <w:sz w:val="24"/>
          <w:lang w:val="en-US" w:eastAsia="zh-CN"/>
        </w:rPr>
        <w:t>14</w:t>
      </w:r>
      <w:r>
        <w:rPr>
          <w:rFonts w:hint="eastAsia" w:ascii="宋体" w:hAnsi="宋体" w:eastAsia="宋体" w:cs="宋体"/>
          <w:bCs/>
          <w:sz w:val="24"/>
        </w:rPr>
        <w:t>人、其他民族</w:t>
      </w:r>
      <w:r>
        <w:rPr>
          <w:rFonts w:hint="eastAsia" w:ascii="宋体" w:hAnsi="宋体" w:cs="宋体"/>
          <w:bCs/>
          <w:sz w:val="24"/>
          <w:lang w:val="en-US" w:eastAsia="zh-CN"/>
        </w:rPr>
        <w:t>5</w:t>
      </w:r>
      <w:r>
        <w:rPr>
          <w:rFonts w:hint="eastAsia" w:ascii="宋体" w:hAnsi="宋体" w:eastAsia="宋体" w:cs="宋体"/>
          <w:bCs/>
          <w:sz w:val="24"/>
        </w:rPr>
        <w:t>人。具体情况如下：</w:t>
      </w:r>
    </w:p>
    <w:p>
      <w:pPr>
        <w:ind w:left="504" w:leftChars="240" w:firstLine="1974" w:firstLineChars="940"/>
        <w:rPr>
          <w:rFonts w:hint="eastAsia" w:ascii="宋体" w:hAnsi="宋体" w:cs="宋体"/>
        </w:rPr>
      </w:pPr>
    </w:p>
    <w:p>
      <w:pPr>
        <w:ind w:left="504" w:leftChars="240" w:firstLine="2265" w:firstLineChars="940"/>
        <w:rPr>
          <w:rFonts w:hint="eastAsia" w:ascii="宋体" w:hAnsi="宋体" w:eastAsia="宋体" w:cs="宋体"/>
          <w:b/>
          <w:sz w:val="24"/>
        </w:rPr>
      </w:pPr>
      <w:r>
        <w:rPr>
          <w:rFonts w:hint="eastAsia" w:ascii="宋体" w:hAnsi="宋体" w:eastAsia="宋体" w:cs="宋体"/>
          <w:b/>
          <w:sz w:val="24"/>
        </w:rPr>
        <w:t xml:space="preserve">表1.7: </w:t>
      </w:r>
      <w:r>
        <w:rPr>
          <w:rFonts w:hint="eastAsia" w:ascii="宋体" w:hAnsi="宋体" w:cs="宋体"/>
          <w:b/>
          <w:sz w:val="24"/>
          <w:lang w:val="en-US" w:eastAsia="zh-CN"/>
        </w:rPr>
        <w:t>2020</w:t>
      </w:r>
      <w:r>
        <w:rPr>
          <w:rFonts w:hint="eastAsia" w:ascii="宋体" w:hAnsi="宋体" w:eastAsia="宋体" w:cs="宋体"/>
          <w:b/>
          <w:sz w:val="24"/>
        </w:rPr>
        <w:t>届毕业生民族分布图</w:t>
      </w:r>
    </w:p>
    <w:p>
      <w:pPr>
        <w:jc w:val="left"/>
        <w:rPr>
          <w:bdr w:val="single" w:color="auto" w:sz="4" w:space="0"/>
        </w:rPr>
      </w:pPr>
      <w:r>
        <w:rPr>
          <w:bdr w:val="single" w:color="auto" w:sz="4" w:space="0"/>
        </w:rPr>
        <w:object>
          <v:shape id="_x0000_i1026" o:spt="75" type="#_x0000_t75" style="height:211.45pt;width:416.65pt;" o:ole="t" filled="f" o:preferrelative="t" stroked="f" coordsize="21600,21600">
            <v:path/>
            <v:fill on="f" focussize="0,0"/>
            <v:stroke on="f"/>
            <v:imagedata r:id="rId16" cropleft="-6477f" croptop="-4331f" cropright="-5060f" cropbottom="-5371f" o:title=""/>
            <o:lock v:ext="edit" aspectratio="f"/>
            <w10:wrap type="none"/>
            <w10:anchorlock/>
          </v:shape>
          <o:OLEObject Type="Embed" ProgID="Excel.Sheet.8" ShapeID="_x0000_i1026" DrawAspect="Content" ObjectID="_1468075726" r:id="rId15">
            <o:LockedField>false</o:LockedField>
          </o:OLEObject>
        </w:object>
      </w:r>
    </w:p>
    <w:p>
      <w:pPr>
        <w:pStyle w:val="2"/>
        <w:numPr>
          <w:ilvl w:val="0"/>
          <w:numId w:val="4"/>
        </w:numPr>
        <w:jc w:val="center"/>
        <w:rPr>
          <w:rFonts w:ascii="黑体" w:eastAsia="黑体"/>
          <w:sz w:val="32"/>
          <w:szCs w:val="32"/>
        </w:rPr>
      </w:pPr>
      <w:bookmarkStart w:id="43" w:name="_Toc436646502"/>
      <w:bookmarkStart w:id="44" w:name="_Toc436646458"/>
      <w:bookmarkStart w:id="45" w:name="_Toc436645837"/>
      <w:bookmarkStart w:id="46" w:name="_Toc436646439"/>
      <w:bookmarkStart w:id="47" w:name="_Toc436646041"/>
      <w:bookmarkStart w:id="48" w:name="_Toc436645712"/>
      <w:bookmarkStart w:id="49" w:name="_Toc436746487"/>
      <w:bookmarkStart w:id="50" w:name="_Toc436645680"/>
      <w:bookmarkStart w:id="51" w:name="_Toc436748514"/>
      <w:bookmarkStart w:id="52" w:name="_Toc504614048"/>
      <w:bookmarkStart w:id="53" w:name="_Toc436646023"/>
      <w:r>
        <w:rPr>
          <w:rFonts w:hint="eastAsia" w:ascii="黑体" w:eastAsia="黑体"/>
          <w:sz w:val="32"/>
          <w:szCs w:val="32"/>
        </w:rPr>
        <w:t>：</w:t>
      </w:r>
      <w:r>
        <w:rPr>
          <w:rFonts w:hint="eastAsia" w:ascii="黑体" w:eastAsia="黑体"/>
          <w:sz w:val="32"/>
          <w:szCs w:val="32"/>
          <w:lang w:val="en-US" w:eastAsia="zh-CN"/>
        </w:rPr>
        <w:t>2020</w:t>
      </w:r>
      <w:r>
        <w:rPr>
          <w:rFonts w:hint="eastAsia" w:ascii="黑体" w:eastAsia="黑体"/>
          <w:sz w:val="32"/>
          <w:szCs w:val="32"/>
        </w:rPr>
        <w:t>届毕业生就业情况</w:t>
      </w:r>
      <w:bookmarkEnd w:id="43"/>
      <w:bookmarkEnd w:id="44"/>
      <w:bookmarkEnd w:id="45"/>
      <w:bookmarkEnd w:id="46"/>
      <w:bookmarkEnd w:id="47"/>
      <w:bookmarkEnd w:id="48"/>
      <w:bookmarkEnd w:id="49"/>
      <w:bookmarkEnd w:id="50"/>
      <w:bookmarkEnd w:id="51"/>
      <w:bookmarkEnd w:id="52"/>
      <w:bookmarkEnd w:id="53"/>
    </w:p>
    <w:p>
      <w:pPr>
        <w:pStyle w:val="3"/>
        <w:numPr>
          <w:ilvl w:val="0"/>
          <w:numId w:val="5"/>
        </w:numPr>
        <w:tabs>
          <w:tab w:val="left" w:pos="720"/>
        </w:tabs>
        <w:spacing w:line="360" w:lineRule="auto"/>
      </w:pPr>
      <w:bookmarkStart w:id="54" w:name="_Toc436748515"/>
      <w:bookmarkStart w:id="55" w:name="_Toc504614049"/>
      <w:r>
        <w:rPr>
          <w:rFonts w:hint="eastAsia"/>
        </w:rPr>
        <w:t>整体就业情况分析</w:t>
      </w:r>
      <w:bookmarkEnd w:id="54"/>
      <w:bookmarkEnd w:id="55"/>
    </w:p>
    <w:p>
      <w:pPr>
        <w:pStyle w:val="4"/>
        <w:numPr>
          <w:ilvl w:val="2"/>
          <w:numId w:val="6"/>
        </w:numPr>
        <w:tabs>
          <w:tab w:val="clear" w:pos="1320"/>
        </w:tabs>
        <w:spacing w:line="360" w:lineRule="auto"/>
        <w:ind w:left="178" w:leftChars="85" w:firstLine="0"/>
      </w:pPr>
      <w:bookmarkStart w:id="56" w:name="_Toc436748516"/>
      <w:r>
        <w:rPr>
          <w:rFonts w:hint="eastAsia"/>
          <w:sz w:val="28"/>
          <w:szCs w:val="28"/>
        </w:rPr>
        <w:t>初次就业率</w:t>
      </w:r>
      <w:bookmarkEnd w:id="56"/>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总体来看，截止</w:t>
      </w:r>
      <w:r>
        <w:rPr>
          <w:rFonts w:hint="eastAsia" w:ascii="宋体" w:hAnsi="宋体" w:cs="宋体"/>
          <w:bCs/>
          <w:sz w:val="24"/>
          <w:lang w:val="en-US" w:eastAsia="zh-CN"/>
        </w:rPr>
        <w:t>2020</w:t>
      </w:r>
      <w:r>
        <w:rPr>
          <w:rFonts w:hint="eastAsia" w:ascii="宋体" w:hAnsi="宋体" w:eastAsia="宋体" w:cs="宋体"/>
          <w:bCs/>
          <w:sz w:val="24"/>
        </w:rPr>
        <w:t>年9月1日，学院</w:t>
      </w:r>
      <w:r>
        <w:rPr>
          <w:rFonts w:hint="eastAsia" w:ascii="宋体" w:hAnsi="宋体" w:cs="宋体"/>
          <w:bCs/>
          <w:sz w:val="24"/>
          <w:lang w:val="en-US" w:eastAsia="zh-CN"/>
        </w:rPr>
        <w:t>2020</w:t>
      </w:r>
      <w:r>
        <w:rPr>
          <w:rFonts w:hint="eastAsia" w:ascii="宋体" w:hAnsi="宋体" w:eastAsia="宋体" w:cs="宋体"/>
          <w:bCs/>
          <w:sz w:val="24"/>
        </w:rPr>
        <w:t>届毕业生总就业人数为</w:t>
      </w:r>
      <w:r>
        <w:rPr>
          <w:rFonts w:hint="eastAsia" w:ascii="宋体" w:hAnsi="宋体" w:cs="宋体"/>
          <w:bCs/>
          <w:sz w:val="24"/>
          <w:lang w:val="en-US" w:eastAsia="zh-CN"/>
        </w:rPr>
        <w:t>1241</w:t>
      </w:r>
      <w:r>
        <w:rPr>
          <w:rFonts w:hint="eastAsia" w:ascii="宋体" w:hAnsi="宋体" w:eastAsia="宋体" w:cs="宋体"/>
          <w:bCs/>
          <w:sz w:val="24"/>
        </w:rPr>
        <w:t>人，总就业率为</w:t>
      </w:r>
      <w:r>
        <w:rPr>
          <w:rFonts w:hint="eastAsia" w:ascii="宋体" w:hAnsi="宋体" w:cs="宋体"/>
          <w:bCs/>
          <w:sz w:val="24"/>
          <w:lang w:val="en-US" w:eastAsia="zh-CN"/>
        </w:rPr>
        <w:t>64.10</w:t>
      </w:r>
      <w:r>
        <w:rPr>
          <w:rFonts w:hint="eastAsia" w:ascii="宋体" w:hAnsi="宋体" w:eastAsia="宋体" w:cs="宋体"/>
          <w:bCs/>
          <w:sz w:val="24"/>
        </w:rPr>
        <w:t>%，就业率比去年下降</w:t>
      </w:r>
      <w:r>
        <w:rPr>
          <w:rFonts w:hint="eastAsia" w:ascii="宋体" w:hAnsi="宋体" w:cs="宋体"/>
          <w:bCs/>
          <w:sz w:val="24"/>
          <w:lang w:val="en-US" w:eastAsia="zh-CN"/>
        </w:rPr>
        <w:t>20.05</w:t>
      </w:r>
      <w:r>
        <w:rPr>
          <w:rFonts w:hint="eastAsia" w:ascii="宋体" w:hAnsi="宋体" w:eastAsia="宋体" w:cs="宋体"/>
          <w:bCs/>
          <w:sz w:val="24"/>
        </w:rPr>
        <w:t>个百分点。</w:t>
      </w:r>
    </w:p>
    <w:p>
      <w:pPr>
        <w:pStyle w:val="4"/>
        <w:numPr>
          <w:ilvl w:val="2"/>
          <w:numId w:val="6"/>
        </w:numPr>
        <w:tabs>
          <w:tab w:val="left" w:pos="540"/>
          <w:tab w:val="clear" w:pos="1320"/>
        </w:tabs>
        <w:spacing w:line="360" w:lineRule="auto"/>
        <w:ind w:left="180" w:firstLine="0"/>
        <w:rPr>
          <w:sz w:val="28"/>
          <w:szCs w:val="28"/>
        </w:rPr>
      </w:pPr>
      <w:r>
        <w:rPr>
          <w:rFonts w:hint="eastAsia"/>
          <w:sz w:val="28"/>
          <w:szCs w:val="28"/>
        </w:rPr>
        <w:t>各二级学院就业情况及比较分析</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从各二级学院分析，</w:t>
      </w:r>
      <w:r>
        <w:rPr>
          <w:rFonts w:hint="eastAsia" w:ascii="宋体" w:hAnsi="宋体" w:cs="宋体"/>
          <w:bCs/>
          <w:sz w:val="24"/>
          <w:lang w:val="en-US" w:eastAsia="zh-CN"/>
        </w:rPr>
        <w:t>2020</w:t>
      </w:r>
      <w:r>
        <w:rPr>
          <w:rFonts w:hint="eastAsia" w:ascii="宋体" w:hAnsi="宋体" w:eastAsia="宋体" w:cs="宋体"/>
          <w:bCs/>
          <w:sz w:val="24"/>
        </w:rPr>
        <w:t>届毕业生就业率最高的学院为</w:t>
      </w:r>
      <w:r>
        <w:rPr>
          <w:rFonts w:hint="eastAsia" w:ascii="宋体" w:hAnsi="宋体" w:cs="宋体"/>
          <w:bCs/>
          <w:sz w:val="24"/>
        </w:rPr>
        <w:t>艺术</w:t>
      </w:r>
      <w:r>
        <w:rPr>
          <w:rFonts w:hint="eastAsia" w:ascii="宋体" w:hAnsi="宋体" w:eastAsia="宋体" w:cs="宋体"/>
          <w:bCs/>
          <w:sz w:val="24"/>
        </w:rPr>
        <w:t>学院，就业人数为</w:t>
      </w:r>
      <w:r>
        <w:rPr>
          <w:rFonts w:hint="eastAsia" w:ascii="宋体" w:hAnsi="宋体" w:cs="宋体"/>
          <w:bCs/>
          <w:sz w:val="24"/>
          <w:lang w:val="en-US" w:eastAsia="zh-CN"/>
        </w:rPr>
        <w:t>356</w:t>
      </w:r>
      <w:r>
        <w:rPr>
          <w:rFonts w:hint="eastAsia" w:ascii="宋体" w:hAnsi="宋体" w:eastAsia="宋体" w:cs="宋体"/>
          <w:bCs/>
          <w:sz w:val="24"/>
        </w:rPr>
        <w:t>人，就业率为</w:t>
      </w:r>
      <w:r>
        <w:rPr>
          <w:rFonts w:hint="eastAsia" w:ascii="宋体" w:hAnsi="宋体" w:cs="宋体"/>
          <w:bCs/>
          <w:sz w:val="24"/>
          <w:lang w:val="en-US" w:eastAsia="zh-CN"/>
        </w:rPr>
        <w:t>85.58</w:t>
      </w:r>
      <w:r>
        <w:rPr>
          <w:rFonts w:hint="eastAsia" w:ascii="宋体" w:hAnsi="宋体" w:eastAsia="宋体" w:cs="宋体"/>
          <w:bCs/>
          <w:sz w:val="24"/>
        </w:rPr>
        <w:t>%，比去</w:t>
      </w:r>
      <w:r>
        <w:rPr>
          <w:rFonts w:hint="eastAsia" w:ascii="宋体" w:hAnsi="宋体" w:cs="宋体"/>
          <w:bCs/>
          <w:sz w:val="24"/>
          <w:lang w:eastAsia="zh-CN"/>
        </w:rPr>
        <w:t>减少</w:t>
      </w:r>
      <w:r>
        <w:rPr>
          <w:rFonts w:hint="eastAsia" w:ascii="宋体" w:hAnsi="宋体" w:cs="宋体"/>
          <w:bCs/>
          <w:sz w:val="24"/>
          <w:lang w:val="en-US" w:eastAsia="zh-CN"/>
        </w:rPr>
        <w:t>10.75</w:t>
      </w:r>
      <w:r>
        <w:rPr>
          <w:rFonts w:hint="eastAsia" w:ascii="宋体" w:hAnsi="宋体" w:eastAsia="宋体" w:cs="宋体"/>
          <w:bCs/>
          <w:sz w:val="24"/>
        </w:rPr>
        <w:t>个百分点；就业率第二高的是</w:t>
      </w:r>
      <w:r>
        <w:rPr>
          <w:rFonts w:hint="eastAsia" w:ascii="宋体" w:hAnsi="宋体" w:cs="宋体"/>
          <w:bCs/>
          <w:sz w:val="24"/>
          <w:lang w:eastAsia="zh-CN"/>
        </w:rPr>
        <w:t>信息工程</w:t>
      </w:r>
      <w:r>
        <w:rPr>
          <w:rFonts w:hint="eastAsia" w:ascii="宋体" w:hAnsi="宋体" w:eastAsia="宋体" w:cs="宋体"/>
          <w:bCs/>
          <w:sz w:val="24"/>
        </w:rPr>
        <w:t>学院，就业人数为</w:t>
      </w:r>
      <w:r>
        <w:rPr>
          <w:rFonts w:hint="eastAsia" w:ascii="宋体" w:hAnsi="宋体" w:cs="宋体"/>
          <w:bCs/>
          <w:sz w:val="24"/>
          <w:lang w:val="en-US" w:eastAsia="zh-CN"/>
        </w:rPr>
        <w:t>241</w:t>
      </w:r>
      <w:r>
        <w:rPr>
          <w:rFonts w:hint="eastAsia" w:ascii="宋体" w:hAnsi="宋体" w:eastAsia="宋体" w:cs="宋体"/>
          <w:bCs/>
          <w:sz w:val="24"/>
        </w:rPr>
        <w:t>人，就业率为</w:t>
      </w:r>
      <w:r>
        <w:rPr>
          <w:rFonts w:hint="eastAsia" w:ascii="宋体" w:hAnsi="宋体" w:cs="宋体"/>
          <w:bCs/>
          <w:sz w:val="24"/>
          <w:lang w:val="en-US" w:eastAsia="zh-CN"/>
        </w:rPr>
        <w:t>70.06</w:t>
      </w:r>
      <w:r>
        <w:rPr>
          <w:rFonts w:hint="eastAsia" w:ascii="宋体" w:hAnsi="宋体" w:eastAsia="宋体" w:cs="宋体"/>
          <w:bCs/>
          <w:sz w:val="24"/>
        </w:rPr>
        <w:t>%，比去年</w:t>
      </w:r>
      <w:r>
        <w:rPr>
          <w:rFonts w:hint="eastAsia" w:ascii="宋体" w:hAnsi="宋体" w:cs="宋体"/>
          <w:bCs/>
          <w:sz w:val="24"/>
          <w:lang w:eastAsia="zh-CN"/>
        </w:rPr>
        <w:t>减少</w:t>
      </w:r>
      <w:r>
        <w:rPr>
          <w:rFonts w:hint="eastAsia" w:ascii="宋体" w:hAnsi="宋体" w:cs="宋体"/>
          <w:bCs/>
          <w:sz w:val="24"/>
          <w:lang w:val="en-US" w:eastAsia="zh-CN"/>
        </w:rPr>
        <w:t>22.17</w:t>
      </w:r>
      <w:r>
        <w:rPr>
          <w:rFonts w:hint="eastAsia" w:ascii="宋体" w:hAnsi="宋体" w:eastAsia="宋体" w:cs="宋体"/>
          <w:bCs/>
          <w:sz w:val="24"/>
        </w:rPr>
        <w:t>个百分点；接下来</w:t>
      </w:r>
      <w:r>
        <w:rPr>
          <w:rFonts w:hint="eastAsia" w:ascii="宋体" w:hAnsi="宋体" w:cs="宋体"/>
          <w:bCs/>
          <w:sz w:val="24"/>
          <w:lang w:eastAsia="zh-CN"/>
        </w:rPr>
        <w:t>依次</w:t>
      </w:r>
      <w:r>
        <w:rPr>
          <w:rFonts w:hint="eastAsia" w:ascii="宋体" w:hAnsi="宋体" w:eastAsia="宋体" w:cs="宋体"/>
          <w:bCs/>
          <w:sz w:val="24"/>
        </w:rPr>
        <w:t>是</w:t>
      </w:r>
      <w:r>
        <w:rPr>
          <w:rFonts w:hint="eastAsia" w:ascii="宋体" w:hAnsi="宋体" w:cs="宋体"/>
          <w:bCs/>
          <w:sz w:val="24"/>
          <w:lang w:eastAsia="zh-CN"/>
        </w:rPr>
        <w:t>商学院</w:t>
      </w:r>
      <w:r>
        <w:rPr>
          <w:rFonts w:hint="eastAsia" w:ascii="宋体" w:hAnsi="宋体" w:eastAsia="宋体" w:cs="宋体"/>
          <w:bCs/>
          <w:sz w:val="24"/>
        </w:rPr>
        <w:t>，就业人数为</w:t>
      </w:r>
      <w:r>
        <w:rPr>
          <w:rFonts w:hint="eastAsia" w:ascii="宋体" w:hAnsi="宋体" w:cs="宋体"/>
          <w:bCs/>
          <w:sz w:val="24"/>
          <w:lang w:val="en-US" w:eastAsia="zh-CN"/>
        </w:rPr>
        <w:t>388</w:t>
      </w:r>
      <w:r>
        <w:rPr>
          <w:rFonts w:hint="eastAsia" w:ascii="宋体" w:hAnsi="宋体" w:eastAsia="宋体" w:cs="宋体"/>
          <w:bCs/>
          <w:sz w:val="24"/>
        </w:rPr>
        <w:t>人，就业率为</w:t>
      </w:r>
      <w:r>
        <w:rPr>
          <w:rFonts w:hint="eastAsia" w:ascii="宋体" w:hAnsi="宋体" w:cs="宋体"/>
          <w:bCs/>
          <w:sz w:val="24"/>
          <w:lang w:val="en-US" w:eastAsia="zh-CN"/>
        </w:rPr>
        <w:t>58.26</w:t>
      </w:r>
      <w:r>
        <w:rPr>
          <w:rFonts w:hint="eastAsia" w:ascii="宋体" w:hAnsi="宋体" w:eastAsia="宋体" w:cs="宋体"/>
          <w:bCs/>
          <w:sz w:val="24"/>
        </w:rPr>
        <w:t>%，比去年</w:t>
      </w:r>
      <w:r>
        <w:rPr>
          <w:rFonts w:hint="eastAsia" w:ascii="宋体" w:hAnsi="宋体" w:cs="宋体"/>
          <w:bCs/>
          <w:sz w:val="24"/>
          <w:lang w:eastAsia="zh-CN"/>
        </w:rPr>
        <w:t>减少</w:t>
      </w:r>
      <w:r>
        <w:rPr>
          <w:rFonts w:hint="eastAsia" w:ascii="宋体" w:hAnsi="宋体" w:cs="宋体"/>
          <w:bCs/>
          <w:sz w:val="24"/>
          <w:lang w:val="en-US" w:eastAsia="zh-CN"/>
        </w:rPr>
        <w:t>12.09</w:t>
      </w:r>
      <w:r>
        <w:rPr>
          <w:rFonts w:hint="eastAsia" w:ascii="宋体" w:hAnsi="宋体" w:eastAsia="宋体" w:cs="宋体"/>
          <w:bCs/>
          <w:sz w:val="24"/>
        </w:rPr>
        <w:t>个百分点；</w:t>
      </w:r>
      <w:r>
        <w:rPr>
          <w:rFonts w:hint="eastAsia" w:ascii="宋体" w:hAnsi="宋体" w:cs="宋体"/>
          <w:bCs/>
          <w:sz w:val="24"/>
        </w:rPr>
        <w:t>交通与环境</w:t>
      </w:r>
      <w:r>
        <w:rPr>
          <w:rFonts w:hint="eastAsia" w:ascii="宋体" w:hAnsi="宋体" w:eastAsia="宋体" w:cs="宋体"/>
          <w:bCs/>
          <w:sz w:val="24"/>
        </w:rPr>
        <w:t>学院就业人数为</w:t>
      </w:r>
      <w:r>
        <w:rPr>
          <w:rFonts w:hint="eastAsia" w:ascii="宋体" w:hAnsi="宋体" w:cs="宋体"/>
          <w:bCs/>
          <w:sz w:val="24"/>
          <w:lang w:val="en-US" w:eastAsia="zh-CN"/>
        </w:rPr>
        <w:t>56</w:t>
      </w:r>
      <w:r>
        <w:rPr>
          <w:rFonts w:hint="eastAsia" w:ascii="宋体" w:hAnsi="宋体" w:eastAsia="宋体" w:cs="宋体"/>
          <w:bCs/>
          <w:sz w:val="24"/>
        </w:rPr>
        <w:t>人，就业率为</w:t>
      </w:r>
      <w:r>
        <w:rPr>
          <w:rFonts w:hint="eastAsia" w:ascii="宋体" w:hAnsi="宋体" w:cs="宋体"/>
          <w:bCs/>
          <w:sz w:val="24"/>
          <w:lang w:val="en-US" w:eastAsia="zh-CN"/>
        </w:rPr>
        <w:t>53.85</w:t>
      </w:r>
      <w:r>
        <w:rPr>
          <w:rFonts w:hint="eastAsia" w:ascii="宋体" w:hAnsi="宋体" w:eastAsia="宋体" w:cs="宋体"/>
          <w:bCs/>
          <w:sz w:val="24"/>
        </w:rPr>
        <w:t>%，比去年</w:t>
      </w:r>
      <w:r>
        <w:rPr>
          <w:rFonts w:hint="eastAsia" w:ascii="宋体" w:hAnsi="宋体" w:cs="宋体"/>
          <w:bCs/>
          <w:sz w:val="24"/>
          <w:lang w:val="en-US" w:eastAsia="zh-CN"/>
        </w:rPr>
        <w:t>减少37.12</w:t>
      </w:r>
      <w:r>
        <w:rPr>
          <w:rFonts w:hint="eastAsia" w:ascii="宋体" w:hAnsi="宋体" w:eastAsia="宋体" w:cs="宋体"/>
          <w:bCs/>
          <w:sz w:val="24"/>
        </w:rPr>
        <w:t>个百分点；</w:t>
      </w:r>
      <w:r>
        <w:rPr>
          <w:rFonts w:hint="eastAsia" w:ascii="宋体" w:hAnsi="宋体" w:cs="宋体"/>
          <w:bCs/>
          <w:sz w:val="24"/>
          <w:lang w:eastAsia="zh-CN"/>
        </w:rPr>
        <w:t>外国语学院就业人数为</w:t>
      </w:r>
      <w:r>
        <w:rPr>
          <w:rFonts w:hint="eastAsia" w:ascii="宋体" w:hAnsi="宋体" w:cs="宋体"/>
          <w:bCs/>
          <w:sz w:val="24"/>
          <w:lang w:val="en-US" w:eastAsia="zh-CN"/>
        </w:rPr>
        <w:t>63人，就业率为52.94%，比去年减少40.58个百分点；</w:t>
      </w:r>
      <w:r>
        <w:rPr>
          <w:rFonts w:hint="eastAsia" w:ascii="宋体" w:hAnsi="宋体" w:eastAsia="宋体" w:cs="宋体"/>
          <w:bCs/>
          <w:sz w:val="24"/>
        </w:rPr>
        <w:t>语言与传媒学院就业人数为</w:t>
      </w:r>
      <w:r>
        <w:rPr>
          <w:rFonts w:hint="eastAsia" w:ascii="宋体" w:hAnsi="宋体" w:cs="宋体"/>
          <w:bCs/>
          <w:sz w:val="24"/>
          <w:lang w:val="en-US" w:eastAsia="zh-CN"/>
        </w:rPr>
        <w:t>137</w:t>
      </w:r>
      <w:r>
        <w:rPr>
          <w:rFonts w:hint="eastAsia" w:ascii="宋体" w:hAnsi="宋体" w:eastAsia="宋体" w:cs="宋体"/>
          <w:bCs/>
          <w:sz w:val="24"/>
        </w:rPr>
        <w:t>人，就业率为</w:t>
      </w:r>
      <w:r>
        <w:rPr>
          <w:rFonts w:hint="eastAsia" w:ascii="宋体" w:hAnsi="宋体" w:cs="宋体"/>
          <w:bCs/>
          <w:sz w:val="24"/>
          <w:lang w:val="en-US" w:eastAsia="zh-CN"/>
        </w:rPr>
        <w:t>47.74</w:t>
      </w:r>
      <w:r>
        <w:rPr>
          <w:rFonts w:hint="eastAsia" w:ascii="宋体" w:hAnsi="宋体" w:eastAsia="宋体" w:cs="宋体"/>
          <w:bCs/>
          <w:sz w:val="24"/>
        </w:rPr>
        <w:t>%，比去年</w:t>
      </w:r>
      <w:r>
        <w:rPr>
          <w:rFonts w:hint="eastAsia" w:ascii="宋体" w:hAnsi="宋体" w:cs="宋体"/>
          <w:bCs/>
          <w:sz w:val="24"/>
          <w:lang w:eastAsia="zh-CN"/>
        </w:rPr>
        <w:t>减少</w:t>
      </w:r>
      <w:r>
        <w:rPr>
          <w:rFonts w:hint="eastAsia" w:ascii="宋体" w:hAnsi="宋体" w:cs="宋体"/>
          <w:bCs/>
          <w:sz w:val="24"/>
          <w:lang w:val="en-US" w:eastAsia="zh-CN"/>
        </w:rPr>
        <w:t>33.94</w:t>
      </w:r>
      <w:r>
        <w:rPr>
          <w:rFonts w:hint="eastAsia" w:ascii="宋体" w:hAnsi="宋体" w:eastAsia="宋体" w:cs="宋体"/>
          <w:bCs/>
          <w:sz w:val="24"/>
        </w:rPr>
        <w:t>个百分点。</w:t>
      </w:r>
    </w:p>
    <w:p>
      <w:pPr>
        <w:spacing w:line="360" w:lineRule="auto"/>
        <w:ind w:left="0" w:leftChars="0" w:firstLine="482" w:firstLineChars="200"/>
        <w:rPr>
          <w:rFonts w:hint="eastAsia" w:ascii="宋体" w:hAnsi="宋体" w:eastAsia="宋体" w:cs="宋体"/>
          <w:sz w:val="24"/>
        </w:rPr>
      </w:pPr>
      <w:r>
        <w:rPr>
          <w:rFonts w:hint="eastAsia" w:ascii="宋体" w:hAnsi="宋体" w:eastAsia="宋体" w:cs="宋体"/>
          <w:b/>
          <w:sz w:val="24"/>
        </w:rPr>
        <w:t>表2.1:各</w:t>
      </w:r>
      <w:r>
        <w:rPr>
          <w:rFonts w:hint="eastAsia" w:ascii="宋体" w:hAnsi="宋体" w:cs="宋体"/>
          <w:b/>
          <w:sz w:val="24"/>
        </w:rPr>
        <w:t>二级学院</w:t>
      </w:r>
      <w:r>
        <w:rPr>
          <w:rFonts w:hint="eastAsia" w:ascii="宋体" w:hAnsi="宋体" w:cs="宋体"/>
          <w:b/>
          <w:sz w:val="24"/>
          <w:lang w:val="en-US" w:eastAsia="zh-CN"/>
        </w:rPr>
        <w:t>2020届</w:t>
      </w:r>
      <w:r>
        <w:rPr>
          <w:rFonts w:hint="eastAsia" w:ascii="宋体" w:hAnsi="宋体" w:cs="宋体"/>
          <w:b/>
          <w:sz w:val="24"/>
          <w:lang w:eastAsia="zh-CN"/>
        </w:rPr>
        <w:t>与</w:t>
      </w:r>
      <w:r>
        <w:rPr>
          <w:rFonts w:hint="eastAsia" w:ascii="宋体" w:hAnsi="宋体" w:cs="宋体"/>
          <w:b/>
          <w:sz w:val="24"/>
          <w:szCs w:val="22"/>
        </w:rPr>
        <w:t>2019</w:t>
      </w:r>
      <w:r>
        <w:rPr>
          <w:rFonts w:hint="eastAsia" w:ascii="宋体" w:hAnsi="宋体" w:eastAsia="宋体" w:cs="宋体"/>
          <w:b/>
          <w:sz w:val="24"/>
          <w:szCs w:val="22"/>
        </w:rPr>
        <w:t>届毕业生就业</w:t>
      </w:r>
      <w:r>
        <w:rPr>
          <w:rFonts w:hint="eastAsia" w:ascii="宋体" w:hAnsi="宋体" w:cs="宋体"/>
          <w:b/>
          <w:sz w:val="24"/>
          <w:szCs w:val="22"/>
          <w:lang w:eastAsia="zh-CN"/>
        </w:rPr>
        <w:t>率变化情</w:t>
      </w:r>
      <w:r>
        <w:rPr>
          <w:rFonts w:hint="eastAsia" w:ascii="宋体" w:hAnsi="宋体" w:cs="宋体"/>
          <w:b/>
          <w:sz w:val="24"/>
          <w:lang w:eastAsia="zh-CN"/>
        </w:rPr>
        <w:t>况</w:t>
      </w:r>
    </w:p>
    <w:tbl>
      <w:tblPr>
        <w:tblStyle w:val="20"/>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4"/>
        <w:gridCol w:w="2485"/>
        <w:gridCol w:w="2485"/>
        <w:gridCol w:w="2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shd w:val="clear" w:color="auto" w:fill="9999FF"/>
            <w:vAlign w:val="center"/>
          </w:tcPr>
          <w:p>
            <w:pPr>
              <w:jc w:val="center"/>
              <w:rPr>
                <w:rFonts w:hint="eastAsia" w:ascii="宋体" w:hAnsi="宋体" w:cs="宋体"/>
                <w:b/>
                <w:sz w:val="24"/>
              </w:rPr>
            </w:pPr>
            <w:r>
              <w:rPr>
                <w:rFonts w:hint="eastAsia" w:ascii="宋体" w:hAnsi="宋体" w:cs="宋体"/>
                <w:b/>
                <w:sz w:val="24"/>
              </w:rPr>
              <w:t>二级学院</w:t>
            </w:r>
          </w:p>
        </w:tc>
        <w:tc>
          <w:tcPr>
            <w:tcW w:w="2485" w:type="dxa"/>
            <w:shd w:val="clear" w:color="auto" w:fill="9999FF"/>
            <w:vAlign w:val="center"/>
          </w:tcPr>
          <w:p>
            <w:pPr>
              <w:jc w:val="center"/>
              <w:rPr>
                <w:rFonts w:hint="eastAsia" w:ascii="宋体" w:hAnsi="宋体" w:eastAsia="宋体" w:cs="宋体"/>
                <w:b/>
                <w:sz w:val="24"/>
              </w:rPr>
            </w:pPr>
            <w:r>
              <w:rPr>
                <w:rFonts w:hint="eastAsia" w:ascii="宋体" w:hAnsi="宋体" w:cs="宋体"/>
                <w:b/>
                <w:sz w:val="24"/>
                <w:lang w:val="en-US" w:eastAsia="zh-CN"/>
              </w:rPr>
              <w:t>2020</w:t>
            </w:r>
            <w:r>
              <w:rPr>
                <w:rFonts w:hint="eastAsia" w:ascii="宋体" w:hAnsi="宋体" w:eastAsia="宋体" w:cs="宋体"/>
                <w:b/>
                <w:sz w:val="24"/>
              </w:rPr>
              <w:t>就业率（%）</w:t>
            </w:r>
          </w:p>
        </w:tc>
        <w:tc>
          <w:tcPr>
            <w:tcW w:w="2485" w:type="dxa"/>
            <w:shd w:val="clear" w:color="auto" w:fill="9999FF"/>
            <w:vAlign w:val="center"/>
          </w:tcPr>
          <w:p>
            <w:pPr>
              <w:jc w:val="center"/>
              <w:rPr>
                <w:rFonts w:hint="eastAsia" w:ascii="宋体" w:hAnsi="宋体" w:eastAsia="宋体" w:cs="宋体"/>
                <w:b/>
                <w:sz w:val="24"/>
              </w:rPr>
            </w:pPr>
            <w:r>
              <w:rPr>
                <w:rFonts w:hint="eastAsia" w:ascii="宋体" w:hAnsi="宋体" w:cs="宋体"/>
                <w:b/>
                <w:sz w:val="24"/>
                <w:lang w:val="en-US" w:eastAsia="zh-CN"/>
              </w:rPr>
              <w:t>2019</w:t>
            </w:r>
            <w:r>
              <w:rPr>
                <w:rFonts w:hint="eastAsia" w:ascii="宋体" w:hAnsi="宋体" w:eastAsia="宋体" w:cs="宋体"/>
                <w:b/>
                <w:sz w:val="24"/>
              </w:rPr>
              <w:t>就业率（%）</w:t>
            </w:r>
          </w:p>
        </w:tc>
        <w:tc>
          <w:tcPr>
            <w:tcW w:w="2485" w:type="dxa"/>
            <w:shd w:val="clear" w:color="auto" w:fill="9999FF"/>
            <w:vAlign w:val="center"/>
          </w:tcPr>
          <w:p>
            <w:pPr>
              <w:jc w:val="center"/>
              <w:rPr>
                <w:rFonts w:hint="eastAsia" w:ascii="宋体" w:hAnsi="宋体" w:eastAsia="宋体" w:cs="宋体"/>
                <w:b/>
                <w:sz w:val="24"/>
              </w:rPr>
            </w:pPr>
            <w:r>
              <w:rPr>
                <w:rFonts w:hint="eastAsia" w:ascii="宋体" w:hAnsi="宋体" w:cs="宋体"/>
                <w:b/>
                <w:sz w:val="24"/>
                <w:lang w:eastAsia="zh-CN"/>
              </w:rPr>
              <w:t>变化量</w:t>
            </w:r>
            <w:r>
              <w:rPr>
                <w:rFonts w:hint="eastAsia" w:ascii="宋体" w:hAnsi="宋体" w:eastAsia="宋体" w:cs="宋体"/>
                <w:b/>
                <w:sz w:val="24"/>
              </w:rPr>
              <w:t>（</w:t>
            </w:r>
            <w:r>
              <w:rPr>
                <w:rFonts w:hint="eastAsia" w:ascii="宋体" w:hAnsi="宋体" w:cs="宋体"/>
                <w:b/>
                <w:sz w:val="24"/>
                <w:lang w:eastAsia="zh-CN"/>
              </w:rPr>
              <w:t>百分点</w:t>
            </w: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hint="eastAsia" w:ascii="宋体" w:hAnsi="宋体" w:eastAsia="宋体" w:cs="宋体"/>
                <w:sz w:val="24"/>
              </w:rPr>
            </w:pPr>
            <w:r>
              <w:rPr>
                <w:rFonts w:hint="eastAsia" w:ascii="宋体" w:hAnsi="宋体" w:eastAsia="宋体" w:cs="宋体"/>
                <w:sz w:val="24"/>
              </w:rPr>
              <w:t>艺术</w:t>
            </w:r>
            <w:r>
              <w:rPr>
                <w:rFonts w:hint="eastAsia" w:ascii="宋体" w:hAnsi="宋体" w:cs="宋体"/>
                <w:sz w:val="24"/>
              </w:rPr>
              <w:t>学院</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85.58</w:t>
            </w:r>
          </w:p>
        </w:tc>
        <w:tc>
          <w:tcPr>
            <w:tcW w:w="2485" w:type="dxa"/>
            <w:vAlign w:val="center"/>
          </w:tcPr>
          <w:p>
            <w:pPr>
              <w:jc w:val="center"/>
              <w:rPr>
                <w:rFonts w:hint="eastAsia" w:ascii="宋体" w:hAnsi="宋体" w:eastAsia="宋体" w:cs="宋体"/>
                <w:sz w:val="24"/>
              </w:rPr>
            </w:pPr>
            <w:r>
              <w:rPr>
                <w:rFonts w:hint="eastAsia" w:ascii="宋体" w:hAnsi="宋体" w:eastAsia="宋体" w:cs="宋体"/>
                <w:sz w:val="24"/>
              </w:rPr>
              <w:t>9</w:t>
            </w:r>
            <w:r>
              <w:rPr>
                <w:rFonts w:hint="eastAsia" w:ascii="宋体" w:hAnsi="宋体" w:cs="宋体"/>
                <w:sz w:val="24"/>
              </w:rPr>
              <w:t>6.33</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hint="eastAsia" w:ascii="宋体" w:hAnsi="宋体" w:eastAsia="宋体" w:cs="宋体"/>
                <w:kern w:val="2"/>
                <w:sz w:val="24"/>
                <w:lang w:val="en-US" w:eastAsia="zh-CN" w:bidi="ar-SA"/>
              </w:rPr>
            </w:pPr>
            <w:r>
              <w:rPr>
                <w:rFonts w:hint="eastAsia" w:ascii="宋体" w:hAnsi="宋体" w:eastAsia="宋体" w:cs="宋体"/>
                <w:sz w:val="24"/>
              </w:rPr>
              <w:t>信息工程</w:t>
            </w:r>
            <w:r>
              <w:rPr>
                <w:rFonts w:hint="eastAsia" w:ascii="宋体" w:hAnsi="宋体" w:cs="宋体"/>
                <w:sz w:val="24"/>
              </w:rPr>
              <w:t>学院</w:t>
            </w:r>
          </w:p>
        </w:tc>
        <w:tc>
          <w:tcPr>
            <w:tcW w:w="2485" w:type="dxa"/>
            <w:vAlign w:val="center"/>
          </w:tcPr>
          <w:p>
            <w:pPr>
              <w:jc w:val="center"/>
              <w:rPr>
                <w:rFonts w:hint="eastAsia" w:ascii="宋体" w:hAnsi="宋体" w:eastAsia="宋体" w:cs="宋体"/>
                <w:kern w:val="2"/>
                <w:sz w:val="24"/>
                <w:lang w:val="en-US" w:eastAsia="zh-CN" w:bidi="ar-SA"/>
              </w:rPr>
            </w:pPr>
            <w:r>
              <w:rPr>
                <w:rFonts w:hint="eastAsia" w:ascii="宋体" w:hAnsi="宋体" w:cs="宋体"/>
                <w:sz w:val="24"/>
                <w:lang w:val="en-US" w:eastAsia="zh-CN"/>
              </w:rPr>
              <w:t>70.06</w:t>
            </w:r>
          </w:p>
        </w:tc>
        <w:tc>
          <w:tcPr>
            <w:tcW w:w="2485" w:type="dxa"/>
            <w:vAlign w:val="center"/>
          </w:tcPr>
          <w:p>
            <w:pPr>
              <w:jc w:val="center"/>
              <w:rPr>
                <w:rFonts w:hint="eastAsia" w:ascii="宋体" w:hAnsi="宋体" w:eastAsia="宋体" w:cs="宋体"/>
                <w:kern w:val="2"/>
                <w:sz w:val="24"/>
                <w:lang w:val="en-US" w:eastAsia="zh-CN" w:bidi="ar-SA"/>
              </w:rPr>
            </w:pPr>
            <w:r>
              <w:rPr>
                <w:rFonts w:hint="eastAsia" w:ascii="宋体" w:hAnsi="宋体" w:cs="宋体"/>
                <w:sz w:val="24"/>
              </w:rPr>
              <w:t>92.23</w:t>
            </w:r>
          </w:p>
        </w:tc>
        <w:tc>
          <w:tcPr>
            <w:tcW w:w="2485" w:type="dxa"/>
            <w:vAlign w:val="center"/>
          </w:tcPr>
          <w:p>
            <w:pPr>
              <w:jc w:val="center"/>
              <w:rPr>
                <w:rFonts w:hint="eastAsia" w:ascii="宋体" w:hAnsi="宋体" w:eastAsia="宋体" w:cs="宋体"/>
                <w:kern w:val="2"/>
                <w:sz w:val="24"/>
                <w:lang w:val="en-US" w:eastAsia="zh-CN" w:bidi="ar-SA"/>
              </w:rPr>
            </w:pPr>
            <w:r>
              <w:rPr>
                <w:rFonts w:hint="eastAsia" w:ascii="宋体" w:hAnsi="宋体" w:cs="宋体"/>
                <w:sz w:val="24"/>
                <w:lang w:val="en-US" w:eastAsia="zh-CN"/>
              </w:rPr>
              <w:t>-22.17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hint="eastAsia" w:ascii="宋体" w:hAnsi="宋体" w:eastAsia="宋体" w:cs="宋体"/>
                <w:kern w:val="2"/>
                <w:sz w:val="24"/>
                <w:lang w:val="en-US" w:eastAsia="zh-CN" w:bidi="ar-SA"/>
              </w:rPr>
            </w:pPr>
            <w:r>
              <w:rPr>
                <w:rFonts w:hint="eastAsia" w:ascii="宋体" w:hAnsi="宋体" w:eastAsia="宋体" w:cs="宋体"/>
                <w:sz w:val="24"/>
              </w:rPr>
              <w:t>商</w:t>
            </w:r>
            <w:r>
              <w:rPr>
                <w:rFonts w:hint="eastAsia" w:ascii="宋体" w:hAnsi="宋体" w:cs="宋体"/>
                <w:sz w:val="24"/>
              </w:rPr>
              <w:t>学院</w:t>
            </w:r>
          </w:p>
        </w:tc>
        <w:tc>
          <w:tcPr>
            <w:tcW w:w="2485" w:type="dxa"/>
            <w:vAlign w:val="center"/>
          </w:tcPr>
          <w:p>
            <w:pPr>
              <w:jc w:val="center"/>
              <w:rPr>
                <w:rFonts w:hint="eastAsia" w:ascii="宋体" w:hAnsi="宋体" w:eastAsia="宋体" w:cs="宋体"/>
                <w:kern w:val="2"/>
                <w:sz w:val="24"/>
                <w:lang w:val="en-US" w:eastAsia="zh-CN" w:bidi="ar-SA"/>
              </w:rPr>
            </w:pPr>
            <w:r>
              <w:rPr>
                <w:rFonts w:hint="eastAsia" w:ascii="宋体" w:hAnsi="宋体" w:cs="宋体"/>
                <w:sz w:val="24"/>
                <w:lang w:val="en-US" w:eastAsia="zh-CN"/>
              </w:rPr>
              <w:t>58.26</w:t>
            </w:r>
          </w:p>
        </w:tc>
        <w:tc>
          <w:tcPr>
            <w:tcW w:w="2485" w:type="dxa"/>
            <w:vAlign w:val="center"/>
          </w:tcPr>
          <w:p>
            <w:pPr>
              <w:jc w:val="center"/>
              <w:rPr>
                <w:rFonts w:hint="eastAsia" w:ascii="宋体" w:hAnsi="宋体" w:eastAsia="宋体" w:cs="宋体"/>
                <w:kern w:val="2"/>
                <w:sz w:val="24"/>
                <w:lang w:val="en-US" w:eastAsia="zh-CN" w:bidi="ar-SA"/>
              </w:rPr>
            </w:pPr>
            <w:r>
              <w:rPr>
                <w:rFonts w:hint="eastAsia" w:ascii="宋体" w:hAnsi="宋体" w:cs="宋体"/>
                <w:sz w:val="24"/>
              </w:rPr>
              <w:t>70.35</w:t>
            </w:r>
          </w:p>
        </w:tc>
        <w:tc>
          <w:tcPr>
            <w:tcW w:w="2485" w:type="dxa"/>
            <w:vAlign w:val="center"/>
          </w:tcPr>
          <w:p>
            <w:pPr>
              <w:jc w:val="center"/>
              <w:rPr>
                <w:rFonts w:hint="eastAsia" w:ascii="宋体" w:hAnsi="宋体" w:eastAsia="宋体" w:cs="宋体"/>
                <w:kern w:val="2"/>
                <w:sz w:val="24"/>
                <w:lang w:val="en-US" w:eastAsia="zh-CN" w:bidi="ar-SA"/>
              </w:rPr>
            </w:pPr>
            <w:r>
              <w:rPr>
                <w:rFonts w:hint="eastAsia" w:ascii="宋体" w:hAnsi="宋体" w:cs="宋体"/>
                <w:sz w:val="24"/>
                <w:lang w:val="en-US" w:eastAsia="zh-CN"/>
              </w:rPr>
              <w:t>-12.09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hint="eastAsia" w:ascii="宋体" w:hAnsi="宋体" w:eastAsia="宋体" w:cs="宋体"/>
                <w:kern w:val="2"/>
                <w:sz w:val="24"/>
                <w:lang w:val="en-US" w:eastAsia="zh-CN" w:bidi="ar-SA"/>
              </w:rPr>
            </w:pPr>
            <w:r>
              <w:rPr>
                <w:rFonts w:hint="eastAsia" w:ascii="宋体" w:hAnsi="宋体" w:eastAsia="宋体" w:cs="宋体"/>
                <w:sz w:val="24"/>
              </w:rPr>
              <w:t>交通与环境</w:t>
            </w:r>
            <w:r>
              <w:rPr>
                <w:rFonts w:hint="eastAsia" w:ascii="宋体" w:hAnsi="宋体" w:cs="宋体"/>
                <w:sz w:val="24"/>
              </w:rPr>
              <w:t>学院</w:t>
            </w:r>
          </w:p>
        </w:tc>
        <w:tc>
          <w:tcPr>
            <w:tcW w:w="2485" w:type="dxa"/>
            <w:vAlign w:val="center"/>
          </w:tcPr>
          <w:p>
            <w:pPr>
              <w:jc w:val="center"/>
              <w:rPr>
                <w:rFonts w:hint="eastAsia" w:ascii="宋体" w:hAnsi="宋体" w:eastAsia="宋体" w:cs="宋体"/>
                <w:kern w:val="2"/>
                <w:sz w:val="24"/>
                <w:lang w:val="en-US" w:eastAsia="zh-CN" w:bidi="ar-SA"/>
              </w:rPr>
            </w:pPr>
            <w:r>
              <w:rPr>
                <w:rFonts w:hint="eastAsia" w:ascii="宋体" w:hAnsi="宋体" w:cs="宋体"/>
                <w:sz w:val="24"/>
                <w:lang w:val="en-US" w:eastAsia="zh-CN"/>
              </w:rPr>
              <w:t>53.85</w:t>
            </w:r>
          </w:p>
        </w:tc>
        <w:tc>
          <w:tcPr>
            <w:tcW w:w="2485" w:type="dxa"/>
            <w:vAlign w:val="center"/>
          </w:tcPr>
          <w:p>
            <w:pPr>
              <w:jc w:val="center"/>
              <w:rPr>
                <w:rFonts w:hint="eastAsia" w:ascii="宋体" w:hAnsi="宋体" w:eastAsia="宋体" w:cs="宋体"/>
                <w:kern w:val="2"/>
                <w:sz w:val="24"/>
                <w:lang w:val="en-US" w:eastAsia="zh-CN" w:bidi="ar-SA"/>
              </w:rPr>
            </w:pPr>
            <w:r>
              <w:rPr>
                <w:rFonts w:hint="eastAsia" w:ascii="宋体" w:hAnsi="宋体" w:eastAsia="宋体" w:cs="宋体"/>
                <w:sz w:val="24"/>
              </w:rPr>
              <w:t>9</w:t>
            </w:r>
            <w:r>
              <w:rPr>
                <w:rFonts w:hint="eastAsia" w:ascii="宋体" w:hAnsi="宋体" w:cs="宋体"/>
                <w:sz w:val="24"/>
              </w:rPr>
              <w:t>0.97</w:t>
            </w:r>
          </w:p>
        </w:tc>
        <w:tc>
          <w:tcPr>
            <w:tcW w:w="2485" w:type="dxa"/>
            <w:vAlign w:val="center"/>
          </w:tcPr>
          <w:p>
            <w:pPr>
              <w:jc w:val="center"/>
              <w:rPr>
                <w:rFonts w:hint="eastAsia" w:ascii="宋体" w:hAnsi="宋体" w:eastAsia="宋体" w:cs="宋体"/>
                <w:kern w:val="2"/>
                <w:sz w:val="24"/>
                <w:lang w:val="en-US" w:eastAsia="zh-CN" w:bidi="ar-SA"/>
              </w:rPr>
            </w:pPr>
            <w:r>
              <w:rPr>
                <w:rFonts w:hint="eastAsia" w:ascii="宋体" w:hAnsi="宋体" w:cs="宋体"/>
                <w:sz w:val="24"/>
                <w:lang w:val="en-US" w:eastAsia="zh-CN"/>
              </w:rPr>
              <w:t>-37.12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hint="eastAsia" w:ascii="宋体" w:hAnsi="宋体" w:eastAsia="宋体" w:cs="宋体"/>
                <w:sz w:val="24"/>
              </w:rPr>
            </w:pPr>
            <w:r>
              <w:rPr>
                <w:rFonts w:hint="eastAsia" w:ascii="宋体" w:hAnsi="宋体" w:eastAsia="宋体" w:cs="宋体"/>
                <w:sz w:val="24"/>
              </w:rPr>
              <w:t>外国语</w:t>
            </w:r>
            <w:r>
              <w:rPr>
                <w:rFonts w:hint="eastAsia" w:ascii="宋体" w:hAnsi="宋体" w:cs="宋体"/>
                <w:sz w:val="24"/>
              </w:rPr>
              <w:t>学院</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52.94</w:t>
            </w:r>
          </w:p>
        </w:tc>
        <w:tc>
          <w:tcPr>
            <w:tcW w:w="2485" w:type="dxa"/>
            <w:vAlign w:val="center"/>
          </w:tcPr>
          <w:p>
            <w:pPr>
              <w:jc w:val="center"/>
              <w:rPr>
                <w:rFonts w:hint="eastAsia" w:ascii="宋体" w:hAnsi="宋体" w:eastAsia="宋体" w:cs="宋体"/>
                <w:sz w:val="24"/>
              </w:rPr>
            </w:pPr>
            <w:r>
              <w:rPr>
                <w:rFonts w:hint="eastAsia" w:ascii="宋体" w:hAnsi="宋体" w:cs="宋体"/>
                <w:sz w:val="24"/>
              </w:rPr>
              <w:t>93.52</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-40.58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hint="eastAsia" w:ascii="宋体" w:hAnsi="宋体" w:eastAsia="宋体" w:cs="宋体"/>
                <w:sz w:val="24"/>
              </w:rPr>
            </w:pPr>
            <w:r>
              <w:rPr>
                <w:rFonts w:hint="eastAsia" w:ascii="宋体" w:hAnsi="宋体" w:eastAsia="宋体" w:cs="宋体"/>
                <w:sz w:val="24"/>
              </w:rPr>
              <w:t>语言与传媒</w:t>
            </w:r>
            <w:r>
              <w:rPr>
                <w:rFonts w:hint="eastAsia" w:ascii="宋体" w:hAnsi="宋体" w:cs="宋体"/>
                <w:sz w:val="24"/>
              </w:rPr>
              <w:t>学院</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47.74</w:t>
            </w:r>
          </w:p>
        </w:tc>
        <w:tc>
          <w:tcPr>
            <w:tcW w:w="2485" w:type="dxa"/>
            <w:vAlign w:val="center"/>
          </w:tcPr>
          <w:p>
            <w:pPr>
              <w:jc w:val="center"/>
              <w:rPr>
                <w:rFonts w:hint="eastAsia" w:ascii="宋体" w:hAnsi="宋体" w:eastAsia="宋体" w:cs="宋体"/>
                <w:sz w:val="24"/>
              </w:rPr>
            </w:pPr>
            <w:r>
              <w:rPr>
                <w:rFonts w:hint="eastAsia" w:ascii="宋体" w:hAnsi="宋体" w:cs="宋体"/>
                <w:sz w:val="24"/>
              </w:rPr>
              <w:t>81.68</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-33.94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84" w:type="dxa"/>
            <w:vAlign w:val="center"/>
          </w:tcPr>
          <w:p>
            <w:pPr>
              <w:jc w:val="center"/>
              <w:rPr>
                <w:rFonts w:hint="eastAsia" w:ascii="宋体" w:hAnsi="宋体" w:eastAsia="宋体" w:cs="宋体"/>
                <w:sz w:val="24"/>
              </w:rPr>
            </w:pPr>
            <w:r>
              <w:rPr>
                <w:rFonts w:hint="eastAsia" w:ascii="宋体" w:hAnsi="宋体" w:eastAsia="宋体" w:cs="宋体"/>
                <w:sz w:val="24"/>
              </w:rPr>
              <w:t>总计</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64.10</w:t>
            </w:r>
          </w:p>
        </w:tc>
        <w:tc>
          <w:tcPr>
            <w:tcW w:w="2485" w:type="dxa"/>
            <w:vAlign w:val="center"/>
          </w:tcPr>
          <w:p>
            <w:pPr>
              <w:jc w:val="center"/>
              <w:rPr>
                <w:rFonts w:hint="eastAsia" w:ascii="宋体" w:hAnsi="宋体" w:eastAsia="宋体" w:cs="宋体"/>
                <w:sz w:val="24"/>
              </w:rPr>
            </w:pPr>
            <w:r>
              <w:rPr>
                <w:rFonts w:hint="eastAsia" w:ascii="宋体" w:hAnsi="宋体" w:cs="宋体"/>
                <w:sz w:val="24"/>
              </w:rPr>
              <w:t>84.15</w:t>
            </w:r>
          </w:p>
        </w:tc>
        <w:tc>
          <w:tcPr>
            <w:tcW w:w="2485"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-20.05</w:t>
            </w:r>
          </w:p>
        </w:tc>
      </w:tr>
    </w:tbl>
    <w:p>
      <w:pPr>
        <w:spacing w:line="360" w:lineRule="auto"/>
        <w:rPr>
          <w:rFonts w:ascii="宋体"/>
          <w:szCs w:val="21"/>
        </w:rPr>
      </w:pPr>
    </w:p>
    <w:p>
      <w:pPr>
        <w:spacing w:line="360" w:lineRule="auto"/>
        <w:ind w:firstLine="480" w:firstLineChars="200"/>
        <w:rPr>
          <w:rFonts w:hint="eastAsia" w:ascii="宋体" w:hAnsi="宋体" w:eastAsia="宋体" w:cs="宋体"/>
          <w:bCs/>
          <w:sz w:val="28"/>
          <w:szCs w:val="28"/>
        </w:rPr>
      </w:pPr>
      <w:r>
        <w:rPr>
          <w:rFonts w:hint="eastAsia" w:ascii="宋体" w:hAnsi="宋体" w:eastAsia="宋体" w:cs="宋体"/>
          <w:bCs/>
          <w:sz w:val="24"/>
        </w:rPr>
        <w:t>截止</w:t>
      </w:r>
      <w:r>
        <w:rPr>
          <w:rFonts w:hint="eastAsia" w:ascii="宋体" w:hAnsi="宋体" w:cs="宋体"/>
          <w:bCs/>
          <w:sz w:val="24"/>
        </w:rPr>
        <w:t>20</w:t>
      </w:r>
      <w:r>
        <w:rPr>
          <w:rFonts w:hint="eastAsia" w:ascii="宋体" w:hAnsi="宋体" w:cs="宋体"/>
          <w:bCs/>
          <w:sz w:val="24"/>
          <w:lang w:val="en-US" w:eastAsia="zh-CN"/>
        </w:rPr>
        <w:t>20</w:t>
      </w:r>
      <w:r>
        <w:rPr>
          <w:rFonts w:hint="eastAsia" w:ascii="宋体" w:hAnsi="宋体" w:eastAsia="宋体" w:cs="宋体"/>
          <w:bCs/>
          <w:sz w:val="24"/>
        </w:rPr>
        <w:t>年9月1日，我院</w:t>
      </w:r>
      <w:r>
        <w:rPr>
          <w:rFonts w:hint="eastAsia" w:ascii="宋体" w:hAnsi="宋体" w:cs="宋体"/>
          <w:bCs/>
          <w:sz w:val="24"/>
          <w:lang w:val="en-US" w:eastAsia="zh-CN"/>
        </w:rPr>
        <w:t>2020</w:t>
      </w:r>
      <w:r>
        <w:rPr>
          <w:rFonts w:hint="eastAsia" w:ascii="宋体" w:hAnsi="宋体" w:eastAsia="宋体" w:cs="宋体"/>
          <w:bCs/>
          <w:sz w:val="24"/>
        </w:rPr>
        <w:t>届毕业生就业率超过学院平均水平的</w:t>
      </w:r>
      <w:r>
        <w:rPr>
          <w:rFonts w:hint="eastAsia" w:ascii="宋体" w:hAnsi="宋体" w:cs="宋体"/>
          <w:bCs/>
          <w:sz w:val="24"/>
        </w:rPr>
        <w:t>二级学院</w:t>
      </w:r>
      <w:r>
        <w:rPr>
          <w:rFonts w:hint="eastAsia" w:ascii="宋体" w:hAnsi="宋体" w:eastAsia="宋体" w:cs="宋体"/>
          <w:bCs/>
          <w:sz w:val="24"/>
        </w:rPr>
        <w:t>分别是艺术</w:t>
      </w:r>
      <w:r>
        <w:rPr>
          <w:rFonts w:hint="eastAsia" w:ascii="宋体" w:hAnsi="宋体" w:cs="宋体"/>
          <w:sz w:val="24"/>
        </w:rPr>
        <w:t>学院</w:t>
      </w:r>
      <w:r>
        <w:rPr>
          <w:rFonts w:hint="eastAsia" w:ascii="宋体" w:hAnsi="宋体" w:eastAsia="宋体" w:cs="宋体"/>
          <w:bCs/>
          <w:sz w:val="24"/>
        </w:rPr>
        <w:t>、信息工程</w:t>
      </w:r>
      <w:r>
        <w:rPr>
          <w:rFonts w:hint="eastAsia" w:ascii="宋体" w:hAnsi="宋体" w:cs="宋体"/>
          <w:sz w:val="24"/>
        </w:rPr>
        <w:t>学院</w:t>
      </w:r>
      <w:r>
        <w:rPr>
          <w:rFonts w:hint="eastAsia" w:ascii="宋体" w:hAnsi="宋体" w:cs="宋体"/>
          <w:bCs/>
          <w:sz w:val="24"/>
          <w:lang w:eastAsia="zh-CN"/>
        </w:rPr>
        <w:t>，</w:t>
      </w:r>
      <w:r>
        <w:rPr>
          <w:rFonts w:hint="eastAsia" w:ascii="宋体" w:hAnsi="宋体" w:eastAsia="宋体" w:cs="宋体"/>
          <w:bCs/>
          <w:sz w:val="24"/>
        </w:rPr>
        <w:t>商</w:t>
      </w:r>
      <w:r>
        <w:rPr>
          <w:rFonts w:hint="eastAsia" w:ascii="宋体" w:hAnsi="宋体" w:cs="宋体"/>
          <w:sz w:val="24"/>
        </w:rPr>
        <w:t>学院</w:t>
      </w:r>
      <w:r>
        <w:rPr>
          <w:rFonts w:hint="eastAsia" w:ascii="宋体" w:hAnsi="宋体" w:cs="宋体"/>
          <w:bCs/>
          <w:sz w:val="24"/>
          <w:lang w:eastAsia="zh-CN"/>
        </w:rPr>
        <w:t>、</w:t>
      </w:r>
      <w:r>
        <w:rPr>
          <w:rFonts w:hint="eastAsia" w:ascii="宋体" w:hAnsi="宋体" w:eastAsia="宋体" w:cs="宋体"/>
          <w:bCs/>
          <w:sz w:val="24"/>
        </w:rPr>
        <w:t>交通</w:t>
      </w:r>
      <w:r>
        <w:rPr>
          <w:rFonts w:hint="eastAsia" w:ascii="宋体" w:hAnsi="宋体" w:cs="宋体"/>
          <w:bCs/>
          <w:sz w:val="24"/>
          <w:lang w:eastAsia="zh-CN"/>
        </w:rPr>
        <w:t>与</w:t>
      </w:r>
      <w:r>
        <w:rPr>
          <w:rFonts w:hint="eastAsia" w:ascii="宋体" w:hAnsi="宋体" w:eastAsia="宋体" w:cs="宋体"/>
          <w:bCs/>
          <w:sz w:val="24"/>
        </w:rPr>
        <w:t>环境</w:t>
      </w:r>
      <w:r>
        <w:rPr>
          <w:rFonts w:hint="eastAsia" w:ascii="宋体" w:hAnsi="宋体" w:cs="宋体"/>
          <w:sz w:val="24"/>
        </w:rPr>
        <w:t>学院</w:t>
      </w:r>
      <w:r>
        <w:rPr>
          <w:rFonts w:hint="eastAsia" w:ascii="宋体" w:hAnsi="宋体" w:cs="宋体"/>
          <w:bCs/>
          <w:sz w:val="24"/>
          <w:lang w:eastAsia="zh-CN"/>
        </w:rPr>
        <w:t>、外国语学院、</w:t>
      </w:r>
      <w:r>
        <w:rPr>
          <w:rFonts w:hint="eastAsia" w:ascii="宋体" w:hAnsi="宋体" w:eastAsia="宋体" w:cs="宋体"/>
          <w:bCs/>
          <w:sz w:val="24"/>
        </w:rPr>
        <w:t>语言与传媒</w:t>
      </w:r>
      <w:r>
        <w:rPr>
          <w:rFonts w:hint="eastAsia" w:ascii="宋体" w:hAnsi="宋体" w:cs="宋体"/>
          <w:sz w:val="24"/>
        </w:rPr>
        <w:t>学院</w:t>
      </w:r>
      <w:r>
        <w:rPr>
          <w:rFonts w:hint="eastAsia" w:ascii="宋体" w:hAnsi="宋体" w:eastAsia="宋体" w:cs="宋体"/>
          <w:bCs/>
          <w:sz w:val="24"/>
        </w:rPr>
        <w:t>就业率低于</w:t>
      </w:r>
      <w:r>
        <w:rPr>
          <w:rFonts w:hint="eastAsia" w:ascii="宋体" w:hAnsi="宋体" w:cs="宋体"/>
          <w:bCs/>
          <w:sz w:val="24"/>
          <w:lang w:eastAsia="zh-CN"/>
        </w:rPr>
        <w:t>我</w:t>
      </w:r>
      <w:r>
        <w:rPr>
          <w:rFonts w:hint="eastAsia" w:ascii="宋体" w:hAnsi="宋体" w:eastAsia="宋体" w:cs="宋体"/>
          <w:bCs/>
          <w:sz w:val="24"/>
        </w:rPr>
        <w:t>院平均水平</w:t>
      </w:r>
      <w:r>
        <w:rPr>
          <w:rFonts w:hint="eastAsia" w:ascii="宋体" w:hAnsi="宋体" w:cs="宋体"/>
          <w:bCs/>
          <w:sz w:val="24"/>
          <w:lang w:val="en-US" w:eastAsia="zh-CN"/>
        </w:rPr>
        <w:t>64.10</w:t>
      </w:r>
      <w:r>
        <w:rPr>
          <w:rFonts w:ascii="宋体" w:hAnsi="宋体" w:cs="宋体"/>
          <w:bCs/>
          <w:sz w:val="24"/>
        </w:rPr>
        <w:t>%</w:t>
      </w:r>
      <w:r>
        <w:rPr>
          <w:rFonts w:hint="eastAsia" w:ascii="宋体" w:hAnsi="宋体" w:eastAsia="宋体" w:cs="宋体"/>
          <w:bCs/>
          <w:sz w:val="24"/>
        </w:rPr>
        <w:t>。</w:t>
      </w:r>
    </w:p>
    <w:p>
      <w:pPr>
        <w:pStyle w:val="4"/>
        <w:numPr>
          <w:ilvl w:val="2"/>
          <w:numId w:val="6"/>
        </w:numPr>
        <w:tabs>
          <w:tab w:val="left" w:pos="540"/>
          <w:tab w:val="clear" w:pos="1320"/>
        </w:tabs>
        <w:spacing w:line="360" w:lineRule="auto"/>
        <w:ind w:left="180" w:firstLine="0"/>
        <w:rPr>
          <w:sz w:val="28"/>
          <w:szCs w:val="28"/>
        </w:rPr>
      </w:pPr>
      <w:bookmarkStart w:id="57" w:name="_Toc436748518"/>
      <w:r>
        <w:rPr>
          <w:rFonts w:hint="eastAsia"/>
          <w:sz w:val="28"/>
          <w:szCs w:val="28"/>
        </w:rPr>
        <w:t>各专业就业情况及比较分析</w:t>
      </w:r>
      <w:bookmarkEnd w:id="57"/>
    </w:p>
    <w:p>
      <w:pPr>
        <w:spacing w:line="360" w:lineRule="auto"/>
        <w:ind w:firstLine="480" w:firstLineChars="200"/>
        <w:rPr>
          <w:rFonts w:hint="eastAsia" w:ascii="宋体" w:hAnsi="宋体" w:cs="宋体"/>
          <w:szCs w:val="21"/>
        </w:rPr>
      </w:pPr>
      <w:r>
        <w:rPr>
          <w:rFonts w:hint="eastAsia" w:ascii="宋体" w:hAnsi="宋体" w:eastAsia="宋体" w:cs="宋体"/>
          <w:bCs/>
          <w:sz w:val="24"/>
        </w:rPr>
        <w:t>截止</w:t>
      </w:r>
      <w:r>
        <w:rPr>
          <w:rFonts w:hint="eastAsia" w:ascii="宋体" w:hAnsi="宋体" w:cs="宋体"/>
          <w:bCs/>
          <w:sz w:val="24"/>
          <w:lang w:val="en-US" w:eastAsia="zh-CN"/>
        </w:rPr>
        <w:t>2020</w:t>
      </w:r>
      <w:r>
        <w:rPr>
          <w:rFonts w:hint="eastAsia" w:ascii="宋体" w:hAnsi="宋体" w:eastAsia="宋体" w:cs="宋体"/>
          <w:bCs/>
          <w:sz w:val="24"/>
        </w:rPr>
        <w:t>年9月1日，我院各专业具体就业情况如下：</w:t>
      </w:r>
    </w:p>
    <w:p>
      <w:pPr>
        <w:ind w:firstLine="0" w:firstLineChars="0"/>
        <w:jc w:val="center"/>
        <w:rPr>
          <w:rFonts w:hint="eastAsia" w:ascii="宋体" w:hAnsi="宋体" w:eastAsia="宋体" w:cs="宋体"/>
          <w:b/>
          <w:sz w:val="24"/>
        </w:rPr>
      </w:pPr>
      <w:r>
        <w:rPr>
          <w:rFonts w:hint="eastAsia" w:ascii="宋体" w:hAnsi="宋体" w:eastAsia="宋体" w:cs="宋体"/>
          <w:b/>
          <w:sz w:val="24"/>
        </w:rPr>
        <w:t xml:space="preserve">表2.3: </w:t>
      </w:r>
      <w:r>
        <w:rPr>
          <w:rFonts w:hint="eastAsia" w:ascii="宋体" w:hAnsi="宋体" w:cs="宋体"/>
          <w:b/>
          <w:sz w:val="24"/>
          <w:lang w:val="en-US" w:eastAsia="zh-CN"/>
        </w:rPr>
        <w:t>2020</w:t>
      </w:r>
      <w:r>
        <w:rPr>
          <w:rFonts w:hint="eastAsia" w:ascii="宋体" w:hAnsi="宋体" w:eastAsia="宋体" w:cs="宋体"/>
          <w:b/>
          <w:sz w:val="24"/>
        </w:rPr>
        <w:t>届</w:t>
      </w:r>
      <w:r>
        <w:rPr>
          <w:rFonts w:hint="eastAsia" w:ascii="宋体" w:hAnsi="宋体" w:cs="宋体"/>
          <w:b/>
          <w:sz w:val="24"/>
          <w:lang w:eastAsia="zh-CN"/>
        </w:rPr>
        <w:t>与</w:t>
      </w:r>
      <w:r>
        <w:rPr>
          <w:rFonts w:hint="eastAsia" w:ascii="宋体" w:hAnsi="宋体" w:cs="宋体"/>
          <w:b/>
          <w:sz w:val="24"/>
          <w:lang w:val="en-US" w:eastAsia="zh-CN"/>
        </w:rPr>
        <w:t>2019届</w:t>
      </w:r>
      <w:r>
        <w:rPr>
          <w:rFonts w:hint="eastAsia" w:ascii="宋体" w:hAnsi="宋体" w:eastAsia="宋体" w:cs="宋体"/>
          <w:b/>
          <w:sz w:val="24"/>
        </w:rPr>
        <w:t>毕业生各专业就业率</w:t>
      </w:r>
      <w:r>
        <w:rPr>
          <w:rFonts w:hint="eastAsia" w:ascii="宋体" w:hAnsi="宋体" w:cs="宋体"/>
          <w:b/>
          <w:sz w:val="24"/>
          <w:lang w:eastAsia="zh-CN"/>
        </w:rPr>
        <w:t>变化情况</w:t>
      </w:r>
    </w:p>
    <w:tbl>
      <w:tblPr>
        <w:tblStyle w:val="20"/>
        <w:tblW w:w="7843" w:type="dxa"/>
        <w:jc w:val="center"/>
        <w:tblLayout w:type="fixed"/>
        <w:tblCellMar>
          <w:top w:w="0" w:type="dxa"/>
          <w:left w:w="108" w:type="dxa"/>
          <w:bottom w:w="0" w:type="dxa"/>
          <w:right w:w="108" w:type="dxa"/>
        </w:tblCellMar>
      </w:tblPr>
      <w:tblGrid>
        <w:gridCol w:w="2391"/>
        <w:gridCol w:w="1914"/>
        <w:gridCol w:w="1577"/>
        <w:gridCol w:w="1961"/>
      </w:tblGrid>
      <w:tr>
        <w:tblPrEx>
          <w:tblCellMar>
            <w:top w:w="0" w:type="dxa"/>
            <w:left w:w="108" w:type="dxa"/>
            <w:bottom w:w="0" w:type="dxa"/>
            <w:right w:w="108" w:type="dxa"/>
          </w:tblCellMar>
        </w:tblPrEx>
        <w:trPr>
          <w:trHeight w:val="584" w:hRule="atLeast"/>
          <w:jc w:val="center"/>
        </w:trPr>
        <w:tc>
          <w:tcPr>
            <w:tcW w:w="2391" w:type="dxa"/>
            <w:tcBorders>
              <w:top w:val="single" w:color="auto" w:sz="8" w:space="0"/>
              <w:left w:val="nil"/>
              <w:bottom w:val="single" w:color="auto" w:sz="4" w:space="0"/>
              <w:right w:val="single" w:color="auto" w:sz="4" w:space="0"/>
            </w:tcBorders>
            <w:shd w:val="clear" w:color="auto" w:fill="9999FF"/>
            <w:vAlign w:val="center"/>
          </w:tcPr>
          <w:p>
            <w:pPr>
              <w:widowControl/>
              <w:jc w:val="center"/>
              <w:rPr>
                <w:rFonts w:hint="eastAsia" w:ascii="宋体" w:hAnsi="宋体" w:eastAsia="宋体" w:cs="宋体"/>
                <w:b/>
                <w:bCs/>
                <w:kern w:val="0"/>
                <w:sz w:val="24"/>
              </w:rPr>
            </w:pPr>
            <w:r>
              <w:rPr>
                <w:rFonts w:hint="eastAsia" w:ascii="宋体" w:hAnsi="宋体" w:eastAsia="宋体" w:cs="宋体"/>
                <w:b/>
                <w:bCs/>
                <w:kern w:val="0"/>
                <w:sz w:val="24"/>
              </w:rPr>
              <w:t>专业</w:t>
            </w:r>
          </w:p>
        </w:tc>
        <w:tc>
          <w:tcPr>
            <w:tcW w:w="1914" w:type="dxa"/>
            <w:tcBorders>
              <w:top w:val="single" w:color="auto" w:sz="8" w:space="0"/>
              <w:left w:val="nil"/>
              <w:bottom w:val="single" w:color="auto" w:sz="4" w:space="0"/>
              <w:right w:val="single" w:color="auto" w:sz="4" w:space="0"/>
            </w:tcBorders>
            <w:shd w:val="clear" w:color="auto" w:fill="9999FF"/>
            <w:vAlign w:val="center"/>
          </w:tcPr>
          <w:p>
            <w:pPr>
              <w:jc w:val="center"/>
              <w:rPr>
                <w:rFonts w:hint="eastAsia" w:ascii="宋体" w:hAnsi="宋体" w:eastAsia="宋体" w:cs="宋体"/>
                <w:b/>
                <w:bCs/>
                <w:kern w:val="0"/>
                <w:sz w:val="24"/>
              </w:rPr>
            </w:pPr>
            <w:r>
              <w:rPr>
                <w:rFonts w:hint="eastAsia" w:ascii="宋体" w:hAnsi="宋体" w:cs="宋体"/>
                <w:b/>
                <w:sz w:val="24"/>
                <w:lang w:val="en-US" w:eastAsia="zh-CN"/>
              </w:rPr>
              <w:t>2020</w:t>
            </w:r>
            <w:r>
              <w:rPr>
                <w:rFonts w:hint="eastAsia" w:ascii="宋体" w:hAnsi="宋体" w:eastAsia="宋体" w:cs="宋体"/>
                <w:b/>
                <w:sz w:val="24"/>
              </w:rPr>
              <w:t>就业率（%）</w:t>
            </w:r>
          </w:p>
        </w:tc>
        <w:tc>
          <w:tcPr>
            <w:tcW w:w="1577" w:type="dxa"/>
            <w:tcBorders>
              <w:top w:val="single" w:color="auto" w:sz="8" w:space="0"/>
              <w:left w:val="nil"/>
              <w:bottom w:val="single" w:color="auto" w:sz="4" w:space="0"/>
              <w:right w:val="single" w:color="auto" w:sz="4" w:space="0"/>
            </w:tcBorders>
            <w:shd w:val="clear" w:color="auto" w:fill="9999FF"/>
            <w:vAlign w:val="center"/>
          </w:tcPr>
          <w:p>
            <w:pPr>
              <w:jc w:val="center"/>
              <w:rPr>
                <w:rFonts w:hint="eastAsia" w:ascii="宋体" w:hAnsi="宋体" w:eastAsia="宋体" w:cs="宋体"/>
                <w:b/>
                <w:bCs/>
                <w:kern w:val="0"/>
                <w:sz w:val="24"/>
              </w:rPr>
            </w:pPr>
            <w:r>
              <w:rPr>
                <w:rFonts w:hint="eastAsia" w:ascii="宋体" w:hAnsi="宋体" w:cs="宋体"/>
                <w:b/>
                <w:sz w:val="24"/>
                <w:lang w:val="en-US" w:eastAsia="zh-CN"/>
              </w:rPr>
              <w:t>2019</w:t>
            </w:r>
            <w:r>
              <w:rPr>
                <w:rFonts w:hint="eastAsia" w:ascii="宋体" w:hAnsi="宋体" w:eastAsia="宋体" w:cs="宋体"/>
                <w:b/>
                <w:sz w:val="24"/>
              </w:rPr>
              <w:t>就业率（%）</w:t>
            </w:r>
          </w:p>
        </w:tc>
        <w:tc>
          <w:tcPr>
            <w:tcW w:w="1961" w:type="dxa"/>
            <w:tcBorders>
              <w:top w:val="single" w:color="auto" w:sz="8" w:space="0"/>
              <w:left w:val="nil"/>
              <w:bottom w:val="single" w:color="auto" w:sz="4" w:space="0"/>
              <w:right w:val="single" w:color="auto" w:sz="4" w:space="0"/>
            </w:tcBorders>
            <w:shd w:val="clear" w:color="auto" w:fill="9999FF"/>
            <w:vAlign w:val="center"/>
          </w:tcPr>
          <w:p>
            <w:pPr>
              <w:jc w:val="center"/>
              <w:rPr>
                <w:rFonts w:hint="eastAsia" w:ascii="宋体" w:hAnsi="宋体" w:eastAsia="宋体" w:cs="宋体"/>
                <w:b/>
                <w:bCs/>
                <w:kern w:val="0"/>
                <w:sz w:val="24"/>
              </w:rPr>
            </w:pPr>
            <w:r>
              <w:rPr>
                <w:rFonts w:hint="eastAsia" w:ascii="宋体" w:hAnsi="宋体" w:cs="宋体"/>
                <w:b/>
                <w:sz w:val="24"/>
                <w:lang w:eastAsia="zh-CN"/>
              </w:rPr>
              <w:t>变化量</w:t>
            </w:r>
            <w:r>
              <w:rPr>
                <w:rFonts w:hint="eastAsia" w:ascii="宋体" w:hAnsi="宋体" w:eastAsia="宋体" w:cs="宋体"/>
                <w:b/>
                <w:sz w:val="24"/>
              </w:rPr>
              <w:t>（</w:t>
            </w:r>
            <w:r>
              <w:rPr>
                <w:rFonts w:hint="eastAsia" w:ascii="宋体" w:hAnsi="宋体" w:cs="宋体"/>
                <w:b/>
                <w:sz w:val="24"/>
                <w:lang w:eastAsia="zh-CN"/>
              </w:rPr>
              <w:t>百分点</w:t>
            </w:r>
            <w:r>
              <w:rPr>
                <w:rFonts w:hint="eastAsia" w:ascii="宋体" w:hAnsi="宋体" w:eastAsia="宋体" w:cs="宋体"/>
                <w:b/>
                <w:sz w:val="24"/>
              </w:rPr>
              <w:t>）</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服装与服饰设计</w:t>
            </w:r>
          </w:p>
        </w:tc>
        <w:tc>
          <w:tcPr>
            <w:tcW w:w="191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92.31</w:t>
            </w:r>
          </w:p>
        </w:tc>
        <w:tc>
          <w:tcPr>
            <w:tcW w:w="1577"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eastAsia="宋体" w:cs="宋体"/>
                <w:kern w:val="0"/>
                <w:sz w:val="24"/>
              </w:rPr>
              <w:t>8</w:t>
            </w:r>
            <w:r>
              <w:rPr>
                <w:rFonts w:hint="eastAsia" w:ascii="宋体" w:hAnsi="宋体" w:cs="宋体"/>
                <w:kern w:val="0"/>
                <w:sz w:val="24"/>
              </w:rPr>
              <w:t>9.8</w:t>
            </w:r>
            <w:r>
              <w:rPr>
                <w:rFonts w:hint="eastAsia" w:ascii="宋体" w:hAnsi="宋体" w:cs="宋体"/>
                <w:kern w:val="0"/>
                <w:sz w:val="24"/>
                <w:lang w:val="en-US" w:eastAsia="zh-CN"/>
              </w:rPr>
              <w:t>0</w:t>
            </w:r>
          </w:p>
        </w:tc>
        <w:tc>
          <w:tcPr>
            <w:tcW w:w="196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2.51</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环境艺术设计</w:t>
            </w:r>
          </w:p>
        </w:tc>
        <w:tc>
          <w:tcPr>
            <w:tcW w:w="191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84.87</w:t>
            </w:r>
          </w:p>
        </w:tc>
        <w:tc>
          <w:tcPr>
            <w:tcW w:w="1577"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cs="宋体"/>
                <w:kern w:val="0"/>
                <w:sz w:val="24"/>
              </w:rPr>
            </w:pPr>
            <w:r>
              <w:rPr>
                <w:rFonts w:hint="eastAsia" w:ascii="宋体" w:hAnsi="宋体" w:cs="宋体"/>
                <w:kern w:val="0"/>
                <w:sz w:val="24"/>
              </w:rPr>
              <w:t>96.43</w:t>
            </w:r>
          </w:p>
        </w:tc>
        <w:tc>
          <w:tcPr>
            <w:tcW w:w="196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-11.56</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自动化</w:t>
            </w:r>
          </w:p>
        </w:tc>
        <w:tc>
          <w:tcPr>
            <w:tcW w:w="191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83.04</w:t>
            </w:r>
          </w:p>
        </w:tc>
        <w:tc>
          <w:tcPr>
            <w:tcW w:w="1577"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cs="宋体"/>
                <w:kern w:val="0"/>
                <w:sz w:val="24"/>
              </w:rPr>
            </w:pPr>
            <w:r>
              <w:rPr>
                <w:rFonts w:hint="eastAsia" w:ascii="宋体" w:hAnsi="宋体" w:cs="宋体"/>
                <w:kern w:val="0"/>
                <w:sz w:val="24"/>
              </w:rPr>
              <w:t>95.12</w:t>
            </w:r>
          </w:p>
        </w:tc>
        <w:tc>
          <w:tcPr>
            <w:tcW w:w="196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-12.08</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计算机科学与技术</w:t>
            </w:r>
          </w:p>
        </w:tc>
        <w:tc>
          <w:tcPr>
            <w:tcW w:w="191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71.43</w:t>
            </w:r>
          </w:p>
        </w:tc>
        <w:tc>
          <w:tcPr>
            <w:tcW w:w="1577"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cs="宋体"/>
                <w:kern w:val="0"/>
                <w:sz w:val="24"/>
              </w:rPr>
            </w:pPr>
            <w:r>
              <w:rPr>
                <w:rFonts w:hint="eastAsia" w:ascii="宋体" w:hAnsi="宋体" w:cs="宋体"/>
                <w:kern w:val="0"/>
                <w:sz w:val="24"/>
              </w:rPr>
              <w:t>95.38</w:t>
            </w:r>
          </w:p>
        </w:tc>
        <w:tc>
          <w:tcPr>
            <w:tcW w:w="196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-23.95</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产品设计</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92.98</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rPr>
              <w:t>100</w:t>
            </w:r>
            <w:r>
              <w:rPr>
                <w:rFonts w:hint="eastAsia" w:ascii="宋体" w:hAnsi="宋体" w:cs="宋体"/>
                <w:kern w:val="0"/>
                <w:sz w:val="24"/>
                <w:lang w:val="en-US" w:eastAsia="zh-CN"/>
              </w:rPr>
              <w:t>.00</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-7.02</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视觉传达设计</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95.31</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eastAsia="宋体" w:cs="宋体"/>
                <w:kern w:val="0"/>
                <w:sz w:val="24"/>
              </w:rPr>
              <w:t>9</w:t>
            </w:r>
            <w:r>
              <w:rPr>
                <w:rFonts w:hint="eastAsia" w:ascii="宋体" w:hAnsi="宋体" w:cs="宋体"/>
                <w:kern w:val="0"/>
                <w:sz w:val="24"/>
              </w:rPr>
              <w:t>5</w:t>
            </w:r>
            <w:r>
              <w:rPr>
                <w:rFonts w:hint="eastAsia" w:ascii="宋体" w:hAnsi="宋体" w:cs="宋体"/>
                <w:kern w:val="0"/>
                <w:sz w:val="24"/>
                <w:lang w:val="en-US" w:eastAsia="zh-CN"/>
              </w:rPr>
              <w:t>.00</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0.31</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信息与计算科学</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60.00</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eastAsia="宋体" w:cs="宋体"/>
                <w:kern w:val="0"/>
                <w:sz w:val="24"/>
              </w:rPr>
              <w:t>9</w:t>
            </w:r>
            <w:r>
              <w:rPr>
                <w:rFonts w:hint="eastAsia" w:ascii="宋体" w:hAnsi="宋体" w:cs="宋体"/>
                <w:kern w:val="0"/>
                <w:sz w:val="24"/>
              </w:rPr>
              <w:t>5.83</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-35.83</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绘画</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58.06</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rPr>
              <w:t>100</w:t>
            </w:r>
            <w:r>
              <w:rPr>
                <w:rFonts w:hint="eastAsia" w:ascii="宋体" w:hAnsi="宋体" w:cs="宋体"/>
                <w:kern w:val="0"/>
                <w:sz w:val="24"/>
                <w:lang w:val="en-US" w:eastAsia="zh-CN"/>
              </w:rPr>
              <w:t>.00</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-41.94</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英语</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52.94</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94.44</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-41.50</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rPr>
              <w:t>土木工程</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70.59</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rPr>
              <w:t>94.9</w:t>
            </w:r>
            <w:r>
              <w:rPr>
                <w:rFonts w:hint="eastAsia" w:ascii="宋体" w:hAnsi="宋体" w:cs="宋体"/>
                <w:kern w:val="0"/>
                <w:sz w:val="24"/>
                <w:lang w:val="en-US" w:eastAsia="zh-CN"/>
              </w:rPr>
              <w:t>0</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-24.31</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会计学</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lang w:val="en-US" w:eastAsia="zh-CN"/>
              </w:rPr>
              <w:t>69.19</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eastAsia="宋体" w:cs="宋体"/>
                <w:kern w:val="0"/>
                <w:sz w:val="24"/>
              </w:rPr>
              <w:t>7</w:t>
            </w:r>
            <w:r>
              <w:rPr>
                <w:rFonts w:hint="eastAsia" w:ascii="宋体" w:hAnsi="宋体" w:cs="宋体"/>
                <w:kern w:val="0"/>
                <w:sz w:val="24"/>
              </w:rPr>
              <w:t>4.86</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-5.67</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通信工程</w:t>
            </w:r>
          </w:p>
        </w:tc>
        <w:tc>
          <w:tcPr>
            <w:tcW w:w="1914"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57.14</w:t>
            </w:r>
          </w:p>
        </w:tc>
        <w:tc>
          <w:tcPr>
            <w:tcW w:w="1577"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rPr>
              <w:t>92.6</w:t>
            </w:r>
            <w:r>
              <w:rPr>
                <w:rFonts w:hint="eastAsia" w:ascii="宋体" w:hAnsi="宋体" w:cs="宋体"/>
                <w:kern w:val="0"/>
                <w:sz w:val="24"/>
                <w:lang w:val="en-US" w:eastAsia="zh-CN"/>
              </w:rPr>
              <w:t>0</w:t>
            </w:r>
          </w:p>
        </w:tc>
        <w:tc>
          <w:tcPr>
            <w:tcW w:w="1961" w:type="dxa"/>
            <w:tcBorders>
              <w:top w:val="nil"/>
              <w:left w:val="nil"/>
              <w:bottom w:val="single" w:color="auto" w:sz="4" w:space="0"/>
              <w:right w:val="single" w:color="auto" w:sz="4" w:space="0"/>
            </w:tcBorders>
            <w:shd w:val="clear" w:color="auto" w:fill="FFFFFF"/>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-35.46</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财务管理</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48.06</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74.19</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-26.13</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汉语言文学</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43.51</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80.83</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-37.32</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sz w:val="24"/>
                <w:szCs w:val="24"/>
              </w:rPr>
              <w:t>新闻学</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48.44</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83.33</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lang w:val="en-US" w:eastAsia="zh-CN"/>
              </w:rPr>
            </w:pPr>
            <w:r>
              <w:rPr>
                <w:rFonts w:hint="eastAsia" w:ascii="宋体" w:hAnsi="宋体" w:cs="宋体"/>
                <w:sz w:val="24"/>
                <w:lang w:val="en-US" w:eastAsia="zh-CN"/>
              </w:rPr>
              <w:t>-34.89</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szCs w:val="24"/>
              </w:rPr>
            </w:pPr>
            <w:r>
              <w:rPr>
                <w:rFonts w:hint="eastAsia" w:ascii="宋体" w:hAnsi="宋体" w:eastAsia="宋体" w:cs="宋体"/>
                <w:sz w:val="24"/>
                <w:szCs w:val="24"/>
              </w:rPr>
              <w:t>动画</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91.94</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eastAsia="宋体" w:cs="宋体"/>
                <w:kern w:val="0"/>
                <w:sz w:val="24"/>
              </w:rPr>
              <w:t>9</w:t>
            </w:r>
            <w:r>
              <w:rPr>
                <w:rFonts w:hint="eastAsia" w:ascii="宋体" w:hAnsi="宋体" w:cs="宋体"/>
                <w:kern w:val="0"/>
                <w:sz w:val="24"/>
              </w:rPr>
              <w:t>6.23</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-4.29</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szCs w:val="24"/>
              </w:rPr>
            </w:pPr>
            <w:r>
              <w:rPr>
                <w:rFonts w:hint="eastAsia" w:ascii="宋体" w:hAnsi="宋体" w:eastAsia="宋体" w:cs="宋体"/>
                <w:sz w:val="24"/>
                <w:szCs w:val="24"/>
              </w:rPr>
              <w:t>人力资源管理</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61.98</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70.09</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-8.11</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szCs w:val="24"/>
              </w:rPr>
            </w:pPr>
            <w:r>
              <w:rPr>
                <w:rFonts w:hint="eastAsia" w:ascii="宋体" w:hAnsi="宋体" w:eastAsia="宋体" w:cs="宋体"/>
                <w:sz w:val="24"/>
                <w:szCs w:val="24"/>
              </w:rPr>
              <w:t>金融学</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65.87</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52.17</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13.70</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szCs w:val="24"/>
              </w:rPr>
            </w:pPr>
            <w:r>
              <w:rPr>
                <w:rFonts w:hint="eastAsia" w:ascii="宋体" w:hAnsi="宋体" w:eastAsia="宋体" w:cs="宋体"/>
                <w:sz w:val="24"/>
                <w:szCs w:val="24"/>
              </w:rPr>
              <w:t>环境科学</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37.74</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85.96</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-48.22</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szCs w:val="24"/>
              </w:rPr>
            </w:pPr>
            <w:r>
              <w:rPr>
                <w:rFonts w:hint="eastAsia" w:ascii="宋体" w:hAnsi="宋体" w:eastAsia="宋体" w:cs="宋体"/>
                <w:sz w:val="24"/>
                <w:szCs w:val="24"/>
              </w:rPr>
              <w:t>电子信息科学与技术</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66.67</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eastAsia="宋体" w:cs="宋体"/>
                <w:kern w:val="0"/>
                <w:sz w:val="24"/>
              </w:rPr>
              <w:t>8</w:t>
            </w:r>
            <w:r>
              <w:rPr>
                <w:rFonts w:hint="eastAsia" w:ascii="宋体" w:hAnsi="宋体" w:cs="宋体"/>
                <w:kern w:val="0"/>
                <w:sz w:val="24"/>
              </w:rPr>
              <w:t>9.06</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-22.39</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szCs w:val="24"/>
              </w:rPr>
            </w:pPr>
            <w:r>
              <w:rPr>
                <w:rFonts w:hint="eastAsia" w:ascii="宋体" w:hAnsi="宋体" w:eastAsia="宋体" w:cs="宋体"/>
                <w:sz w:val="24"/>
                <w:szCs w:val="24"/>
              </w:rPr>
              <w:t>播音与主持艺术</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65.22</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eastAsia="宋体" w:cs="宋体"/>
                <w:kern w:val="0"/>
                <w:sz w:val="24"/>
              </w:rPr>
              <w:t>8</w:t>
            </w:r>
            <w:r>
              <w:rPr>
                <w:rFonts w:hint="eastAsia" w:ascii="宋体" w:hAnsi="宋体" w:cs="宋体"/>
                <w:kern w:val="0"/>
                <w:sz w:val="24"/>
              </w:rPr>
              <w:t>4.21</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-18.99</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sz w:val="24"/>
                <w:szCs w:val="24"/>
              </w:rPr>
            </w:pPr>
            <w:r>
              <w:rPr>
                <w:rFonts w:hint="eastAsia" w:ascii="宋体" w:hAnsi="宋体" w:eastAsia="宋体" w:cs="宋体"/>
                <w:sz w:val="24"/>
                <w:szCs w:val="24"/>
              </w:rPr>
              <w:t>电子商务</w:t>
            </w:r>
          </w:p>
        </w:tc>
        <w:tc>
          <w:tcPr>
            <w:tcW w:w="191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41.53</w:t>
            </w:r>
          </w:p>
        </w:tc>
        <w:tc>
          <w:tcPr>
            <w:tcW w:w="1577" w:type="dxa"/>
            <w:tcBorders>
              <w:top w:val="nil"/>
              <w:left w:val="nil"/>
              <w:bottom w:val="single" w:color="auto" w:sz="4" w:space="0"/>
              <w:right w:val="single" w:color="auto" w:sz="4" w:space="0"/>
            </w:tcBorders>
            <w:vAlign w:val="center"/>
          </w:tcPr>
          <w:p>
            <w:pPr>
              <w:widowControl/>
              <w:jc w:val="center"/>
              <w:rPr>
                <w:rFonts w:hint="eastAsia" w:ascii="宋体" w:hAnsi="宋体" w:cs="宋体"/>
                <w:kern w:val="0"/>
                <w:sz w:val="24"/>
              </w:rPr>
            </w:pPr>
            <w:r>
              <w:rPr>
                <w:rFonts w:hint="eastAsia" w:ascii="宋体" w:hAnsi="宋体" w:cs="宋体"/>
                <w:kern w:val="0"/>
                <w:sz w:val="24"/>
              </w:rPr>
              <w:t>84.62</w:t>
            </w:r>
          </w:p>
        </w:tc>
        <w:tc>
          <w:tcPr>
            <w:tcW w:w="1961"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lang w:val="en-US" w:eastAsia="zh-CN"/>
              </w:rPr>
            </w:pPr>
            <w:r>
              <w:rPr>
                <w:rFonts w:hint="eastAsia" w:ascii="宋体" w:hAnsi="宋体" w:cs="宋体"/>
                <w:kern w:val="0"/>
                <w:sz w:val="24"/>
                <w:lang w:val="en-US" w:eastAsia="zh-CN"/>
              </w:rPr>
              <w:t>-43.09</w:t>
            </w:r>
          </w:p>
        </w:tc>
      </w:tr>
      <w:tr>
        <w:tblPrEx>
          <w:tblCellMar>
            <w:top w:w="0" w:type="dxa"/>
            <w:left w:w="108" w:type="dxa"/>
            <w:bottom w:w="0" w:type="dxa"/>
            <w:right w:w="108" w:type="dxa"/>
          </w:tblCellMar>
        </w:tblPrEx>
        <w:trPr>
          <w:trHeight w:val="510" w:hRule="atLeast"/>
          <w:jc w:val="center"/>
        </w:trPr>
        <w:tc>
          <w:tcPr>
            <w:tcW w:w="2391" w:type="dxa"/>
            <w:tcBorders>
              <w:top w:val="nil"/>
              <w:left w:val="nil"/>
              <w:bottom w:val="single" w:color="auto" w:sz="8" w:space="0"/>
              <w:right w:val="single" w:color="auto" w:sz="4" w:space="0"/>
            </w:tcBorders>
            <w:vAlign w:val="center"/>
          </w:tcPr>
          <w:p>
            <w:pPr>
              <w:widowControl/>
              <w:jc w:val="center"/>
              <w:rPr>
                <w:rFonts w:hint="eastAsia" w:ascii="宋体" w:hAnsi="宋体" w:eastAsia="宋体" w:cs="宋体"/>
                <w:bCs/>
                <w:kern w:val="0"/>
                <w:sz w:val="24"/>
              </w:rPr>
            </w:pPr>
            <w:r>
              <w:rPr>
                <w:rFonts w:hint="eastAsia" w:ascii="宋体" w:hAnsi="宋体" w:eastAsia="宋体" w:cs="宋体"/>
                <w:bCs/>
                <w:kern w:val="0"/>
                <w:sz w:val="24"/>
              </w:rPr>
              <w:t>总计　</w:t>
            </w:r>
          </w:p>
        </w:tc>
        <w:tc>
          <w:tcPr>
            <w:tcW w:w="1914" w:type="dxa"/>
            <w:tcBorders>
              <w:top w:val="nil"/>
              <w:left w:val="nil"/>
              <w:bottom w:val="single" w:color="auto" w:sz="8" w:space="0"/>
              <w:right w:val="single" w:color="auto" w:sz="4" w:space="0"/>
            </w:tcBorders>
            <w:vAlign w:val="center"/>
          </w:tcPr>
          <w:p>
            <w:pPr>
              <w:widowControl/>
              <w:jc w:val="center"/>
              <w:rPr>
                <w:rFonts w:hint="eastAsia" w:ascii="宋体" w:hAnsi="宋体" w:eastAsia="宋体" w:cs="宋体"/>
                <w:bCs/>
                <w:kern w:val="0"/>
                <w:sz w:val="24"/>
                <w:lang w:val="en-US" w:eastAsia="zh-CN"/>
              </w:rPr>
            </w:pPr>
            <w:r>
              <w:rPr>
                <w:rFonts w:hint="eastAsia" w:ascii="宋体" w:hAnsi="宋体" w:cs="宋体"/>
                <w:bCs/>
                <w:kern w:val="0"/>
                <w:sz w:val="24"/>
                <w:lang w:val="en-US" w:eastAsia="zh-CN"/>
              </w:rPr>
              <w:t>64.10</w:t>
            </w:r>
          </w:p>
        </w:tc>
        <w:tc>
          <w:tcPr>
            <w:tcW w:w="1577" w:type="dxa"/>
            <w:tcBorders>
              <w:top w:val="nil"/>
              <w:left w:val="nil"/>
              <w:bottom w:val="single" w:color="auto" w:sz="8" w:space="0"/>
              <w:right w:val="single" w:color="auto" w:sz="4" w:space="0"/>
            </w:tcBorders>
            <w:vAlign w:val="center"/>
          </w:tcPr>
          <w:p>
            <w:pPr>
              <w:widowControl/>
              <w:jc w:val="center"/>
              <w:rPr>
                <w:rFonts w:hint="eastAsia" w:ascii="宋体" w:hAnsi="宋体" w:cs="宋体"/>
                <w:bCs/>
                <w:kern w:val="0"/>
                <w:sz w:val="24"/>
              </w:rPr>
            </w:pPr>
            <w:r>
              <w:rPr>
                <w:rFonts w:hint="eastAsia" w:ascii="宋体" w:hAnsi="宋体" w:cs="宋体"/>
                <w:bCs/>
                <w:kern w:val="0"/>
                <w:sz w:val="24"/>
              </w:rPr>
              <w:t>84.15</w:t>
            </w:r>
          </w:p>
        </w:tc>
        <w:tc>
          <w:tcPr>
            <w:tcW w:w="1961" w:type="dxa"/>
            <w:tcBorders>
              <w:top w:val="nil"/>
              <w:left w:val="nil"/>
              <w:bottom w:val="single" w:color="auto" w:sz="8" w:space="0"/>
              <w:right w:val="single" w:color="auto" w:sz="4" w:space="0"/>
            </w:tcBorders>
            <w:vAlign w:val="center"/>
          </w:tcPr>
          <w:p>
            <w:pPr>
              <w:widowControl/>
              <w:jc w:val="center"/>
              <w:rPr>
                <w:rFonts w:hint="eastAsia" w:ascii="宋体" w:hAnsi="宋体" w:eastAsia="宋体" w:cs="宋体"/>
                <w:bCs/>
                <w:kern w:val="0"/>
                <w:sz w:val="24"/>
                <w:lang w:val="en-US" w:eastAsia="zh-CN"/>
              </w:rPr>
            </w:pPr>
            <w:r>
              <w:rPr>
                <w:rFonts w:hint="eastAsia" w:ascii="宋体" w:hAnsi="宋体" w:cs="宋体"/>
                <w:bCs/>
                <w:kern w:val="0"/>
                <w:sz w:val="24"/>
                <w:lang w:val="en-US" w:eastAsia="zh-CN"/>
              </w:rPr>
              <w:t>-20.05</w:t>
            </w:r>
          </w:p>
        </w:tc>
      </w:tr>
    </w:tbl>
    <w:p>
      <w:pPr>
        <w:spacing w:line="360" w:lineRule="auto"/>
        <w:rPr>
          <w:rFonts w:ascii="??_GB2312" w:hAnsi="宋体" w:eastAsia="Times New Roman"/>
          <w:szCs w:val="21"/>
        </w:rPr>
      </w:pPr>
    </w:p>
    <w:p>
      <w:pPr>
        <w:spacing w:line="360" w:lineRule="auto"/>
        <w:ind w:firstLine="480" w:firstLineChars="200"/>
        <w:rPr>
          <w:rFonts w:hint="eastAsia" w:ascii="宋体" w:hAnsi="宋体" w:cs="宋体"/>
          <w:bCs/>
          <w:sz w:val="24"/>
        </w:rPr>
      </w:pPr>
      <w:r>
        <w:rPr>
          <w:rFonts w:hint="eastAsia" w:ascii="宋体" w:hAnsi="宋体" w:eastAsia="宋体" w:cs="宋体"/>
          <w:bCs/>
          <w:sz w:val="24"/>
        </w:rPr>
        <w:t>从数据上看，</w:t>
      </w:r>
      <w:r>
        <w:rPr>
          <w:rFonts w:hint="eastAsia" w:ascii="宋体" w:hAnsi="宋体" w:cs="宋体"/>
          <w:bCs/>
          <w:sz w:val="24"/>
          <w:lang w:val="en-US" w:eastAsia="zh-CN"/>
        </w:rPr>
        <w:t>19</w:t>
      </w:r>
      <w:r>
        <w:rPr>
          <w:rFonts w:hint="eastAsia" w:ascii="宋体" w:hAnsi="宋体" w:eastAsia="宋体" w:cs="宋体"/>
          <w:bCs/>
          <w:sz w:val="24"/>
        </w:rPr>
        <w:t>个专业就业率较去年有所下降，</w:t>
      </w:r>
      <w:r>
        <w:rPr>
          <w:rFonts w:hint="eastAsia" w:ascii="宋体" w:hAnsi="宋体" w:cs="宋体"/>
          <w:bCs/>
          <w:sz w:val="24"/>
          <w:lang w:eastAsia="zh-CN"/>
        </w:rPr>
        <w:t>下降幅度最大的专业是环境科学；</w:t>
      </w:r>
      <w:r>
        <w:rPr>
          <w:rFonts w:hint="eastAsia" w:ascii="宋体" w:hAnsi="宋体" w:eastAsia="宋体" w:cs="宋体"/>
          <w:bCs/>
          <w:sz w:val="24"/>
        </w:rPr>
        <w:t>其余</w:t>
      </w:r>
      <w:r>
        <w:rPr>
          <w:rFonts w:hint="eastAsia" w:ascii="宋体" w:hAnsi="宋体" w:cs="宋体"/>
          <w:bCs/>
          <w:sz w:val="24"/>
          <w:lang w:val="en-US" w:eastAsia="zh-CN"/>
        </w:rPr>
        <w:t>3</w:t>
      </w:r>
      <w:r>
        <w:rPr>
          <w:rFonts w:hint="eastAsia" w:ascii="宋体" w:hAnsi="宋体" w:eastAsia="宋体" w:cs="宋体"/>
          <w:bCs/>
          <w:sz w:val="24"/>
        </w:rPr>
        <w:t>个专业就业率较去年有所上升，上升幅度最大的</w:t>
      </w:r>
      <w:r>
        <w:rPr>
          <w:rFonts w:hint="eastAsia" w:ascii="宋体" w:hAnsi="宋体" w:cs="宋体"/>
          <w:bCs/>
          <w:sz w:val="24"/>
          <w:lang w:eastAsia="zh-CN"/>
        </w:rPr>
        <w:t>专业</w:t>
      </w:r>
      <w:r>
        <w:rPr>
          <w:rFonts w:hint="eastAsia" w:ascii="宋体" w:hAnsi="宋体" w:eastAsia="宋体" w:cs="宋体"/>
          <w:bCs/>
          <w:sz w:val="24"/>
        </w:rPr>
        <w:t>是</w:t>
      </w:r>
      <w:r>
        <w:rPr>
          <w:rFonts w:hint="eastAsia" w:ascii="宋体" w:hAnsi="宋体" w:cs="宋体"/>
          <w:bCs/>
          <w:sz w:val="24"/>
          <w:lang w:eastAsia="zh-CN"/>
        </w:rPr>
        <w:t>金融学</w:t>
      </w:r>
      <w:r>
        <w:rPr>
          <w:rFonts w:hint="eastAsia" w:ascii="宋体" w:hAnsi="宋体" w:cs="宋体"/>
          <w:bCs/>
          <w:sz w:val="24"/>
        </w:rPr>
        <w:t>。</w:t>
      </w:r>
    </w:p>
    <w:p>
      <w:pPr>
        <w:pStyle w:val="3"/>
        <w:numPr>
          <w:ilvl w:val="0"/>
          <w:numId w:val="5"/>
        </w:numPr>
        <w:tabs>
          <w:tab w:val="left" w:pos="720"/>
        </w:tabs>
        <w:spacing w:line="360" w:lineRule="auto"/>
      </w:pPr>
      <w:bookmarkStart w:id="58" w:name="_Toc504614050"/>
      <w:bookmarkStart w:id="59" w:name="_Toc436748519"/>
      <w:r>
        <w:rPr>
          <w:rFonts w:hint="eastAsia"/>
        </w:rPr>
        <w:t>毕业生就业结构分析</w:t>
      </w:r>
      <w:bookmarkEnd w:id="58"/>
      <w:bookmarkEnd w:id="59"/>
    </w:p>
    <w:p>
      <w:pPr>
        <w:numPr>
          <w:ilvl w:val="1"/>
          <w:numId w:val="5"/>
        </w:numPr>
        <w:tabs>
          <w:tab w:val="left" w:pos="360"/>
          <w:tab w:val="clear" w:pos="840"/>
        </w:tabs>
        <w:ind w:left="540" w:hanging="360"/>
        <w:rPr>
          <w:rFonts w:ascii="宋体"/>
          <w:b/>
          <w:sz w:val="28"/>
          <w:szCs w:val="28"/>
        </w:rPr>
      </w:pPr>
      <w:r>
        <w:rPr>
          <w:rFonts w:hint="eastAsia" w:ascii="宋体" w:hAnsi="宋体"/>
          <w:b/>
          <w:sz w:val="28"/>
          <w:szCs w:val="28"/>
          <w:lang w:val="en-US" w:eastAsia="zh-CN"/>
        </w:rPr>
        <w:t>2020</w:t>
      </w:r>
      <w:r>
        <w:rPr>
          <w:rFonts w:hint="eastAsia" w:ascii="宋体" w:hAnsi="宋体"/>
          <w:b/>
          <w:sz w:val="28"/>
          <w:szCs w:val="28"/>
        </w:rPr>
        <w:t>届毕业生就业去向</w:t>
      </w:r>
    </w:p>
    <w:p>
      <w:pPr>
        <w:spacing w:line="360" w:lineRule="auto"/>
        <w:ind w:firstLine="480" w:firstLineChars="200"/>
        <w:rPr>
          <w:rFonts w:ascii="??_GB2312" w:hAnsi="宋体" w:eastAsia="Times New Roman"/>
          <w:sz w:val="24"/>
        </w:rPr>
      </w:pPr>
      <w:r>
        <w:rPr>
          <w:rFonts w:hint="eastAsia" w:ascii="宋体" w:hAnsi="宋体" w:eastAsia="宋体" w:cs="宋体"/>
          <w:sz w:val="24"/>
        </w:rPr>
        <w:t>截止</w:t>
      </w:r>
      <w:r>
        <w:rPr>
          <w:rFonts w:hint="eastAsia" w:ascii="宋体" w:hAnsi="宋体" w:cs="宋体"/>
          <w:sz w:val="24"/>
          <w:lang w:val="en-US" w:eastAsia="zh-CN"/>
        </w:rPr>
        <w:t>2020</w:t>
      </w:r>
      <w:r>
        <w:rPr>
          <w:rFonts w:hint="eastAsia" w:ascii="宋体" w:hAnsi="宋体" w:eastAsia="宋体" w:cs="宋体"/>
          <w:sz w:val="24"/>
        </w:rPr>
        <w:t>年9月1日，我院</w:t>
      </w:r>
      <w:r>
        <w:rPr>
          <w:rFonts w:hint="eastAsia" w:ascii="宋体" w:hAnsi="宋体" w:cs="宋体"/>
          <w:sz w:val="24"/>
          <w:lang w:val="en-US" w:eastAsia="zh-CN"/>
        </w:rPr>
        <w:t>2020</w:t>
      </w:r>
      <w:r>
        <w:rPr>
          <w:rFonts w:hint="eastAsia" w:ascii="宋体" w:hAnsi="宋体" w:eastAsia="宋体" w:cs="宋体"/>
          <w:sz w:val="24"/>
        </w:rPr>
        <w:t>届毕业生已落实就业去向的毕业生人数</w:t>
      </w:r>
      <w:r>
        <w:rPr>
          <w:rFonts w:hint="eastAsia" w:ascii="宋体" w:hAnsi="宋体" w:cs="宋体"/>
          <w:sz w:val="24"/>
          <w:lang w:val="en-US" w:eastAsia="zh-CN"/>
        </w:rPr>
        <w:t>1241</w:t>
      </w:r>
      <w:r>
        <w:rPr>
          <w:rFonts w:hint="eastAsia" w:ascii="宋体" w:hAnsi="宋体" w:eastAsia="宋体" w:cs="宋体"/>
          <w:sz w:val="24"/>
        </w:rPr>
        <w:t>人。</w:t>
      </w:r>
    </w:p>
    <w:p>
      <w:pPr>
        <w:jc w:val="center"/>
        <w:rPr>
          <w:rFonts w:ascii="??_GB2312" w:eastAsia="Times New Roman"/>
          <w:b/>
          <w:sz w:val="24"/>
        </w:rPr>
      </w:pPr>
      <w:r>
        <w:rPr>
          <w:rFonts w:ascii="??_GB2312" w:eastAsia="Times New Roman"/>
          <w:b/>
          <w:sz w:val="24"/>
        </w:rPr>
        <w:t xml:space="preserve">表2.4: </w:t>
      </w:r>
      <w:r>
        <w:rPr>
          <w:rFonts w:hint="eastAsia" w:ascii="??_GB2312"/>
          <w:b/>
          <w:sz w:val="24"/>
          <w:lang w:val="en-US" w:eastAsia="zh-CN"/>
        </w:rPr>
        <w:t>2020</w:t>
      </w:r>
      <w:r>
        <w:rPr>
          <w:rFonts w:ascii="??_GB2312" w:eastAsia="Times New Roman"/>
          <w:b/>
          <w:sz w:val="24"/>
        </w:rPr>
        <w:t>届毕业生毕业去向分布</w:t>
      </w:r>
    </w:p>
    <w:tbl>
      <w:tblPr>
        <w:tblStyle w:val="20"/>
        <w:tblW w:w="7084" w:type="dxa"/>
        <w:tblInd w:w="8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0"/>
        <w:gridCol w:w="2277"/>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30" w:type="dxa"/>
            <w:shd w:val="clear" w:color="auto" w:fill="9999FF"/>
            <w:vAlign w:val="center"/>
          </w:tcPr>
          <w:p>
            <w:pPr>
              <w:jc w:val="center"/>
              <w:rPr>
                <w:rFonts w:ascii="??_GB2312" w:eastAsia="Times New Roman"/>
                <w:b/>
                <w:sz w:val="24"/>
              </w:rPr>
            </w:pPr>
            <w:r>
              <w:rPr>
                <w:rFonts w:ascii="??_GB2312" w:eastAsia="Times New Roman"/>
                <w:b/>
                <w:sz w:val="24"/>
              </w:rPr>
              <w:t>毕业去向</w:t>
            </w:r>
          </w:p>
        </w:tc>
        <w:tc>
          <w:tcPr>
            <w:tcW w:w="2277" w:type="dxa"/>
            <w:shd w:val="clear" w:color="auto" w:fill="9999FF"/>
            <w:vAlign w:val="center"/>
          </w:tcPr>
          <w:p>
            <w:pPr>
              <w:jc w:val="center"/>
              <w:rPr>
                <w:rFonts w:ascii="??_GB2312" w:eastAsia="Times New Roman"/>
                <w:b/>
                <w:sz w:val="24"/>
              </w:rPr>
            </w:pPr>
            <w:r>
              <w:rPr>
                <w:rFonts w:ascii="??_GB2312" w:eastAsia="Times New Roman"/>
                <w:b/>
                <w:sz w:val="24"/>
              </w:rPr>
              <w:t>就业数</w:t>
            </w:r>
          </w:p>
        </w:tc>
        <w:tc>
          <w:tcPr>
            <w:tcW w:w="2277" w:type="dxa"/>
            <w:shd w:val="clear" w:color="auto" w:fill="9999FF"/>
            <w:vAlign w:val="center"/>
          </w:tcPr>
          <w:p>
            <w:pPr>
              <w:jc w:val="center"/>
              <w:rPr>
                <w:rFonts w:ascii="??_GB2312" w:eastAsia="Times New Roman"/>
                <w:b/>
                <w:sz w:val="24"/>
              </w:rPr>
            </w:pPr>
            <w:r>
              <w:rPr>
                <w:rFonts w:ascii="??_GB2312" w:eastAsia="Times New Roman"/>
                <w:b/>
                <w:sz w:val="24"/>
              </w:rPr>
              <w:t>占总就业人数（％）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30" w:type="dxa"/>
            <w:vAlign w:val="center"/>
          </w:tcPr>
          <w:p>
            <w:pPr>
              <w:widowControl/>
              <w:jc w:val="center"/>
              <w:rPr>
                <w:rFonts w:hint="eastAsia" w:ascii="宋体" w:hAnsi="宋体" w:eastAsia="宋体" w:cs="宋体"/>
                <w:sz w:val="24"/>
                <w:szCs w:val="22"/>
              </w:rPr>
            </w:pPr>
            <w:r>
              <w:rPr>
                <w:rFonts w:hint="eastAsia" w:ascii="宋体" w:hAnsi="宋体" w:eastAsia="宋体" w:cs="宋体"/>
                <w:b w:val="0"/>
                <w:bCs w:val="0"/>
                <w:kern w:val="2"/>
                <w:sz w:val="24"/>
                <w:szCs w:val="22"/>
              </w:rPr>
              <w:t>签就业协议形式就业</w:t>
            </w:r>
          </w:p>
        </w:tc>
        <w:tc>
          <w:tcPr>
            <w:tcW w:w="2277" w:type="dxa"/>
            <w:vAlign w:val="center"/>
          </w:tcPr>
          <w:p>
            <w:pPr>
              <w:widowControl/>
              <w:jc w:val="center"/>
              <w:rPr>
                <w:rFonts w:hint="eastAsia" w:ascii="宋体" w:hAnsi="宋体" w:cs="宋体"/>
                <w:sz w:val="24"/>
                <w:szCs w:val="22"/>
              </w:rPr>
            </w:pPr>
            <w:r>
              <w:rPr>
                <w:rFonts w:hint="eastAsia" w:ascii="宋体" w:hAnsi="宋体" w:cs="宋体"/>
                <w:kern w:val="2"/>
                <w:sz w:val="24"/>
                <w:szCs w:val="22"/>
                <w:lang w:eastAsia="zh-CN"/>
              </w:rPr>
              <w:t>9</w:t>
            </w:r>
            <w:r>
              <w:rPr>
                <w:rFonts w:hint="eastAsia" w:ascii="宋体" w:hAnsi="宋体" w:cs="宋体"/>
                <w:kern w:val="2"/>
                <w:sz w:val="24"/>
                <w:szCs w:val="22"/>
                <w:lang w:val="en-US" w:eastAsia="zh-CN"/>
              </w:rPr>
              <w:t>49</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49.0</w:t>
            </w:r>
            <w:r>
              <w:rPr>
                <w:rFonts w:hint="eastAsia" w:ascii="宋体" w:hAnsi="宋体" w:cs="宋体"/>
                <w:kern w:val="2"/>
                <w:sz w:val="24"/>
                <w:szCs w:val="22"/>
                <w:lang w:eastAsia="zh-CN"/>
              </w:rPr>
              <w:t>2</w:t>
            </w:r>
            <w:r>
              <w:rPr>
                <w:rFonts w:hint="eastAsia" w:ascii="宋体" w:hAnsi="宋体" w:eastAsia="宋体" w:cs="宋体"/>
                <w:kern w:val="2"/>
                <w:sz w:val="24"/>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30" w:type="dxa"/>
            <w:vAlign w:val="center"/>
          </w:tcPr>
          <w:p>
            <w:pPr>
              <w:widowControl/>
              <w:jc w:val="center"/>
              <w:rPr>
                <w:rFonts w:hint="eastAsia" w:ascii="宋体" w:hAnsi="宋体" w:eastAsia="宋体" w:cs="宋体"/>
                <w:sz w:val="24"/>
                <w:szCs w:val="22"/>
              </w:rPr>
            </w:pPr>
            <w:r>
              <w:rPr>
                <w:rFonts w:hint="eastAsia" w:ascii="宋体" w:hAnsi="宋体" w:eastAsia="宋体" w:cs="宋体"/>
                <w:b w:val="0"/>
                <w:bCs w:val="0"/>
                <w:kern w:val="2"/>
                <w:sz w:val="24"/>
                <w:szCs w:val="22"/>
              </w:rPr>
              <w:t>其他录用形式就业</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90</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0" w:type="dxa"/>
            <w:vAlign w:val="center"/>
          </w:tcPr>
          <w:p>
            <w:pPr>
              <w:widowControl/>
              <w:jc w:val="center"/>
              <w:rPr>
                <w:rFonts w:hint="eastAsia" w:ascii="宋体" w:hAnsi="宋体" w:eastAsia="宋体" w:cs="宋体"/>
                <w:sz w:val="24"/>
                <w:szCs w:val="22"/>
              </w:rPr>
            </w:pPr>
            <w:r>
              <w:rPr>
                <w:rFonts w:hint="eastAsia" w:ascii="宋体" w:hAnsi="宋体" w:eastAsia="宋体" w:cs="宋体"/>
                <w:b w:val="0"/>
                <w:bCs w:val="0"/>
                <w:kern w:val="2"/>
                <w:sz w:val="24"/>
                <w:szCs w:val="22"/>
              </w:rPr>
              <w:t>签劳动合同形式就业</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61</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30" w:type="dxa"/>
            <w:vAlign w:val="center"/>
          </w:tcPr>
          <w:p>
            <w:pPr>
              <w:widowControl/>
              <w:jc w:val="center"/>
              <w:rPr>
                <w:rFonts w:hint="eastAsia" w:ascii="宋体" w:hAnsi="宋体" w:eastAsia="宋体" w:cs="宋体"/>
                <w:sz w:val="24"/>
                <w:szCs w:val="22"/>
              </w:rPr>
            </w:pPr>
            <w:r>
              <w:rPr>
                <w:rFonts w:hint="eastAsia" w:ascii="宋体" w:hAnsi="宋体" w:eastAsia="宋体" w:cs="宋体"/>
                <w:b w:val="0"/>
                <w:bCs w:val="0"/>
                <w:kern w:val="2"/>
                <w:sz w:val="24"/>
                <w:szCs w:val="22"/>
              </w:rPr>
              <w:t>自由职业</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41</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30" w:type="dxa"/>
            <w:vAlign w:val="center"/>
          </w:tcPr>
          <w:p>
            <w:pPr>
              <w:widowControl/>
              <w:jc w:val="center"/>
              <w:rPr>
                <w:rFonts w:hint="eastAsia" w:ascii="宋体" w:hAnsi="宋体" w:eastAsia="宋体" w:cs="宋体"/>
                <w:sz w:val="24"/>
                <w:szCs w:val="22"/>
              </w:rPr>
            </w:pPr>
            <w:r>
              <w:rPr>
                <w:rFonts w:hint="eastAsia" w:ascii="宋体" w:hAnsi="宋体" w:eastAsia="宋体" w:cs="宋体"/>
                <w:b w:val="0"/>
                <w:bCs w:val="0"/>
                <w:kern w:val="2"/>
                <w:sz w:val="24"/>
                <w:szCs w:val="22"/>
              </w:rPr>
              <w:t>国家基层项目</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33</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30" w:type="dxa"/>
            <w:vAlign w:val="center"/>
          </w:tcPr>
          <w:p>
            <w:pPr>
              <w:widowControl/>
              <w:jc w:val="center"/>
              <w:rPr>
                <w:rFonts w:hint="eastAsia" w:ascii="宋体" w:hAnsi="宋体" w:eastAsia="宋体" w:cs="宋体"/>
                <w:sz w:val="24"/>
                <w:szCs w:val="22"/>
              </w:rPr>
            </w:pPr>
            <w:r>
              <w:rPr>
                <w:rFonts w:hint="eastAsia" w:ascii="宋体" w:hAnsi="宋体" w:eastAsia="宋体" w:cs="宋体"/>
                <w:b w:val="0"/>
                <w:bCs w:val="0"/>
                <w:kern w:val="2"/>
                <w:sz w:val="24"/>
                <w:szCs w:val="22"/>
              </w:rPr>
              <w:t>地方基层项目</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32</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30" w:type="dxa"/>
            <w:vAlign w:val="center"/>
          </w:tcPr>
          <w:p>
            <w:pPr>
              <w:widowControl/>
              <w:jc w:val="center"/>
              <w:rPr>
                <w:rFonts w:hint="eastAsia" w:ascii="宋体" w:hAnsi="宋体" w:eastAsia="宋体" w:cs="宋体"/>
                <w:sz w:val="24"/>
                <w:szCs w:val="22"/>
              </w:rPr>
            </w:pPr>
            <w:r>
              <w:rPr>
                <w:rFonts w:hint="eastAsia" w:ascii="宋体" w:hAnsi="宋体" w:eastAsia="宋体" w:cs="宋体"/>
                <w:b w:val="0"/>
                <w:bCs w:val="0"/>
                <w:kern w:val="2"/>
                <w:sz w:val="24"/>
                <w:szCs w:val="22"/>
              </w:rPr>
              <w:t>升学</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20</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30" w:type="dxa"/>
            <w:vAlign w:val="center"/>
          </w:tcPr>
          <w:p>
            <w:pPr>
              <w:widowControl/>
              <w:jc w:val="center"/>
              <w:rPr>
                <w:rFonts w:hint="eastAsia" w:ascii="宋体" w:hAnsi="宋体" w:eastAsia="宋体" w:cs="宋体"/>
                <w:sz w:val="24"/>
                <w:szCs w:val="22"/>
              </w:rPr>
            </w:pPr>
            <w:r>
              <w:rPr>
                <w:rFonts w:hint="eastAsia" w:ascii="宋体" w:hAnsi="宋体" w:eastAsia="宋体" w:cs="宋体"/>
                <w:b w:val="0"/>
                <w:bCs w:val="0"/>
                <w:kern w:val="2"/>
                <w:sz w:val="24"/>
                <w:szCs w:val="22"/>
              </w:rPr>
              <w:t>应征义务兵</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6</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530" w:type="dxa"/>
            <w:vAlign w:val="center"/>
          </w:tcPr>
          <w:p>
            <w:pPr>
              <w:widowControl/>
              <w:jc w:val="center"/>
              <w:rPr>
                <w:rFonts w:hint="eastAsia" w:ascii="宋体" w:hAnsi="宋体" w:eastAsia="宋体" w:cs="宋体"/>
                <w:sz w:val="24"/>
                <w:szCs w:val="22"/>
              </w:rPr>
            </w:pPr>
            <w:r>
              <w:rPr>
                <w:rFonts w:hint="eastAsia" w:ascii="宋体" w:hAnsi="宋体" w:eastAsia="宋体" w:cs="宋体"/>
                <w:b w:val="0"/>
                <w:bCs w:val="0"/>
                <w:kern w:val="2"/>
                <w:sz w:val="24"/>
                <w:szCs w:val="22"/>
              </w:rPr>
              <w:t>自主创业</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3</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530" w:type="dxa"/>
            <w:vAlign w:val="center"/>
          </w:tcPr>
          <w:p>
            <w:pPr>
              <w:widowControl/>
              <w:jc w:val="center"/>
              <w:rPr>
                <w:rFonts w:hint="eastAsia" w:ascii="宋体" w:hAnsi="宋体" w:cs="宋体"/>
                <w:sz w:val="24"/>
                <w:szCs w:val="22"/>
              </w:rPr>
            </w:pPr>
            <w:r>
              <w:rPr>
                <w:rFonts w:hint="eastAsia" w:ascii="宋体" w:hAnsi="宋体" w:eastAsia="宋体" w:cs="宋体"/>
                <w:b w:val="0"/>
                <w:bCs w:val="0"/>
                <w:kern w:val="2"/>
                <w:sz w:val="24"/>
                <w:szCs w:val="22"/>
              </w:rPr>
              <w:t>出国、出境</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2</w:t>
            </w:r>
          </w:p>
        </w:tc>
        <w:tc>
          <w:tcPr>
            <w:tcW w:w="2277" w:type="dxa"/>
            <w:vAlign w:val="center"/>
          </w:tcPr>
          <w:p>
            <w:pPr>
              <w:widowControl/>
              <w:jc w:val="center"/>
              <w:rPr>
                <w:rFonts w:hint="eastAsia" w:ascii="宋体" w:hAnsi="宋体" w:cs="宋体"/>
                <w:sz w:val="24"/>
                <w:szCs w:val="22"/>
              </w:rPr>
            </w:pPr>
            <w:r>
              <w:rPr>
                <w:rFonts w:hint="eastAsia" w:ascii="宋体" w:hAnsi="宋体" w:eastAsia="宋体" w:cs="宋体"/>
                <w:kern w:val="2"/>
                <w:sz w:val="24"/>
                <w:szCs w:val="22"/>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530"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待就业</w:t>
            </w:r>
          </w:p>
        </w:tc>
        <w:tc>
          <w:tcPr>
            <w:tcW w:w="2277"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699</w:t>
            </w:r>
          </w:p>
        </w:tc>
        <w:tc>
          <w:tcPr>
            <w:tcW w:w="2277"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36.11%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530" w:type="dxa"/>
            <w:vAlign w:val="center"/>
          </w:tcPr>
          <w:p>
            <w:pPr>
              <w:jc w:val="center"/>
              <w:rPr>
                <w:rFonts w:hint="eastAsia" w:ascii="宋体" w:hAnsi="宋体" w:eastAsia="宋体" w:cs="宋体"/>
                <w:sz w:val="24"/>
              </w:rPr>
            </w:pPr>
            <w:r>
              <w:rPr>
                <w:rFonts w:hint="eastAsia" w:ascii="宋体" w:hAnsi="宋体" w:eastAsia="宋体" w:cs="宋体"/>
                <w:sz w:val="24"/>
              </w:rPr>
              <w:t>合计</w:t>
            </w:r>
          </w:p>
        </w:tc>
        <w:tc>
          <w:tcPr>
            <w:tcW w:w="2277"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1936</w:t>
            </w:r>
          </w:p>
        </w:tc>
        <w:tc>
          <w:tcPr>
            <w:tcW w:w="2277" w:type="dxa"/>
            <w:vAlign w:val="center"/>
          </w:tcPr>
          <w:p>
            <w:pPr>
              <w:jc w:val="center"/>
              <w:rPr>
                <w:rFonts w:hint="eastAsia" w:ascii="宋体" w:hAnsi="宋体" w:eastAsia="宋体" w:cs="宋体"/>
                <w:sz w:val="24"/>
              </w:rPr>
            </w:pPr>
            <w:r>
              <w:rPr>
                <w:rFonts w:hint="eastAsia" w:ascii="宋体" w:hAnsi="宋体" w:eastAsia="宋体" w:cs="宋体"/>
                <w:sz w:val="24"/>
              </w:rPr>
              <w:t>100.00</w:t>
            </w:r>
          </w:p>
        </w:tc>
      </w:tr>
    </w:tbl>
    <w:p>
      <w:pPr>
        <w:ind w:left="180"/>
        <w:rPr>
          <w:rFonts w:hint="eastAsia" w:ascii="宋体" w:hAnsi="宋体" w:cs="宋体"/>
          <w:b/>
          <w:sz w:val="28"/>
          <w:szCs w:val="28"/>
        </w:rPr>
      </w:pPr>
    </w:p>
    <w:p>
      <w:pPr>
        <w:numPr>
          <w:ilvl w:val="1"/>
          <w:numId w:val="5"/>
        </w:numPr>
        <w:tabs>
          <w:tab w:val="left" w:pos="360"/>
          <w:tab w:val="clear" w:pos="840"/>
        </w:tabs>
        <w:ind w:left="540" w:hanging="360"/>
        <w:rPr>
          <w:rFonts w:ascii="宋体"/>
          <w:b/>
          <w:sz w:val="28"/>
          <w:szCs w:val="28"/>
        </w:rPr>
      </w:pPr>
      <w:r>
        <w:rPr>
          <w:rFonts w:hint="eastAsia" w:ascii="宋体" w:hAnsi="宋体"/>
          <w:b/>
          <w:sz w:val="28"/>
          <w:szCs w:val="28"/>
        </w:rPr>
        <w:t>毕业生工作单位行业分析</w:t>
      </w:r>
    </w:p>
    <w:p>
      <w:pPr>
        <w:spacing w:line="360" w:lineRule="auto"/>
        <w:ind w:firstLine="420" w:firstLineChars="200"/>
        <w:rPr>
          <w:rFonts w:hint="eastAsia" w:ascii="宋体" w:hAnsi="宋体" w:eastAsia="宋体" w:cs="宋体"/>
          <w:b/>
          <w:bCs/>
          <w:sz w:val="24"/>
        </w:rPr>
      </w:pPr>
      <w:r>
        <w:rPr>
          <w:rFonts w:ascii="宋体" w:hAnsi="宋体"/>
        </w:rPr>
        <w:t xml:space="preserve">   </w:t>
      </w:r>
      <w:r>
        <w:rPr>
          <w:rFonts w:ascii="宋体" w:hAnsi="宋体"/>
          <w:szCs w:val="21"/>
        </w:rPr>
        <w:t xml:space="preserve"> </w:t>
      </w:r>
      <w:r>
        <w:rPr>
          <w:rFonts w:hint="eastAsia" w:ascii="宋体" w:hAnsi="宋体" w:eastAsia="宋体" w:cs="宋体"/>
          <w:bCs/>
          <w:sz w:val="24"/>
        </w:rPr>
        <w:t>从单位行业来看，学院</w:t>
      </w:r>
      <w:r>
        <w:rPr>
          <w:rFonts w:hint="eastAsia" w:ascii="宋体" w:hAnsi="宋体" w:cs="宋体"/>
          <w:bCs/>
          <w:sz w:val="24"/>
          <w:lang w:val="en-US" w:eastAsia="zh-CN"/>
        </w:rPr>
        <w:t>2020</w:t>
      </w:r>
      <w:r>
        <w:rPr>
          <w:rFonts w:hint="eastAsia" w:ascii="宋体" w:hAnsi="宋体" w:eastAsia="宋体" w:cs="宋体"/>
          <w:bCs/>
          <w:sz w:val="24"/>
        </w:rPr>
        <w:t>届毕业生就业行业前五位的是（1</w:t>
      </w:r>
      <w:r>
        <w:rPr>
          <w:rFonts w:hint="eastAsia" w:ascii="宋体" w:hAnsi="宋体" w:cs="宋体"/>
          <w:bCs/>
          <w:sz w:val="24"/>
        </w:rPr>
        <w:t>60</w:t>
      </w:r>
      <w:r>
        <w:rPr>
          <w:rFonts w:hint="eastAsia" w:ascii="宋体" w:hAnsi="宋体" w:eastAsia="宋体" w:cs="宋体"/>
          <w:bCs/>
          <w:sz w:val="24"/>
        </w:rPr>
        <w:t>人，</w:t>
      </w:r>
      <w:r>
        <w:rPr>
          <w:rFonts w:hint="eastAsia" w:ascii="宋体" w:hAnsi="宋体" w:cs="宋体"/>
          <w:bCs/>
          <w:sz w:val="24"/>
        </w:rPr>
        <w:t>10.66</w:t>
      </w:r>
      <w:r>
        <w:rPr>
          <w:rFonts w:hint="eastAsia" w:ascii="宋体" w:hAnsi="宋体" w:eastAsia="宋体" w:cs="宋体"/>
          <w:bCs/>
          <w:sz w:val="24"/>
        </w:rPr>
        <w:t>%）、信息传输和信息技术服务业（1</w:t>
      </w:r>
      <w:r>
        <w:rPr>
          <w:rFonts w:hint="eastAsia" w:ascii="宋体" w:hAnsi="宋体" w:cs="宋体"/>
          <w:bCs/>
          <w:sz w:val="24"/>
        </w:rPr>
        <w:t>58</w:t>
      </w:r>
      <w:r>
        <w:rPr>
          <w:rFonts w:hint="eastAsia" w:ascii="宋体" w:hAnsi="宋体" w:eastAsia="宋体" w:cs="宋体"/>
          <w:bCs/>
          <w:sz w:val="24"/>
        </w:rPr>
        <w:t>人，</w:t>
      </w:r>
      <w:r>
        <w:rPr>
          <w:rFonts w:hint="eastAsia" w:ascii="宋体" w:hAnsi="宋体" w:cs="宋体"/>
          <w:bCs/>
          <w:sz w:val="24"/>
        </w:rPr>
        <w:t>10.53</w:t>
      </w:r>
      <w:r>
        <w:rPr>
          <w:rFonts w:hint="eastAsia" w:ascii="宋体" w:hAnsi="宋体" w:eastAsia="宋体" w:cs="宋体"/>
          <w:bCs/>
          <w:sz w:val="24"/>
        </w:rPr>
        <w:t>%）、教育行业（13</w:t>
      </w:r>
      <w:r>
        <w:rPr>
          <w:rFonts w:hint="eastAsia" w:ascii="宋体" w:hAnsi="宋体" w:cs="宋体"/>
          <w:bCs/>
          <w:sz w:val="24"/>
        </w:rPr>
        <w:t>8</w:t>
      </w:r>
      <w:r>
        <w:rPr>
          <w:rFonts w:hint="eastAsia" w:ascii="宋体" w:hAnsi="宋体" w:eastAsia="宋体" w:cs="宋体"/>
          <w:bCs/>
          <w:sz w:val="24"/>
        </w:rPr>
        <w:t>人，</w:t>
      </w:r>
      <w:r>
        <w:rPr>
          <w:rFonts w:hint="eastAsia" w:ascii="宋体" w:hAnsi="宋体" w:cs="宋体"/>
          <w:bCs/>
          <w:sz w:val="24"/>
        </w:rPr>
        <w:t>9.19</w:t>
      </w:r>
      <w:r>
        <w:rPr>
          <w:rFonts w:hint="eastAsia" w:ascii="宋体" w:hAnsi="宋体" w:eastAsia="宋体" w:cs="宋体"/>
          <w:bCs/>
          <w:sz w:val="24"/>
        </w:rPr>
        <w:t>%）、批发、零售业（1</w:t>
      </w:r>
      <w:r>
        <w:rPr>
          <w:rFonts w:hint="eastAsia" w:ascii="宋体" w:hAnsi="宋体" w:cs="宋体"/>
          <w:bCs/>
          <w:sz w:val="24"/>
        </w:rPr>
        <w:t>35</w:t>
      </w:r>
      <w:r>
        <w:rPr>
          <w:rFonts w:hint="eastAsia" w:ascii="宋体" w:hAnsi="宋体" w:eastAsia="宋体" w:cs="宋体"/>
          <w:bCs/>
          <w:sz w:val="24"/>
        </w:rPr>
        <w:t>人，</w:t>
      </w:r>
      <w:r>
        <w:rPr>
          <w:rFonts w:hint="eastAsia" w:ascii="宋体" w:hAnsi="宋体" w:cs="宋体"/>
          <w:bCs/>
          <w:sz w:val="24"/>
        </w:rPr>
        <w:t>8.99</w:t>
      </w:r>
      <w:r>
        <w:rPr>
          <w:rFonts w:hint="eastAsia" w:ascii="宋体" w:hAnsi="宋体" w:eastAsia="宋体" w:cs="宋体"/>
          <w:bCs/>
          <w:sz w:val="24"/>
        </w:rPr>
        <w:t>%）、</w:t>
      </w:r>
      <w:r>
        <w:rPr>
          <w:rFonts w:hint="eastAsia" w:ascii="宋体" w:hAnsi="宋体" w:cs="宋体"/>
          <w:sz w:val="24"/>
        </w:rPr>
        <w:t>居民服务、修理和其他服务业</w:t>
      </w:r>
      <w:r>
        <w:rPr>
          <w:rFonts w:hint="eastAsia" w:ascii="宋体" w:hAnsi="宋体" w:eastAsia="宋体" w:cs="宋体"/>
          <w:bCs/>
          <w:sz w:val="24"/>
        </w:rPr>
        <w:t>（1</w:t>
      </w:r>
      <w:r>
        <w:rPr>
          <w:rFonts w:hint="eastAsia" w:ascii="宋体" w:hAnsi="宋体" w:cs="宋体"/>
          <w:bCs/>
          <w:sz w:val="24"/>
        </w:rPr>
        <w:t>33</w:t>
      </w:r>
      <w:r>
        <w:rPr>
          <w:rFonts w:hint="eastAsia" w:ascii="宋体" w:hAnsi="宋体" w:eastAsia="宋体" w:cs="宋体"/>
          <w:bCs/>
          <w:sz w:val="24"/>
        </w:rPr>
        <w:t>人，</w:t>
      </w:r>
      <w:r>
        <w:rPr>
          <w:rFonts w:hint="eastAsia" w:ascii="宋体" w:hAnsi="宋体" w:cs="宋体"/>
          <w:bCs/>
          <w:sz w:val="24"/>
        </w:rPr>
        <w:t>8.86</w:t>
      </w:r>
      <w:r>
        <w:rPr>
          <w:rFonts w:hint="eastAsia" w:ascii="宋体" w:hAnsi="宋体" w:eastAsia="宋体" w:cs="宋体"/>
          <w:bCs/>
          <w:sz w:val="24"/>
        </w:rPr>
        <w:t>%）。其中，工科和理科的毕业生主要分布在建筑业、采矿业、制造业、信息传输等行业，文科和艺术类毕业生主要分布在教育、文化、公共管理、社会组织等行业。</w:t>
      </w:r>
    </w:p>
    <w:p>
      <w:pPr>
        <w:ind w:left="504" w:leftChars="240" w:firstLine="2552" w:firstLineChars="1059"/>
        <w:rPr>
          <w:rFonts w:hint="eastAsia" w:ascii="宋体" w:hAnsi="宋体" w:eastAsia="宋体" w:cs="宋体"/>
          <w:b/>
          <w:sz w:val="24"/>
          <w:lang w:val="en-US" w:eastAsia="zh-CN"/>
        </w:rPr>
      </w:pPr>
      <w:r>
        <w:rPr>
          <w:rFonts w:hint="eastAsia" w:ascii="宋体" w:hAnsi="宋体" w:eastAsia="宋体" w:cs="宋体"/>
          <w:b/>
          <w:sz w:val="24"/>
        </w:rPr>
        <w:t xml:space="preserve">表2.6: </w:t>
      </w:r>
      <w:r>
        <w:rPr>
          <w:rFonts w:hint="eastAsia" w:ascii="宋体" w:hAnsi="宋体" w:cs="宋体"/>
          <w:b/>
          <w:sz w:val="24"/>
          <w:lang w:val="en-US" w:eastAsia="zh-CN"/>
        </w:rPr>
        <w:t>2020</w:t>
      </w:r>
      <w:r>
        <w:rPr>
          <w:rFonts w:hint="eastAsia" w:ascii="宋体" w:hAnsi="宋体" w:eastAsia="宋体" w:cs="宋体"/>
          <w:b/>
          <w:sz w:val="24"/>
        </w:rPr>
        <w:t>届毕业生行业流向分布</w:t>
      </w:r>
    </w:p>
    <w:tbl>
      <w:tblPr>
        <w:tblStyle w:val="20"/>
        <w:tblW w:w="8602" w:type="dxa"/>
        <w:tblInd w:w="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5"/>
        <w:gridCol w:w="2024"/>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shd w:val="clear" w:color="auto" w:fill="9999FF"/>
            <w:vAlign w:val="center"/>
          </w:tcPr>
          <w:p>
            <w:pPr>
              <w:jc w:val="center"/>
              <w:rPr>
                <w:rFonts w:hint="eastAsia" w:ascii="宋体" w:hAnsi="宋体" w:eastAsia="宋体" w:cs="宋体"/>
                <w:b/>
                <w:sz w:val="24"/>
              </w:rPr>
            </w:pPr>
            <w:r>
              <w:rPr>
                <w:rFonts w:hint="eastAsia" w:ascii="宋体" w:hAnsi="宋体" w:eastAsia="宋体" w:cs="宋体"/>
                <w:b/>
                <w:sz w:val="24"/>
              </w:rPr>
              <w:t>工作单位行业</w:t>
            </w:r>
          </w:p>
        </w:tc>
        <w:tc>
          <w:tcPr>
            <w:tcW w:w="2024" w:type="dxa"/>
            <w:shd w:val="clear" w:color="auto" w:fill="9999FF"/>
            <w:vAlign w:val="center"/>
          </w:tcPr>
          <w:p>
            <w:pPr>
              <w:jc w:val="center"/>
              <w:rPr>
                <w:rFonts w:hint="eastAsia" w:ascii="宋体" w:hAnsi="宋体" w:eastAsia="宋体" w:cs="宋体"/>
                <w:b/>
                <w:sz w:val="24"/>
              </w:rPr>
            </w:pPr>
            <w:r>
              <w:rPr>
                <w:rFonts w:hint="eastAsia" w:ascii="宋体" w:hAnsi="宋体" w:eastAsia="宋体" w:cs="宋体"/>
                <w:b/>
                <w:sz w:val="24"/>
              </w:rPr>
              <w:t>就业数（人）</w:t>
            </w:r>
          </w:p>
        </w:tc>
        <w:tc>
          <w:tcPr>
            <w:tcW w:w="2783" w:type="dxa"/>
            <w:shd w:val="clear" w:color="auto" w:fill="9999FF"/>
            <w:vAlign w:val="center"/>
          </w:tcPr>
          <w:p>
            <w:pPr>
              <w:jc w:val="center"/>
              <w:rPr>
                <w:rFonts w:hint="eastAsia" w:ascii="宋体" w:hAnsi="宋体" w:eastAsia="宋体" w:cs="宋体"/>
                <w:b/>
                <w:sz w:val="24"/>
              </w:rPr>
            </w:pPr>
            <w:r>
              <w:rPr>
                <w:rFonts w:hint="eastAsia" w:ascii="宋体" w:hAnsi="宋体" w:eastAsia="宋体" w:cs="宋体"/>
                <w:b/>
                <w:sz w:val="24"/>
              </w:rPr>
              <w:t>占总就业人数比例（％）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批发和零售业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176</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15.99%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租赁和商务服务业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129</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11.72%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教育</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98</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信息传输、软件和信息技术服务业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95</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金融业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85</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建筑业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80</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制造业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79</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科学研究和技术服务业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49</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电力、热力、燃气及水生产和供应业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48</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房地产业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40</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文化、体育和娱乐业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34</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居民服务、修理和其他服务业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33</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交通运输、仓储和邮政业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29</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公共管理、社会保障和社会组织</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26</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住宿和餐饮业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24</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卫生和社会工作</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23</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采矿业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22</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农、林、牧、渔业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19</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widowControl/>
              <w:spacing w:line="240" w:lineRule="auto"/>
              <w:jc w:val="center"/>
              <w:textAlignment w:val="auto"/>
              <w:rPr>
                <w:rFonts w:hint="eastAsia" w:ascii="宋体" w:hAnsi="宋体" w:eastAsia="宋体" w:cs="宋体"/>
                <w:sz w:val="24"/>
                <w:szCs w:val="22"/>
              </w:rPr>
            </w:pPr>
            <w:r>
              <w:rPr>
                <w:rFonts w:hint="eastAsia" w:ascii="宋体" w:hAnsi="宋体" w:cs="宋体"/>
                <w:b w:val="0"/>
                <w:bCs w:val="0"/>
                <w:sz w:val="24"/>
                <w:szCs w:val="22"/>
              </w:rPr>
              <w:t>水利、环境和公共设施管理业</w:t>
            </w:r>
          </w:p>
        </w:tc>
        <w:tc>
          <w:tcPr>
            <w:tcW w:w="2024"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11</w:t>
            </w:r>
          </w:p>
        </w:tc>
        <w:tc>
          <w:tcPr>
            <w:tcW w:w="2783" w:type="dxa"/>
            <w:vAlign w:val="center"/>
          </w:tcPr>
          <w:p>
            <w:pPr>
              <w:widowControl/>
              <w:spacing w:line="240" w:lineRule="auto"/>
              <w:jc w:val="center"/>
              <w:textAlignment w:val="auto"/>
              <w:rPr>
                <w:rFonts w:hint="eastAsia" w:ascii="宋体" w:hAnsi="宋体" w:cs="宋体"/>
                <w:sz w:val="24"/>
                <w:szCs w:val="22"/>
              </w:rPr>
            </w:pPr>
            <w:r>
              <w:rPr>
                <w:rFonts w:hint="eastAsia" w:ascii="宋体" w:hAnsi="宋体" w:cs="宋体"/>
                <w:sz w:val="24"/>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hint="eastAsia" w:ascii="宋体" w:hAnsi="宋体" w:eastAsia="宋体" w:cs="宋体"/>
                <w:sz w:val="24"/>
              </w:rPr>
            </w:pPr>
            <w:r>
              <w:rPr>
                <w:rFonts w:hint="eastAsia" w:ascii="宋体" w:hAnsi="宋体" w:eastAsia="宋体" w:cs="宋体"/>
                <w:sz w:val="24"/>
              </w:rPr>
              <w:t>合计</w:t>
            </w:r>
          </w:p>
        </w:tc>
        <w:tc>
          <w:tcPr>
            <w:tcW w:w="2024"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1101</w:t>
            </w:r>
          </w:p>
        </w:tc>
        <w:tc>
          <w:tcPr>
            <w:tcW w:w="2783" w:type="dxa"/>
            <w:vAlign w:val="center"/>
          </w:tcPr>
          <w:p>
            <w:pPr>
              <w:jc w:val="center"/>
              <w:rPr>
                <w:rFonts w:hint="eastAsia" w:ascii="宋体" w:hAnsi="宋体" w:eastAsia="宋体" w:cs="宋体"/>
                <w:sz w:val="24"/>
                <w:lang w:val="en-US" w:eastAsia="zh-CN"/>
              </w:rPr>
            </w:pPr>
            <w:r>
              <w:rPr>
                <w:rFonts w:hint="eastAsia" w:ascii="宋体" w:hAnsi="宋体" w:cs="宋体"/>
                <w:sz w:val="24"/>
                <w:lang w:val="en-US" w:eastAsia="zh-CN"/>
              </w:rPr>
              <w:t>100%</w:t>
            </w:r>
          </w:p>
        </w:tc>
      </w:tr>
    </w:tbl>
    <w:p>
      <w:pPr>
        <w:spacing w:line="360" w:lineRule="auto"/>
        <w:ind w:firstLine="210" w:firstLineChars="100"/>
        <w:rPr>
          <w:rFonts w:hint="eastAsia" w:ascii="宋体" w:hAnsi="宋体" w:eastAsia="宋体" w:cs="宋体"/>
          <w:szCs w:val="21"/>
        </w:rPr>
      </w:pPr>
      <w:r>
        <w:rPr>
          <w:rFonts w:hint="eastAsia" w:ascii="宋体" w:hAnsi="宋体" w:eastAsia="宋体" w:cs="宋体"/>
          <w:szCs w:val="21"/>
        </w:rPr>
        <w:t>注：总就业人数为</w:t>
      </w:r>
      <w:r>
        <w:rPr>
          <w:rFonts w:hint="eastAsia" w:ascii="宋体" w:hAnsi="宋体" w:cs="宋体"/>
          <w:szCs w:val="21"/>
          <w:lang w:val="en-US" w:eastAsia="zh-CN"/>
        </w:rPr>
        <w:t>1241</w:t>
      </w:r>
      <w:r>
        <w:rPr>
          <w:rFonts w:hint="eastAsia" w:ascii="宋体" w:hAnsi="宋体" w:eastAsia="宋体" w:cs="宋体"/>
          <w:szCs w:val="21"/>
        </w:rPr>
        <w:t>人，</w:t>
      </w:r>
      <w:r>
        <w:rPr>
          <w:rFonts w:hint="eastAsia" w:ascii="宋体" w:hAnsi="宋体" w:cs="宋体"/>
          <w:szCs w:val="21"/>
          <w:lang w:val="en-US" w:eastAsia="zh-CN"/>
        </w:rPr>
        <w:t>包含灵活就业、待就业、升学。</w:t>
      </w:r>
      <w:r>
        <w:rPr>
          <w:rFonts w:hint="eastAsia" w:ascii="宋体" w:hAnsi="宋体" w:eastAsia="宋体" w:cs="宋体"/>
          <w:szCs w:val="21"/>
        </w:rPr>
        <w:t>其中</w:t>
      </w:r>
      <w:r>
        <w:rPr>
          <w:rFonts w:hint="eastAsia" w:ascii="宋体" w:hAnsi="宋体" w:cs="宋体"/>
          <w:szCs w:val="21"/>
          <w:lang w:val="en-US" w:eastAsia="zh-CN"/>
        </w:rPr>
        <w:t>20</w:t>
      </w:r>
      <w:r>
        <w:rPr>
          <w:rFonts w:hint="eastAsia" w:ascii="宋体" w:hAnsi="宋体" w:eastAsia="宋体" w:cs="宋体"/>
          <w:szCs w:val="21"/>
        </w:rPr>
        <w:t>人升学，未打印报到证。</w:t>
      </w:r>
    </w:p>
    <w:p>
      <w:pPr>
        <w:numPr>
          <w:ilvl w:val="1"/>
          <w:numId w:val="5"/>
        </w:numPr>
        <w:tabs>
          <w:tab w:val="left" w:pos="360"/>
          <w:tab w:val="clear" w:pos="840"/>
        </w:tabs>
        <w:ind w:left="540" w:hanging="360"/>
        <w:rPr>
          <w:rFonts w:ascii="宋体"/>
          <w:b/>
          <w:sz w:val="28"/>
          <w:szCs w:val="28"/>
        </w:rPr>
      </w:pPr>
      <w:r>
        <w:rPr>
          <w:rFonts w:hint="eastAsia" w:ascii="宋体" w:hAnsi="宋体"/>
          <w:b/>
          <w:sz w:val="28"/>
          <w:szCs w:val="28"/>
        </w:rPr>
        <w:t>毕业生就业地域流向分析</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从就业地域分布来看，在</w:t>
      </w:r>
      <w:r>
        <w:rPr>
          <w:rFonts w:hint="eastAsia" w:ascii="宋体" w:hAnsi="宋体" w:cs="宋体"/>
          <w:bCs/>
          <w:sz w:val="24"/>
          <w:lang w:val="en-US" w:eastAsia="zh-CN"/>
        </w:rPr>
        <w:t>2020</w:t>
      </w:r>
      <w:r>
        <w:rPr>
          <w:rFonts w:hint="eastAsia" w:ascii="宋体" w:hAnsi="宋体" w:eastAsia="宋体" w:cs="宋体"/>
          <w:bCs/>
          <w:sz w:val="24"/>
        </w:rPr>
        <w:t>届1</w:t>
      </w:r>
      <w:r>
        <w:rPr>
          <w:rFonts w:hint="eastAsia" w:ascii="宋体" w:hAnsi="宋体" w:cs="宋体"/>
          <w:bCs/>
          <w:sz w:val="24"/>
          <w:lang w:val="en-US" w:eastAsia="zh-CN"/>
        </w:rPr>
        <w:t>241</w:t>
      </w:r>
      <w:r>
        <w:rPr>
          <w:rFonts w:hint="eastAsia" w:ascii="宋体" w:hAnsi="宋体" w:eastAsia="宋体" w:cs="宋体"/>
          <w:bCs/>
          <w:sz w:val="24"/>
        </w:rPr>
        <w:t>名已就业毕业生中，就业人数分布最多的盟市是呼和浩特市、包头市、鄂尔多斯市、乌兰察布市、巴彦淖尔市，所占比例分别是呼和浩特市</w:t>
      </w:r>
      <w:r>
        <w:rPr>
          <w:rFonts w:hint="eastAsia" w:ascii="宋体" w:hAnsi="宋体" w:cs="宋体"/>
          <w:bCs/>
          <w:sz w:val="24"/>
          <w:lang w:val="en-US" w:eastAsia="zh-CN"/>
        </w:rPr>
        <w:t>520</w:t>
      </w:r>
      <w:r>
        <w:rPr>
          <w:rFonts w:hint="eastAsia" w:ascii="宋体" w:hAnsi="宋体" w:eastAsia="宋体" w:cs="宋体"/>
          <w:bCs/>
          <w:sz w:val="24"/>
        </w:rPr>
        <w:t>人，占比为</w:t>
      </w:r>
      <w:r>
        <w:rPr>
          <w:rFonts w:hint="eastAsia" w:ascii="宋体" w:hAnsi="宋体" w:cs="宋体"/>
          <w:bCs/>
          <w:sz w:val="24"/>
          <w:lang w:val="en-US" w:eastAsia="zh-CN"/>
        </w:rPr>
        <w:t>41.90</w:t>
      </w:r>
      <w:r>
        <w:rPr>
          <w:rFonts w:hint="eastAsia" w:ascii="宋体" w:hAnsi="宋体" w:eastAsia="宋体" w:cs="宋体"/>
          <w:bCs/>
          <w:sz w:val="24"/>
        </w:rPr>
        <w:t>%，比去年</w:t>
      </w:r>
      <w:r>
        <w:rPr>
          <w:rFonts w:hint="eastAsia" w:ascii="宋体" w:hAnsi="宋体" w:cs="宋体"/>
          <w:bCs/>
          <w:sz w:val="24"/>
          <w:lang w:val="en-US" w:eastAsia="zh-CN"/>
        </w:rPr>
        <w:t>下降3.47</w:t>
      </w:r>
      <w:r>
        <w:rPr>
          <w:rFonts w:hint="eastAsia" w:ascii="宋体" w:hAnsi="宋体" w:eastAsia="宋体" w:cs="宋体"/>
          <w:bCs/>
          <w:sz w:val="24"/>
        </w:rPr>
        <w:t>%；鄂尔多斯市</w:t>
      </w:r>
      <w:r>
        <w:rPr>
          <w:rFonts w:hint="eastAsia" w:ascii="宋体" w:hAnsi="宋体" w:cs="宋体"/>
          <w:bCs/>
          <w:sz w:val="24"/>
          <w:lang w:val="en-US" w:eastAsia="zh-CN"/>
        </w:rPr>
        <w:t>135</w:t>
      </w:r>
      <w:r>
        <w:rPr>
          <w:rFonts w:hint="eastAsia" w:ascii="宋体" w:hAnsi="宋体" w:eastAsia="宋体" w:cs="宋体"/>
          <w:bCs/>
          <w:sz w:val="24"/>
        </w:rPr>
        <w:t>人，占比</w:t>
      </w:r>
      <w:r>
        <w:rPr>
          <w:rFonts w:hint="eastAsia" w:ascii="宋体" w:hAnsi="宋体" w:cs="宋体"/>
          <w:bCs/>
          <w:sz w:val="24"/>
          <w:lang w:val="en-US" w:eastAsia="zh-CN"/>
        </w:rPr>
        <w:t>10.89</w:t>
      </w:r>
      <w:r>
        <w:rPr>
          <w:rFonts w:hint="eastAsia" w:ascii="宋体" w:hAnsi="宋体" w:eastAsia="宋体" w:cs="宋体"/>
          <w:bCs/>
          <w:sz w:val="24"/>
        </w:rPr>
        <w:t>%，比去年</w:t>
      </w:r>
      <w:r>
        <w:rPr>
          <w:rFonts w:hint="eastAsia" w:ascii="宋体" w:hAnsi="宋体" w:cs="宋体"/>
          <w:bCs/>
          <w:sz w:val="24"/>
          <w:lang w:val="en-US" w:eastAsia="zh-CN"/>
        </w:rPr>
        <w:t>下降5.49</w:t>
      </w:r>
      <w:r>
        <w:rPr>
          <w:rFonts w:hint="eastAsia" w:ascii="宋体" w:hAnsi="宋体" w:eastAsia="宋体" w:cs="宋体"/>
          <w:bCs/>
          <w:sz w:val="24"/>
        </w:rPr>
        <w:t>%；包头市</w:t>
      </w:r>
      <w:r>
        <w:rPr>
          <w:rFonts w:hint="eastAsia" w:ascii="宋体" w:hAnsi="宋体" w:cs="宋体"/>
          <w:bCs/>
          <w:sz w:val="24"/>
          <w:lang w:val="en-US" w:eastAsia="zh-CN"/>
        </w:rPr>
        <w:t>123</w:t>
      </w:r>
      <w:r>
        <w:rPr>
          <w:rFonts w:hint="eastAsia" w:ascii="宋体" w:hAnsi="宋体" w:eastAsia="宋体" w:cs="宋体"/>
          <w:bCs/>
          <w:sz w:val="24"/>
        </w:rPr>
        <w:t>人，占比</w:t>
      </w:r>
      <w:r>
        <w:rPr>
          <w:rFonts w:hint="eastAsia" w:ascii="宋体" w:hAnsi="宋体" w:cs="宋体"/>
          <w:bCs/>
          <w:sz w:val="24"/>
          <w:lang w:val="en-US" w:eastAsia="zh-CN"/>
        </w:rPr>
        <w:t>9.91</w:t>
      </w:r>
      <w:r>
        <w:rPr>
          <w:rFonts w:hint="eastAsia" w:ascii="宋体" w:hAnsi="宋体" w:eastAsia="宋体" w:cs="宋体"/>
          <w:bCs/>
          <w:sz w:val="24"/>
        </w:rPr>
        <w:t>%，比去年</w:t>
      </w:r>
      <w:r>
        <w:rPr>
          <w:rFonts w:hint="eastAsia" w:ascii="宋体" w:hAnsi="宋体" w:cs="宋体"/>
          <w:bCs/>
          <w:sz w:val="24"/>
          <w:lang w:val="en-US" w:eastAsia="zh-CN"/>
        </w:rPr>
        <w:t>下降6.35</w:t>
      </w:r>
      <w:r>
        <w:rPr>
          <w:rFonts w:hint="eastAsia" w:ascii="宋体" w:hAnsi="宋体" w:eastAsia="宋体" w:cs="宋体"/>
          <w:bCs/>
          <w:sz w:val="24"/>
        </w:rPr>
        <w:t>%；乌兰察布市</w:t>
      </w:r>
      <w:r>
        <w:rPr>
          <w:rFonts w:hint="eastAsia" w:ascii="宋体" w:hAnsi="宋体" w:cs="宋体"/>
          <w:bCs/>
          <w:sz w:val="24"/>
          <w:lang w:val="en-US" w:eastAsia="zh-CN"/>
        </w:rPr>
        <w:t>70</w:t>
      </w:r>
      <w:r>
        <w:rPr>
          <w:rFonts w:hint="eastAsia" w:ascii="宋体" w:hAnsi="宋体" w:eastAsia="宋体" w:cs="宋体"/>
          <w:bCs/>
          <w:sz w:val="24"/>
        </w:rPr>
        <w:t>人，占比</w:t>
      </w:r>
      <w:r>
        <w:rPr>
          <w:rFonts w:hint="eastAsia" w:ascii="宋体" w:hAnsi="宋体" w:cs="宋体"/>
          <w:bCs/>
          <w:sz w:val="24"/>
          <w:lang w:val="en-US" w:eastAsia="zh-CN"/>
        </w:rPr>
        <w:t>5.64</w:t>
      </w:r>
      <w:r>
        <w:rPr>
          <w:rFonts w:hint="eastAsia" w:ascii="宋体" w:hAnsi="宋体" w:eastAsia="宋体" w:cs="宋体"/>
          <w:bCs/>
          <w:sz w:val="24"/>
        </w:rPr>
        <w:t>%，比去年</w:t>
      </w:r>
      <w:r>
        <w:rPr>
          <w:rFonts w:hint="eastAsia" w:ascii="宋体" w:hAnsi="宋体" w:cs="宋体"/>
          <w:bCs/>
          <w:sz w:val="24"/>
          <w:lang w:val="en-US" w:eastAsia="zh-CN"/>
        </w:rPr>
        <w:t>下降0.66</w:t>
      </w:r>
      <w:r>
        <w:rPr>
          <w:rFonts w:hint="eastAsia" w:ascii="宋体" w:hAnsi="宋体" w:eastAsia="宋体" w:cs="宋体"/>
          <w:bCs/>
          <w:sz w:val="24"/>
        </w:rPr>
        <w:t>%；巴彦淖尔市</w:t>
      </w:r>
      <w:r>
        <w:rPr>
          <w:rFonts w:hint="eastAsia" w:ascii="宋体" w:hAnsi="宋体" w:cs="宋体"/>
          <w:bCs/>
          <w:sz w:val="24"/>
          <w:lang w:val="en-US" w:eastAsia="zh-CN"/>
        </w:rPr>
        <w:t>79</w:t>
      </w:r>
      <w:r>
        <w:rPr>
          <w:rFonts w:hint="eastAsia" w:ascii="宋体" w:hAnsi="宋体" w:eastAsia="宋体" w:cs="宋体"/>
          <w:bCs/>
          <w:sz w:val="24"/>
        </w:rPr>
        <w:t>人，占比</w:t>
      </w:r>
      <w:r>
        <w:rPr>
          <w:rFonts w:hint="eastAsia" w:ascii="宋体" w:hAnsi="宋体" w:cs="宋体"/>
          <w:bCs/>
          <w:sz w:val="24"/>
          <w:lang w:val="en-US" w:eastAsia="zh-CN"/>
        </w:rPr>
        <w:t>6.37</w:t>
      </w:r>
      <w:r>
        <w:rPr>
          <w:rFonts w:hint="eastAsia" w:ascii="宋体" w:hAnsi="宋体" w:eastAsia="宋体" w:cs="宋体"/>
          <w:bCs/>
          <w:sz w:val="24"/>
        </w:rPr>
        <w:t>%，比去年下降</w:t>
      </w:r>
      <w:r>
        <w:rPr>
          <w:rFonts w:hint="eastAsia" w:ascii="宋体" w:hAnsi="宋体" w:cs="宋体"/>
          <w:bCs/>
          <w:sz w:val="24"/>
          <w:lang w:val="en-US" w:eastAsia="zh-CN"/>
        </w:rPr>
        <w:t>0.06</w:t>
      </w:r>
      <w:r>
        <w:rPr>
          <w:rFonts w:hint="eastAsia" w:ascii="宋体" w:hAnsi="宋体" w:eastAsia="宋体" w:cs="宋体"/>
          <w:bCs/>
          <w:sz w:val="24"/>
        </w:rPr>
        <w:t>%。</w: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从数据上看学院</w:t>
      </w:r>
      <w:r>
        <w:rPr>
          <w:rFonts w:hint="eastAsia" w:ascii="宋体" w:hAnsi="宋体" w:cs="宋体"/>
          <w:bCs/>
          <w:sz w:val="24"/>
          <w:lang w:val="en-US" w:eastAsia="zh-CN"/>
        </w:rPr>
        <w:t>2020</w:t>
      </w:r>
      <w:r>
        <w:rPr>
          <w:rFonts w:hint="eastAsia" w:ascii="宋体" w:hAnsi="宋体" w:eastAsia="宋体" w:cs="宋体"/>
          <w:bCs/>
          <w:sz w:val="24"/>
        </w:rPr>
        <w:t>届毕业生就业区域分布仍然较为不均衡，但是呼包鄂地区占比</w:t>
      </w:r>
      <w:r>
        <w:rPr>
          <w:rFonts w:hint="eastAsia" w:ascii="宋体" w:hAnsi="宋体" w:cs="宋体"/>
          <w:bCs/>
          <w:sz w:val="24"/>
        </w:rPr>
        <w:t>已逐渐下降</w:t>
      </w:r>
      <w:r>
        <w:rPr>
          <w:rFonts w:hint="eastAsia" w:ascii="宋体" w:hAnsi="宋体" w:eastAsia="宋体" w:cs="宋体"/>
          <w:bCs/>
          <w:sz w:val="24"/>
        </w:rPr>
        <w:t>，并且呈现出更加均衡的趋势。</w:t>
      </w:r>
    </w:p>
    <w:p>
      <w:pPr>
        <w:spacing w:line="360" w:lineRule="auto"/>
        <w:ind w:firstLine="482" w:firstLineChars="200"/>
        <w:jc w:val="center"/>
        <w:rPr>
          <w:rFonts w:hint="eastAsia" w:ascii="宋体" w:hAnsi="宋体" w:eastAsia="宋体" w:cs="宋体"/>
          <w:b/>
          <w:sz w:val="24"/>
        </w:rPr>
      </w:pPr>
      <w:r>
        <w:rPr>
          <w:rFonts w:hint="eastAsia" w:ascii="宋体" w:hAnsi="宋体" w:eastAsia="宋体" w:cs="宋体"/>
          <w:b/>
          <w:sz w:val="24"/>
        </w:rPr>
        <w:t>表2.7: 2020届毕业生就业地域分布</w:t>
      </w:r>
    </w:p>
    <w:tbl>
      <w:tblPr>
        <w:tblStyle w:val="20"/>
        <w:tblpPr w:leftFromText="180" w:rightFromText="180" w:vertAnchor="text" w:horzAnchor="page" w:tblpX="1694" w:tblpY="603"/>
        <w:tblOverlap w:val="never"/>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9"/>
        <w:gridCol w:w="2149"/>
        <w:gridCol w:w="2149"/>
        <w:gridCol w:w="2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9" w:type="dxa"/>
            <w:shd w:val="clear" w:color="auto" w:fill="9999FF"/>
            <w:vAlign w:val="center"/>
          </w:tcPr>
          <w:p>
            <w:pPr>
              <w:jc w:val="center"/>
              <w:rPr>
                <w:rFonts w:ascii="宋体"/>
                <w:b/>
                <w:sz w:val="24"/>
              </w:rPr>
            </w:pPr>
            <w:r>
              <w:rPr>
                <w:rFonts w:hint="eastAsia" w:ascii="宋体"/>
                <w:b/>
                <w:sz w:val="24"/>
              </w:rPr>
              <w:t>序号</w:t>
            </w:r>
          </w:p>
        </w:tc>
        <w:tc>
          <w:tcPr>
            <w:tcW w:w="2149" w:type="dxa"/>
            <w:shd w:val="clear" w:color="auto" w:fill="9999FF"/>
            <w:vAlign w:val="center"/>
          </w:tcPr>
          <w:p>
            <w:pPr>
              <w:jc w:val="center"/>
              <w:rPr>
                <w:rFonts w:ascii="宋体"/>
                <w:b/>
                <w:sz w:val="24"/>
              </w:rPr>
            </w:pPr>
            <w:r>
              <w:rPr>
                <w:rFonts w:hint="eastAsia" w:ascii="宋体"/>
                <w:b/>
                <w:sz w:val="24"/>
              </w:rPr>
              <w:t>就业地</w:t>
            </w:r>
          </w:p>
        </w:tc>
        <w:tc>
          <w:tcPr>
            <w:tcW w:w="2149" w:type="dxa"/>
            <w:shd w:val="clear" w:color="auto" w:fill="9999FF"/>
            <w:vAlign w:val="center"/>
          </w:tcPr>
          <w:p>
            <w:pPr>
              <w:jc w:val="center"/>
              <w:rPr>
                <w:rFonts w:ascii="宋体"/>
                <w:b/>
                <w:sz w:val="24"/>
              </w:rPr>
            </w:pPr>
            <w:r>
              <w:rPr>
                <w:rFonts w:hint="eastAsia" w:ascii="宋体"/>
                <w:b/>
                <w:sz w:val="24"/>
              </w:rPr>
              <w:t>人数</w:t>
            </w:r>
          </w:p>
        </w:tc>
        <w:tc>
          <w:tcPr>
            <w:tcW w:w="2150" w:type="dxa"/>
            <w:shd w:val="clear" w:color="auto" w:fill="9999FF"/>
            <w:vAlign w:val="center"/>
          </w:tcPr>
          <w:p>
            <w:pPr>
              <w:jc w:val="center"/>
              <w:rPr>
                <w:rFonts w:ascii="宋体"/>
                <w:b/>
                <w:sz w:val="24"/>
              </w:rPr>
            </w:pPr>
            <w:r>
              <w:rPr>
                <w:rFonts w:hint="eastAsia" w:ascii="宋体"/>
                <w:b/>
                <w:sz w:val="24"/>
              </w:rPr>
              <w:t>比例（</w:t>
            </w:r>
            <w:r>
              <w:rPr>
                <w:rFonts w:ascii="宋体"/>
                <w:b/>
                <w:sz w:val="24"/>
              </w:rPr>
              <w:t>%</w:t>
            </w:r>
            <w:r>
              <w:rPr>
                <w:rFonts w:hint="eastAsia" w:ascii="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9" w:type="dxa"/>
            <w:vAlign w:val="center"/>
          </w:tcPr>
          <w:p>
            <w:pPr>
              <w:jc w:val="center"/>
              <w:rPr>
                <w:rFonts w:ascii="宋体"/>
                <w:sz w:val="24"/>
              </w:rPr>
            </w:pPr>
            <w:r>
              <w:rPr>
                <w:rFonts w:ascii="宋体"/>
                <w:sz w:val="24"/>
              </w:rPr>
              <w:t>1</w:t>
            </w:r>
          </w:p>
        </w:tc>
        <w:tc>
          <w:tcPr>
            <w:tcW w:w="2149" w:type="dxa"/>
            <w:vAlign w:val="center"/>
          </w:tcPr>
          <w:p>
            <w:pPr>
              <w:jc w:val="center"/>
            </w:pPr>
            <w:r>
              <w:rPr>
                <w:rFonts w:hint="eastAsia"/>
              </w:rPr>
              <w:t>呼和浩特市</w:t>
            </w:r>
          </w:p>
        </w:tc>
        <w:tc>
          <w:tcPr>
            <w:tcW w:w="2149" w:type="dxa"/>
            <w:vAlign w:val="center"/>
          </w:tcPr>
          <w:p>
            <w:pPr>
              <w:jc w:val="center"/>
              <w:rPr>
                <w:rFonts w:hint="default" w:ascii="宋体" w:eastAsia="宋体"/>
                <w:sz w:val="24"/>
                <w:lang w:val="en-US" w:eastAsia="zh-CN"/>
              </w:rPr>
            </w:pPr>
            <w:r>
              <w:rPr>
                <w:rFonts w:hint="eastAsia" w:ascii="宋体"/>
                <w:sz w:val="24"/>
                <w:lang w:val="en-US" w:eastAsia="zh-CN"/>
              </w:rPr>
              <w:t>520</w:t>
            </w:r>
          </w:p>
        </w:tc>
        <w:tc>
          <w:tcPr>
            <w:tcW w:w="2150" w:type="dxa"/>
            <w:vAlign w:val="center"/>
          </w:tcPr>
          <w:p>
            <w:pPr>
              <w:jc w:val="center"/>
              <w:rPr>
                <w:rFonts w:hint="default" w:ascii="宋体" w:eastAsia="宋体"/>
                <w:sz w:val="24"/>
                <w:lang w:val="en-US" w:eastAsia="zh-CN"/>
              </w:rPr>
            </w:pPr>
            <w:r>
              <w:rPr>
                <w:rFonts w:hint="eastAsia" w:ascii="宋体"/>
                <w:sz w:val="24"/>
                <w:lang w:val="en-US" w:eastAsia="zh-CN"/>
              </w:rPr>
              <w:t>41.90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9" w:type="dxa"/>
            <w:vAlign w:val="center"/>
          </w:tcPr>
          <w:p>
            <w:pPr>
              <w:jc w:val="center"/>
              <w:rPr>
                <w:rFonts w:ascii="宋体"/>
                <w:sz w:val="24"/>
              </w:rPr>
            </w:pPr>
            <w:r>
              <w:rPr>
                <w:rFonts w:ascii="宋体"/>
                <w:sz w:val="24"/>
              </w:rPr>
              <w:t>2</w:t>
            </w:r>
          </w:p>
        </w:tc>
        <w:tc>
          <w:tcPr>
            <w:tcW w:w="2149" w:type="dxa"/>
            <w:vAlign w:val="center"/>
          </w:tcPr>
          <w:p>
            <w:pPr>
              <w:jc w:val="center"/>
            </w:pPr>
            <w:r>
              <w:rPr>
                <w:rFonts w:hint="eastAsia"/>
              </w:rPr>
              <w:t>鄂尔多斯市</w:t>
            </w:r>
          </w:p>
        </w:tc>
        <w:tc>
          <w:tcPr>
            <w:tcW w:w="2149" w:type="dxa"/>
            <w:vAlign w:val="center"/>
          </w:tcPr>
          <w:p>
            <w:pPr>
              <w:jc w:val="center"/>
              <w:rPr>
                <w:rFonts w:hint="default" w:ascii="宋体" w:eastAsia="宋体"/>
                <w:sz w:val="24"/>
                <w:lang w:val="en-US" w:eastAsia="zh-CN"/>
              </w:rPr>
            </w:pPr>
            <w:r>
              <w:rPr>
                <w:rFonts w:hint="eastAsia" w:ascii="宋体"/>
                <w:sz w:val="24"/>
                <w:lang w:val="en-US" w:eastAsia="zh-CN"/>
              </w:rPr>
              <w:t>135</w:t>
            </w:r>
          </w:p>
        </w:tc>
        <w:tc>
          <w:tcPr>
            <w:tcW w:w="2150" w:type="dxa"/>
            <w:vAlign w:val="center"/>
          </w:tcPr>
          <w:p>
            <w:pPr>
              <w:jc w:val="center"/>
              <w:rPr>
                <w:rFonts w:hint="default" w:ascii="宋体" w:eastAsia="宋体"/>
                <w:sz w:val="24"/>
                <w:lang w:val="en-US" w:eastAsia="zh-CN"/>
              </w:rPr>
            </w:pPr>
            <w:r>
              <w:rPr>
                <w:rFonts w:hint="eastAsia" w:ascii="宋体"/>
                <w:sz w:val="24"/>
                <w:lang w:val="en-US" w:eastAsia="zh-CN"/>
              </w:rPr>
              <w:t>10.89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9" w:type="dxa"/>
            <w:vAlign w:val="center"/>
          </w:tcPr>
          <w:p>
            <w:pPr>
              <w:jc w:val="center"/>
              <w:rPr>
                <w:rFonts w:ascii="宋体"/>
                <w:sz w:val="24"/>
              </w:rPr>
            </w:pPr>
            <w:r>
              <w:rPr>
                <w:rFonts w:ascii="宋体"/>
                <w:sz w:val="24"/>
              </w:rPr>
              <w:t>3</w:t>
            </w:r>
          </w:p>
        </w:tc>
        <w:tc>
          <w:tcPr>
            <w:tcW w:w="2149" w:type="dxa"/>
            <w:vAlign w:val="center"/>
          </w:tcPr>
          <w:p>
            <w:pPr>
              <w:jc w:val="center"/>
            </w:pPr>
            <w:r>
              <w:rPr>
                <w:rFonts w:hint="eastAsia"/>
              </w:rPr>
              <w:t>包头市</w:t>
            </w:r>
          </w:p>
        </w:tc>
        <w:tc>
          <w:tcPr>
            <w:tcW w:w="2149" w:type="dxa"/>
            <w:vAlign w:val="center"/>
          </w:tcPr>
          <w:p>
            <w:pPr>
              <w:jc w:val="center"/>
              <w:rPr>
                <w:rFonts w:hint="default" w:ascii="宋体" w:eastAsia="宋体"/>
                <w:sz w:val="24"/>
                <w:lang w:val="en-US" w:eastAsia="zh-CN"/>
              </w:rPr>
            </w:pPr>
            <w:r>
              <w:rPr>
                <w:rFonts w:hint="eastAsia" w:ascii="宋体"/>
                <w:sz w:val="24"/>
                <w:lang w:val="en-US" w:eastAsia="zh-CN"/>
              </w:rPr>
              <w:t>123</w:t>
            </w:r>
          </w:p>
        </w:tc>
        <w:tc>
          <w:tcPr>
            <w:tcW w:w="2150" w:type="dxa"/>
            <w:vAlign w:val="center"/>
          </w:tcPr>
          <w:p>
            <w:pPr>
              <w:jc w:val="center"/>
              <w:rPr>
                <w:rFonts w:hint="default" w:ascii="宋体" w:eastAsia="宋体"/>
                <w:sz w:val="24"/>
                <w:lang w:val="en-US" w:eastAsia="zh-CN"/>
              </w:rPr>
            </w:pPr>
            <w:r>
              <w:rPr>
                <w:rFonts w:hint="eastAsia" w:ascii="宋体"/>
                <w:sz w:val="24"/>
                <w:lang w:val="en-US" w:eastAsia="zh-CN"/>
              </w:rPr>
              <w:t>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9" w:type="dxa"/>
            <w:vAlign w:val="center"/>
          </w:tcPr>
          <w:p>
            <w:pPr>
              <w:jc w:val="center"/>
              <w:rPr>
                <w:rFonts w:ascii="宋体"/>
                <w:sz w:val="24"/>
              </w:rPr>
            </w:pPr>
            <w:r>
              <w:rPr>
                <w:rFonts w:ascii="宋体"/>
                <w:sz w:val="24"/>
              </w:rPr>
              <w:t>4</w:t>
            </w:r>
          </w:p>
        </w:tc>
        <w:tc>
          <w:tcPr>
            <w:tcW w:w="2149" w:type="dxa"/>
            <w:vAlign w:val="center"/>
          </w:tcPr>
          <w:p>
            <w:pPr>
              <w:jc w:val="center"/>
            </w:pPr>
            <w:r>
              <w:rPr>
                <w:rFonts w:hint="eastAsia"/>
              </w:rPr>
              <w:t>巴彦淖尔市</w:t>
            </w:r>
          </w:p>
        </w:tc>
        <w:tc>
          <w:tcPr>
            <w:tcW w:w="2149" w:type="dxa"/>
            <w:vAlign w:val="center"/>
          </w:tcPr>
          <w:p>
            <w:pPr>
              <w:jc w:val="center"/>
              <w:rPr>
                <w:rFonts w:hint="default" w:ascii="宋体" w:eastAsia="宋体"/>
                <w:sz w:val="24"/>
                <w:lang w:val="en-US" w:eastAsia="zh-CN"/>
              </w:rPr>
            </w:pPr>
            <w:r>
              <w:rPr>
                <w:rFonts w:hint="eastAsia" w:ascii="宋体"/>
                <w:sz w:val="24"/>
                <w:lang w:val="en-US" w:eastAsia="zh-CN"/>
              </w:rPr>
              <w:t>79</w:t>
            </w:r>
          </w:p>
        </w:tc>
        <w:tc>
          <w:tcPr>
            <w:tcW w:w="2150" w:type="dxa"/>
            <w:vAlign w:val="center"/>
          </w:tcPr>
          <w:p>
            <w:pPr>
              <w:jc w:val="center"/>
              <w:rPr>
                <w:rFonts w:hint="default" w:ascii="宋体" w:eastAsia="宋体"/>
                <w:sz w:val="24"/>
                <w:lang w:val="en-US" w:eastAsia="zh-CN"/>
              </w:rPr>
            </w:pPr>
            <w:r>
              <w:rPr>
                <w:rFonts w:hint="eastAsia" w:ascii="宋体"/>
                <w:sz w:val="24"/>
                <w:lang w:val="en-US" w:eastAsia="zh-CN"/>
              </w:rPr>
              <w:t>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49" w:type="dxa"/>
            <w:vAlign w:val="center"/>
          </w:tcPr>
          <w:p>
            <w:pPr>
              <w:jc w:val="center"/>
              <w:rPr>
                <w:rFonts w:ascii="宋体"/>
                <w:sz w:val="24"/>
              </w:rPr>
            </w:pPr>
            <w:r>
              <w:rPr>
                <w:rFonts w:ascii="宋体"/>
                <w:sz w:val="24"/>
              </w:rPr>
              <w:t>5</w:t>
            </w:r>
          </w:p>
        </w:tc>
        <w:tc>
          <w:tcPr>
            <w:tcW w:w="2149" w:type="dxa"/>
            <w:vAlign w:val="center"/>
          </w:tcPr>
          <w:p>
            <w:pPr>
              <w:jc w:val="center"/>
            </w:pPr>
            <w:r>
              <w:rPr>
                <w:rFonts w:hint="eastAsia"/>
              </w:rPr>
              <w:t>乌兰察布市</w:t>
            </w:r>
          </w:p>
        </w:tc>
        <w:tc>
          <w:tcPr>
            <w:tcW w:w="2149" w:type="dxa"/>
            <w:vAlign w:val="center"/>
          </w:tcPr>
          <w:p>
            <w:pPr>
              <w:jc w:val="center"/>
              <w:rPr>
                <w:rFonts w:hint="default" w:ascii="宋体" w:eastAsia="宋体"/>
                <w:sz w:val="24"/>
                <w:lang w:val="en-US" w:eastAsia="zh-CN"/>
              </w:rPr>
            </w:pPr>
            <w:r>
              <w:rPr>
                <w:rFonts w:hint="eastAsia" w:ascii="宋体"/>
                <w:sz w:val="24"/>
                <w:lang w:val="en-US" w:eastAsia="zh-CN"/>
              </w:rPr>
              <w:t>70</w:t>
            </w:r>
          </w:p>
        </w:tc>
        <w:tc>
          <w:tcPr>
            <w:tcW w:w="2150" w:type="dxa"/>
            <w:vAlign w:val="center"/>
          </w:tcPr>
          <w:p>
            <w:pPr>
              <w:jc w:val="center"/>
              <w:rPr>
                <w:rFonts w:hint="default" w:ascii="宋体" w:eastAsia="宋体"/>
                <w:sz w:val="24"/>
                <w:lang w:val="en-US" w:eastAsia="zh-CN"/>
              </w:rPr>
            </w:pPr>
            <w:r>
              <w:rPr>
                <w:rFonts w:hint="eastAsia" w:ascii="宋体"/>
                <w:sz w:val="24"/>
                <w:lang w:val="en-US" w:eastAsia="zh-CN"/>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49" w:type="dxa"/>
            <w:vAlign w:val="center"/>
          </w:tcPr>
          <w:p>
            <w:pPr>
              <w:jc w:val="center"/>
              <w:rPr>
                <w:rFonts w:ascii="宋体"/>
                <w:sz w:val="24"/>
              </w:rPr>
            </w:pPr>
            <w:r>
              <w:rPr>
                <w:rFonts w:ascii="宋体"/>
                <w:sz w:val="24"/>
              </w:rPr>
              <w:t>6</w:t>
            </w:r>
          </w:p>
        </w:tc>
        <w:tc>
          <w:tcPr>
            <w:tcW w:w="2149" w:type="dxa"/>
            <w:vAlign w:val="center"/>
          </w:tcPr>
          <w:p>
            <w:pPr>
              <w:jc w:val="center"/>
            </w:pPr>
            <w:r>
              <w:rPr>
                <w:rFonts w:hint="eastAsia"/>
              </w:rPr>
              <w:t>区外</w:t>
            </w:r>
          </w:p>
        </w:tc>
        <w:tc>
          <w:tcPr>
            <w:tcW w:w="2149" w:type="dxa"/>
            <w:vAlign w:val="center"/>
          </w:tcPr>
          <w:p>
            <w:pPr>
              <w:jc w:val="center"/>
              <w:rPr>
                <w:rFonts w:hint="default" w:ascii="宋体" w:eastAsia="宋体"/>
                <w:sz w:val="24"/>
                <w:lang w:val="en-US" w:eastAsia="zh-CN"/>
              </w:rPr>
            </w:pPr>
            <w:r>
              <w:rPr>
                <w:rFonts w:hint="eastAsia" w:ascii="宋体"/>
                <w:sz w:val="24"/>
                <w:lang w:val="en-US" w:eastAsia="zh-CN"/>
              </w:rPr>
              <w:t>170</w:t>
            </w:r>
          </w:p>
        </w:tc>
        <w:tc>
          <w:tcPr>
            <w:tcW w:w="2150" w:type="dxa"/>
            <w:vAlign w:val="center"/>
          </w:tcPr>
          <w:p>
            <w:pPr>
              <w:jc w:val="center"/>
              <w:rPr>
                <w:rFonts w:hint="default" w:ascii="宋体" w:eastAsia="宋体"/>
                <w:sz w:val="24"/>
                <w:lang w:val="en-US" w:eastAsia="zh-CN"/>
              </w:rPr>
            </w:pPr>
            <w:r>
              <w:rPr>
                <w:rFonts w:hint="eastAsia" w:ascii="宋体"/>
                <w:sz w:val="24"/>
                <w:lang w:val="en-US" w:eastAsia="zh-CN"/>
              </w:rPr>
              <w:t>13.70</w:t>
            </w:r>
          </w:p>
        </w:tc>
      </w:tr>
    </w:tbl>
    <w:p>
      <w:pPr>
        <w:tabs>
          <w:tab w:val="left" w:pos="7995"/>
        </w:tabs>
        <w:ind w:left="504" w:leftChars="240" w:firstLine="2543" w:firstLineChars="1059"/>
        <w:rPr>
          <w:rFonts w:ascii="??_GB2312" w:eastAsia="Times New Roman"/>
          <w:b/>
          <w:sz w:val="24"/>
        </w:rPr>
      </w:pPr>
    </w:p>
    <w:p>
      <w:pPr>
        <w:numPr>
          <w:ilvl w:val="1"/>
          <w:numId w:val="5"/>
        </w:numPr>
        <w:tabs>
          <w:tab w:val="left" w:pos="360"/>
          <w:tab w:val="clear" w:pos="840"/>
        </w:tabs>
        <w:ind w:left="540" w:hanging="360"/>
        <w:rPr>
          <w:rFonts w:ascii="宋体"/>
          <w:b/>
          <w:sz w:val="28"/>
          <w:szCs w:val="28"/>
        </w:rPr>
      </w:pPr>
      <w:r>
        <w:rPr>
          <w:rFonts w:hint="eastAsia" w:ascii="宋体" w:hAnsi="宋体"/>
          <w:b/>
          <w:sz w:val="28"/>
          <w:szCs w:val="28"/>
        </w:rPr>
        <w:t>毕业生工作单位性质分析</w:t>
      </w:r>
    </w:p>
    <w:p>
      <w:pPr>
        <w:spacing w:line="360" w:lineRule="auto"/>
        <w:ind w:left="0" w:leftChars="0" w:firstLine="480" w:firstLineChars="200"/>
        <w:rPr>
          <w:rFonts w:hint="eastAsia" w:ascii="宋体" w:hAnsi="宋体" w:eastAsia="宋体" w:cs="宋体"/>
          <w:b/>
          <w:sz w:val="24"/>
        </w:rPr>
      </w:pPr>
      <w:r>
        <w:rPr>
          <w:rFonts w:hint="eastAsia" w:ascii="宋体" w:hAnsi="宋体" w:eastAsia="宋体" w:cs="宋体"/>
          <w:bCs/>
          <w:sz w:val="24"/>
        </w:rPr>
        <w:t>就业单位性质方面，学院</w:t>
      </w:r>
      <w:r>
        <w:rPr>
          <w:rFonts w:hint="eastAsia" w:ascii="宋体" w:hAnsi="宋体" w:cs="宋体"/>
          <w:bCs/>
          <w:sz w:val="24"/>
          <w:lang w:val="en-US" w:eastAsia="zh-CN"/>
        </w:rPr>
        <w:t>2020</w:t>
      </w:r>
      <w:r>
        <w:rPr>
          <w:rFonts w:hint="eastAsia" w:ascii="宋体" w:hAnsi="宋体" w:eastAsia="宋体" w:cs="宋体"/>
          <w:bCs/>
          <w:sz w:val="24"/>
        </w:rPr>
        <w:t>届毕业生就业的主要渠道是其他企业，即中小型企业，就业人数为</w:t>
      </w:r>
      <w:r>
        <w:rPr>
          <w:rFonts w:hint="eastAsia" w:ascii="宋体" w:hAnsi="宋体" w:cs="宋体"/>
          <w:bCs/>
          <w:sz w:val="24"/>
          <w:lang w:val="en-US" w:eastAsia="zh-CN"/>
        </w:rPr>
        <w:t>712</w:t>
      </w:r>
      <w:r>
        <w:rPr>
          <w:rFonts w:hint="eastAsia" w:ascii="宋体" w:hAnsi="宋体" w:eastAsia="宋体" w:cs="宋体"/>
          <w:bCs/>
          <w:sz w:val="24"/>
        </w:rPr>
        <w:t>人，在已就业的毕业生中占</w:t>
      </w:r>
      <w:r>
        <w:rPr>
          <w:rFonts w:hint="eastAsia" w:ascii="宋体" w:hAnsi="宋体" w:cs="宋体"/>
          <w:bCs/>
          <w:sz w:val="24"/>
          <w:lang w:val="en-US" w:eastAsia="zh-CN"/>
        </w:rPr>
        <w:t>64.67</w:t>
      </w:r>
      <w:r>
        <w:rPr>
          <w:rFonts w:hint="eastAsia" w:ascii="宋体" w:hAnsi="宋体" w:eastAsia="宋体" w:cs="宋体"/>
          <w:bCs/>
          <w:sz w:val="24"/>
        </w:rPr>
        <w:t>%；其他（个体单位）</w:t>
      </w:r>
      <w:r>
        <w:rPr>
          <w:rFonts w:hint="eastAsia" w:ascii="宋体" w:hAnsi="宋体" w:cs="宋体"/>
          <w:bCs/>
          <w:sz w:val="24"/>
          <w:lang w:val="en-US" w:eastAsia="zh-CN"/>
        </w:rPr>
        <w:t>138</w:t>
      </w:r>
      <w:r>
        <w:rPr>
          <w:rFonts w:hint="eastAsia" w:ascii="宋体" w:hAnsi="宋体" w:eastAsia="宋体" w:cs="宋体"/>
          <w:bCs/>
          <w:sz w:val="24"/>
        </w:rPr>
        <w:t>人，占总就业人数的</w:t>
      </w:r>
      <w:r>
        <w:rPr>
          <w:rFonts w:hint="eastAsia" w:ascii="宋体" w:hAnsi="宋体" w:cs="宋体"/>
          <w:bCs/>
          <w:sz w:val="24"/>
          <w:lang w:val="en-US" w:eastAsia="zh-CN"/>
        </w:rPr>
        <w:t>12.53</w:t>
      </w:r>
      <w:r>
        <w:rPr>
          <w:rFonts w:hint="eastAsia" w:ascii="宋体" w:hAnsi="宋体" w:eastAsia="宋体" w:cs="宋体"/>
          <w:bCs/>
          <w:sz w:val="24"/>
        </w:rPr>
        <w:t>%；机关事业单位就业人数</w:t>
      </w:r>
      <w:r>
        <w:rPr>
          <w:rFonts w:hint="eastAsia" w:ascii="宋体" w:hAnsi="宋体" w:cs="宋体"/>
          <w:bCs/>
          <w:sz w:val="24"/>
          <w:lang w:val="en-US" w:eastAsia="zh-CN"/>
        </w:rPr>
        <w:t>24</w:t>
      </w:r>
      <w:r>
        <w:rPr>
          <w:rFonts w:hint="eastAsia" w:ascii="宋体" w:hAnsi="宋体" w:eastAsia="宋体" w:cs="宋体"/>
          <w:bCs/>
          <w:sz w:val="24"/>
        </w:rPr>
        <w:t>人，占总就业人数的</w:t>
      </w:r>
      <w:r>
        <w:rPr>
          <w:rFonts w:hint="eastAsia" w:ascii="宋体" w:hAnsi="宋体" w:cs="宋体"/>
          <w:bCs/>
          <w:sz w:val="24"/>
          <w:lang w:val="en-US" w:eastAsia="zh-CN"/>
        </w:rPr>
        <w:t>2.18</w:t>
      </w:r>
      <w:r>
        <w:rPr>
          <w:rFonts w:hint="eastAsia" w:ascii="宋体" w:hAnsi="宋体" w:eastAsia="宋体" w:cs="宋体"/>
          <w:bCs/>
          <w:sz w:val="24"/>
        </w:rPr>
        <w:t>%；国有企业就业人数</w:t>
      </w:r>
      <w:r>
        <w:rPr>
          <w:rFonts w:hint="eastAsia" w:ascii="宋体" w:hAnsi="宋体" w:cs="宋体"/>
          <w:bCs/>
          <w:sz w:val="24"/>
          <w:lang w:val="en-US" w:eastAsia="zh-CN"/>
        </w:rPr>
        <w:t>169</w:t>
      </w:r>
      <w:r>
        <w:rPr>
          <w:rFonts w:hint="eastAsia" w:ascii="宋体" w:hAnsi="宋体" w:eastAsia="宋体" w:cs="宋体"/>
          <w:bCs/>
          <w:sz w:val="24"/>
        </w:rPr>
        <w:t>人，占总就业人数的</w:t>
      </w:r>
      <w:r>
        <w:rPr>
          <w:rFonts w:hint="eastAsia" w:ascii="宋体" w:hAnsi="宋体" w:cs="宋体"/>
          <w:bCs/>
          <w:sz w:val="24"/>
          <w:lang w:val="en-US" w:eastAsia="zh-CN"/>
        </w:rPr>
        <w:t>15.35</w:t>
      </w:r>
      <w:r>
        <w:rPr>
          <w:rFonts w:hint="eastAsia" w:ascii="宋体" w:hAnsi="宋体" w:eastAsia="宋体" w:cs="宋体"/>
          <w:bCs/>
          <w:sz w:val="24"/>
        </w:rPr>
        <w:t>%；城镇社区</w:t>
      </w:r>
      <w:r>
        <w:rPr>
          <w:rFonts w:hint="eastAsia" w:ascii="宋体" w:hAnsi="宋体" w:cs="宋体"/>
          <w:bCs/>
          <w:sz w:val="24"/>
          <w:lang w:val="en-US" w:eastAsia="zh-CN"/>
        </w:rPr>
        <w:t>5</w:t>
      </w:r>
      <w:r>
        <w:rPr>
          <w:rFonts w:hint="eastAsia" w:ascii="宋体" w:hAnsi="宋体" w:eastAsia="宋体" w:cs="宋体"/>
          <w:bCs/>
          <w:sz w:val="24"/>
        </w:rPr>
        <w:t>人，占总就业人数的</w:t>
      </w:r>
      <w:r>
        <w:rPr>
          <w:rFonts w:hint="eastAsia" w:ascii="宋体" w:hAnsi="宋体" w:cs="宋体"/>
          <w:bCs/>
          <w:sz w:val="24"/>
          <w:lang w:val="en-US" w:eastAsia="zh-CN"/>
        </w:rPr>
        <w:t>0.45</w:t>
      </w:r>
      <w:r>
        <w:rPr>
          <w:rFonts w:hint="eastAsia" w:ascii="宋体" w:hAnsi="宋体" w:eastAsia="宋体" w:cs="宋体"/>
          <w:bCs/>
          <w:sz w:val="24"/>
        </w:rPr>
        <w:t>%；三资企业就业人数</w:t>
      </w:r>
      <w:r>
        <w:rPr>
          <w:rFonts w:hint="eastAsia" w:ascii="宋体" w:hAnsi="宋体" w:cs="宋体"/>
          <w:bCs/>
          <w:sz w:val="24"/>
          <w:lang w:val="en-US" w:eastAsia="zh-CN"/>
        </w:rPr>
        <w:t>7</w:t>
      </w:r>
      <w:r>
        <w:rPr>
          <w:rFonts w:hint="eastAsia" w:ascii="宋体" w:hAnsi="宋体" w:eastAsia="宋体" w:cs="宋体"/>
          <w:bCs/>
          <w:sz w:val="24"/>
        </w:rPr>
        <w:t>人，占总就业人数的</w:t>
      </w:r>
      <w:r>
        <w:rPr>
          <w:rFonts w:hint="eastAsia" w:ascii="宋体" w:hAnsi="宋体" w:cs="宋体"/>
          <w:bCs/>
          <w:sz w:val="24"/>
          <w:lang w:val="en-US" w:eastAsia="zh-CN"/>
        </w:rPr>
        <w:t>0.64</w:t>
      </w:r>
      <w:r>
        <w:rPr>
          <w:rFonts w:hint="eastAsia" w:ascii="宋体" w:hAnsi="宋体" w:eastAsia="宋体" w:cs="宋体"/>
          <w:bCs/>
          <w:sz w:val="24"/>
        </w:rPr>
        <w:t>%。</w:t>
      </w:r>
    </w:p>
    <w:p>
      <w:pPr>
        <w:jc w:val="center"/>
        <w:rPr>
          <w:rFonts w:hint="eastAsia" w:ascii="宋体" w:hAnsi="宋体" w:eastAsia="宋体" w:cs="宋体"/>
          <w:b/>
          <w:sz w:val="24"/>
        </w:rPr>
      </w:pPr>
      <w:r>
        <w:rPr>
          <w:rFonts w:hint="eastAsia" w:ascii="宋体" w:hAnsi="宋体" w:eastAsia="宋体" w:cs="宋体"/>
          <w:b/>
          <w:sz w:val="24"/>
        </w:rPr>
        <w:t xml:space="preserve">表2.5: </w:t>
      </w:r>
      <w:r>
        <w:rPr>
          <w:rFonts w:hint="eastAsia" w:ascii="宋体" w:hAnsi="宋体" w:cs="宋体"/>
          <w:b/>
          <w:sz w:val="24"/>
          <w:lang w:val="en-US" w:eastAsia="zh-CN"/>
        </w:rPr>
        <w:t>2020</w:t>
      </w:r>
      <w:r>
        <w:rPr>
          <w:rFonts w:hint="eastAsia" w:ascii="宋体" w:hAnsi="宋体" w:eastAsia="宋体" w:cs="宋体"/>
          <w:b/>
          <w:sz w:val="24"/>
        </w:rPr>
        <w:t>届毕业生去向分布</w:t>
      </w:r>
    </w:p>
    <w:p>
      <w:pPr>
        <w:spacing w:line="360" w:lineRule="auto"/>
        <w:jc w:val="center"/>
        <w:rPr>
          <w:rFonts w:ascii="??_GB2312" w:eastAsia="Times New Roman"/>
          <w:bCs/>
          <w:sz w:val="24"/>
        </w:rPr>
      </w:pPr>
      <w:r>
        <w:rPr>
          <w:rFonts w:ascii="宋体"/>
          <w:sz w:val="24"/>
          <w:bdr w:val="single" w:color="auto" w:sz="4" w:space="0"/>
        </w:rPr>
        <w:t xml:space="preserve"> </w:t>
      </w:r>
      <w:r>
        <w:rPr>
          <w:rFonts w:ascii="宋体"/>
          <w:sz w:val="24"/>
          <w:bdr w:val="single" w:color="auto" w:sz="4" w:space="0"/>
        </w:rPr>
        <w:object>
          <v:shape id="_x0000_i1027" o:spt="75" type="#_x0000_t75" style="height:292.15pt;width:404pt;" o:ole="t" filled="f" o:preferrelative="t" stroked="f" coordsize="21600,21600">
            <v:path/>
            <v:fill on="f" focussize="0,0"/>
            <v:stroke on="f"/>
            <v:imagedata r:id="rId18" cropleft="-6605f" croptop="-4240f" cropright="-5517f" cropbottom="-6222f" o:title=""/>
            <o:lock v:ext="edit" aspectratio="f"/>
            <w10:wrap type="none"/>
            <w10:anchorlock/>
          </v:shape>
          <o:OLEObject Type="Embed" ProgID="Excel.Sheet.8" ShapeID="_x0000_i1027" DrawAspect="Content" ObjectID="_1468075727" r:id="rId17">
            <o:LockedField>false</o:LockedField>
          </o:OLEObject>
        </w:object>
      </w: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从以上数据来看，我院毕业生就业流向主要集中在中小型企业，这与国家近年来大力引导鼓励毕业生到中小微企业等就业是有着内在联系。基层就业和自主创业毕业生占有率有所上升，这说明我院加强基层项目和自主创业政策宣传取得了显著效果。另外我院</w:t>
      </w:r>
      <w:r>
        <w:rPr>
          <w:rFonts w:hint="eastAsia" w:ascii="宋体" w:hAnsi="宋体" w:cs="宋体"/>
          <w:bCs/>
          <w:sz w:val="24"/>
          <w:lang w:val="en-US" w:eastAsia="zh-CN"/>
        </w:rPr>
        <w:t>2020</w:t>
      </w:r>
      <w:r>
        <w:rPr>
          <w:rFonts w:hint="eastAsia" w:ascii="宋体" w:hAnsi="宋体" w:eastAsia="宋体" w:cs="宋体"/>
          <w:bCs/>
          <w:sz w:val="24"/>
        </w:rPr>
        <w:t>届毕业生就业流向呈现一个新的特点，就是中小企业占比降低，国企、机关事业单位、基层项目人员占比升高，预示着我院就业质量的大幅提高。</w:t>
      </w:r>
    </w:p>
    <w:p>
      <w:pPr>
        <w:pStyle w:val="3"/>
        <w:numPr>
          <w:ilvl w:val="0"/>
          <w:numId w:val="5"/>
        </w:numPr>
        <w:tabs>
          <w:tab w:val="left" w:pos="720"/>
        </w:tabs>
        <w:spacing w:line="360" w:lineRule="auto"/>
      </w:pPr>
      <w:bookmarkStart w:id="60" w:name="_Toc504614051"/>
      <w:bookmarkStart w:id="61" w:name="_Toc436748523"/>
      <w:r>
        <w:rPr>
          <w:rFonts w:hint="eastAsia"/>
        </w:rPr>
        <w:t>未就业毕业生情况说明</w:t>
      </w:r>
      <w:bookmarkEnd w:id="60"/>
      <w:bookmarkEnd w:id="61"/>
    </w:p>
    <w:p>
      <w:pPr>
        <w:spacing w:line="360" w:lineRule="auto"/>
        <w:ind w:firstLine="480" w:firstLineChars="200"/>
        <w:rPr>
          <w:rFonts w:hint="eastAsia" w:ascii="宋体" w:hAnsi="宋体" w:eastAsia="宋体" w:cs="宋体"/>
          <w:sz w:val="24"/>
        </w:rPr>
      </w:pPr>
      <w:r>
        <w:rPr>
          <w:rFonts w:hint="eastAsia" w:ascii="宋体" w:hAnsi="宋体" w:eastAsia="宋体" w:cs="宋体"/>
          <w:bCs/>
          <w:sz w:val="24"/>
        </w:rPr>
        <w:t>根据《内蒙古大学创业学院</w:t>
      </w:r>
      <w:r>
        <w:rPr>
          <w:rFonts w:hint="eastAsia" w:ascii="宋体" w:hAnsi="宋体" w:cs="宋体"/>
          <w:bCs/>
          <w:sz w:val="24"/>
          <w:lang w:val="en-US" w:eastAsia="zh-CN"/>
        </w:rPr>
        <w:t>2020</w:t>
      </w:r>
      <w:r>
        <w:rPr>
          <w:rFonts w:hint="eastAsia" w:ascii="宋体" w:hAnsi="宋体" w:eastAsia="宋体" w:cs="宋体"/>
          <w:bCs/>
          <w:sz w:val="24"/>
        </w:rPr>
        <w:t>届未就业毕业生信息台账》，截止到</w:t>
      </w:r>
      <w:r>
        <w:rPr>
          <w:rFonts w:hint="eastAsia" w:ascii="宋体" w:hAnsi="宋体" w:cs="宋体"/>
          <w:bCs/>
          <w:sz w:val="24"/>
          <w:lang w:val="en-US" w:eastAsia="zh-CN"/>
        </w:rPr>
        <w:t>2020</w:t>
      </w:r>
      <w:r>
        <w:rPr>
          <w:rFonts w:hint="eastAsia" w:ascii="宋体" w:hAnsi="宋体" w:eastAsia="宋体" w:cs="宋体"/>
          <w:bCs/>
          <w:sz w:val="24"/>
        </w:rPr>
        <w:t>年9月1日，</w:t>
      </w:r>
      <w:r>
        <w:rPr>
          <w:rFonts w:hint="eastAsia" w:ascii="宋体" w:hAnsi="宋体" w:cs="宋体"/>
          <w:bCs/>
          <w:sz w:val="24"/>
        </w:rPr>
        <w:t>20</w:t>
      </w:r>
      <w:r>
        <w:rPr>
          <w:rFonts w:hint="eastAsia" w:ascii="宋体" w:hAnsi="宋体" w:cs="宋体"/>
          <w:bCs/>
          <w:sz w:val="24"/>
          <w:lang w:val="en-US" w:eastAsia="zh-CN"/>
        </w:rPr>
        <w:t>20</w:t>
      </w:r>
      <w:r>
        <w:rPr>
          <w:rFonts w:hint="eastAsia" w:ascii="宋体" w:hAnsi="宋体" w:eastAsia="宋体" w:cs="宋体"/>
          <w:bCs/>
          <w:sz w:val="24"/>
        </w:rPr>
        <w:t>届未就业毕业生人数共计</w:t>
      </w:r>
      <w:r>
        <w:rPr>
          <w:rFonts w:hint="eastAsia" w:ascii="宋体" w:hAnsi="宋体" w:cs="宋体"/>
          <w:bCs/>
          <w:sz w:val="24"/>
          <w:lang w:val="en-US" w:eastAsia="zh-CN"/>
        </w:rPr>
        <w:t>699</w:t>
      </w:r>
      <w:r>
        <w:rPr>
          <w:rFonts w:hint="eastAsia" w:ascii="宋体" w:hAnsi="宋体" w:eastAsia="宋体" w:cs="宋体"/>
          <w:bCs/>
          <w:sz w:val="24"/>
        </w:rPr>
        <w:t>人，通过进一步调查未就业原因。最终统计结果如下图：</w:t>
      </w:r>
    </w:p>
    <w:p>
      <w:pPr>
        <w:spacing w:line="360" w:lineRule="auto"/>
        <w:jc w:val="center"/>
        <w:rPr>
          <w:rFonts w:hint="eastAsia" w:ascii="宋体" w:hAnsi="宋体" w:eastAsia="宋体" w:cs="宋体"/>
          <w:b/>
          <w:sz w:val="24"/>
        </w:rPr>
      </w:pPr>
      <w:r>
        <w:rPr>
          <w:rFonts w:hint="eastAsia" w:ascii="宋体" w:hAnsi="宋体" w:eastAsia="宋体" w:cs="宋体"/>
          <w:b/>
          <w:sz w:val="24"/>
        </w:rPr>
        <w:t xml:space="preserve">表2.8: </w:t>
      </w:r>
      <w:r>
        <w:rPr>
          <w:rFonts w:hint="eastAsia" w:ascii="宋体" w:hAnsi="宋体" w:cs="宋体"/>
          <w:b/>
          <w:sz w:val="24"/>
        </w:rPr>
        <w:t>20</w:t>
      </w:r>
      <w:r>
        <w:rPr>
          <w:rFonts w:hint="eastAsia" w:ascii="宋体" w:hAnsi="宋体" w:cs="宋体"/>
          <w:b/>
          <w:sz w:val="24"/>
          <w:lang w:val="en-US" w:eastAsia="zh-CN"/>
        </w:rPr>
        <w:t>20</w:t>
      </w:r>
      <w:r>
        <w:rPr>
          <w:rFonts w:hint="eastAsia" w:ascii="宋体" w:hAnsi="宋体" w:eastAsia="宋体" w:cs="宋体"/>
          <w:b/>
          <w:sz w:val="24"/>
        </w:rPr>
        <w:t>届毕业生未就业原因</w:t>
      </w:r>
    </w:p>
    <w:p>
      <w:pPr>
        <w:spacing w:line="360" w:lineRule="auto"/>
        <w:jc w:val="center"/>
        <w:rPr>
          <w:rFonts w:ascii="??_GB2312" w:eastAsia="Times New Roman"/>
          <w:b/>
          <w:sz w:val="24"/>
        </w:rPr>
      </w:pPr>
      <w:r>
        <w:rPr>
          <w:rFonts w:ascii="??_GB2312" w:eastAsia="Times New Roman"/>
          <w:b/>
          <w:sz w:val="24"/>
          <w:bdr w:val="single" w:color="auto" w:sz="4" w:space="0"/>
        </w:rPr>
        <w:object>
          <v:shape id="_x0000_i1028" o:spt="75" type="#_x0000_t75" style="height:330.2pt;width:442.55pt;" o:ole="t" filled="f" o:preferrelative="t" stroked="f" coordsize="21600,21600">
            <v:path/>
            <v:fill on="f" focussize="0,0"/>
            <v:stroke on="f"/>
            <v:imagedata r:id="rId20" cropleft="-7006f" croptop="-4458f" cropright="-3337f" cropbottom="-5058f" o:title=""/>
            <o:lock v:ext="edit" aspectratio="f"/>
            <w10:wrap type="none"/>
            <w10:anchorlock/>
          </v:shape>
          <o:OLEObject Type="Embed" ProgID="Excel.Sheet.8" ShapeID="_x0000_i1028" DrawAspect="Content" ObjectID="_1468075728" r:id="rId19">
            <o:LockedField>false</o:LockedField>
          </o:OLEObject>
        </w:object>
      </w:r>
    </w:p>
    <w:p>
      <w:pPr>
        <w:spacing w:line="360" w:lineRule="auto"/>
        <w:rPr>
          <w:sz w:val="24"/>
        </w:rPr>
      </w:pPr>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从上图可以看出，截止</w:t>
      </w:r>
      <w:r>
        <w:rPr>
          <w:rFonts w:hint="eastAsia" w:ascii="宋体" w:hAnsi="宋体" w:cs="宋体"/>
          <w:bCs/>
          <w:sz w:val="24"/>
          <w:lang w:val="en-US" w:eastAsia="zh-CN"/>
        </w:rPr>
        <w:t>2020</w:t>
      </w:r>
      <w:r>
        <w:rPr>
          <w:rFonts w:hint="eastAsia" w:ascii="宋体" w:hAnsi="宋体" w:eastAsia="宋体" w:cs="宋体"/>
          <w:bCs/>
          <w:sz w:val="24"/>
        </w:rPr>
        <w:t>年9月1日，我院</w:t>
      </w:r>
      <w:r>
        <w:rPr>
          <w:rFonts w:hint="eastAsia" w:ascii="宋体" w:hAnsi="宋体" w:cs="宋体"/>
          <w:bCs/>
          <w:sz w:val="24"/>
          <w:lang w:val="en-US" w:eastAsia="zh-CN"/>
        </w:rPr>
        <w:t>2020</w:t>
      </w:r>
      <w:r>
        <w:rPr>
          <w:rFonts w:hint="eastAsia" w:ascii="宋体" w:hAnsi="宋体" w:eastAsia="宋体" w:cs="宋体"/>
          <w:bCs/>
          <w:sz w:val="24"/>
        </w:rPr>
        <w:t>届毕业生有</w:t>
      </w:r>
      <w:r>
        <w:rPr>
          <w:rFonts w:hint="eastAsia" w:ascii="宋体" w:hAnsi="宋体" w:cs="宋体"/>
          <w:bCs/>
          <w:sz w:val="24"/>
          <w:lang w:val="en-US" w:eastAsia="zh-CN"/>
        </w:rPr>
        <w:t>150</w:t>
      </w:r>
      <w:r>
        <w:rPr>
          <w:rFonts w:hint="eastAsia" w:ascii="宋体" w:hAnsi="宋体" w:eastAsia="宋体" w:cs="宋体"/>
          <w:bCs/>
          <w:sz w:val="24"/>
        </w:rPr>
        <w:t>人已确定就业意向，准备正式签订协议或合同，属于“签约中”；有</w:t>
      </w:r>
      <w:r>
        <w:rPr>
          <w:rFonts w:hint="eastAsia" w:ascii="宋体" w:hAnsi="宋体" w:cs="宋体"/>
          <w:bCs/>
          <w:sz w:val="24"/>
          <w:lang w:val="en-US" w:eastAsia="zh-CN"/>
        </w:rPr>
        <w:t>240</w:t>
      </w:r>
      <w:r>
        <w:rPr>
          <w:rFonts w:hint="eastAsia" w:ascii="宋体" w:hAnsi="宋体" w:eastAsia="宋体" w:cs="宋体"/>
          <w:bCs/>
          <w:sz w:val="24"/>
        </w:rPr>
        <w:t>人正在择业，尚未落实工作单位，属于“求职中”；有</w:t>
      </w:r>
      <w:r>
        <w:rPr>
          <w:rFonts w:hint="eastAsia" w:ascii="宋体" w:hAnsi="宋体" w:cs="宋体"/>
          <w:bCs/>
          <w:sz w:val="24"/>
          <w:lang w:val="en-US" w:eastAsia="zh-CN"/>
        </w:rPr>
        <w:t>212</w:t>
      </w:r>
      <w:r>
        <w:rPr>
          <w:rFonts w:hint="eastAsia" w:ascii="宋体" w:hAnsi="宋体" w:eastAsia="宋体" w:cs="宋体"/>
          <w:bCs/>
          <w:sz w:val="24"/>
        </w:rPr>
        <w:t>人“拟参加共招考试”；</w:t>
      </w:r>
      <w:r>
        <w:rPr>
          <w:rFonts w:hint="eastAsia" w:ascii="宋体" w:hAnsi="宋体" w:cs="宋体"/>
          <w:bCs/>
          <w:sz w:val="24"/>
          <w:lang w:val="en-US" w:eastAsia="zh-CN"/>
        </w:rPr>
        <w:t>6</w:t>
      </w:r>
      <w:r>
        <w:rPr>
          <w:rFonts w:hint="eastAsia" w:ascii="宋体" w:hAnsi="宋体" w:eastAsia="宋体" w:cs="宋体"/>
          <w:bCs/>
          <w:sz w:val="24"/>
        </w:rPr>
        <w:t>人“拟创业”；</w:t>
      </w:r>
      <w:r>
        <w:rPr>
          <w:rFonts w:hint="eastAsia" w:ascii="宋体" w:hAnsi="宋体" w:cs="宋体"/>
          <w:bCs/>
          <w:sz w:val="24"/>
          <w:lang w:val="en-US" w:eastAsia="zh-CN"/>
        </w:rPr>
        <w:t>9</w:t>
      </w:r>
      <w:r>
        <w:rPr>
          <w:rFonts w:hint="eastAsia" w:ascii="宋体" w:hAnsi="宋体" w:eastAsia="宋体" w:cs="宋体"/>
          <w:bCs/>
          <w:sz w:val="24"/>
        </w:rPr>
        <w:t>人“拟参军、基层项目”；</w:t>
      </w:r>
      <w:r>
        <w:rPr>
          <w:rFonts w:hint="eastAsia" w:ascii="宋体" w:hAnsi="宋体" w:cs="宋体"/>
          <w:bCs/>
          <w:sz w:val="24"/>
          <w:lang w:val="en-US" w:eastAsia="zh-CN"/>
        </w:rPr>
        <w:t>60</w:t>
      </w:r>
      <w:r>
        <w:rPr>
          <w:rFonts w:hint="eastAsia" w:ascii="宋体" w:hAnsi="宋体" w:eastAsia="宋体" w:cs="宋体"/>
          <w:bCs/>
          <w:sz w:val="24"/>
        </w:rPr>
        <w:t>人在准备升学考试；</w:t>
      </w:r>
      <w:r>
        <w:rPr>
          <w:rFonts w:hint="eastAsia" w:ascii="宋体" w:hAnsi="宋体" w:cs="宋体"/>
          <w:bCs/>
          <w:sz w:val="24"/>
          <w:lang w:val="en-US" w:eastAsia="zh-CN"/>
        </w:rPr>
        <w:t>2</w:t>
      </w:r>
      <w:r>
        <w:rPr>
          <w:rFonts w:hint="eastAsia" w:ascii="宋体" w:hAnsi="宋体" w:eastAsia="宋体" w:cs="宋体"/>
          <w:bCs/>
          <w:sz w:val="24"/>
        </w:rPr>
        <w:t xml:space="preserve">人准备出国； </w:t>
      </w:r>
      <w:r>
        <w:rPr>
          <w:rFonts w:hint="eastAsia" w:ascii="宋体" w:hAnsi="宋体" w:cs="宋体"/>
          <w:bCs/>
          <w:sz w:val="24"/>
          <w:lang w:val="en-US" w:eastAsia="zh-CN"/>
        </w:rPr>
        <w:t>20</w:t>
      </w:r>
      <w:r>
        <w:rPr>
          <w:rFonts w:hint="eastAsia" w:ascii="宋体" w:hAnsi="宋体" w:eastAsia="宋体" w:cs="宋体"/>
          <w:bCs/>
          <w:sz w:val="24"/>
        </w:rPr>
        <w:t>人暂时不想就业。学院就业工作人员及</w:t>
      </w:r>
      <w:r>
        <w:rPr>
          <w:rFonts w:hint="eastAsia" w:ascii="宋体" w:hAnsi="宋体" w:cs="宋体"/>
          <w:bCs/>
          <w:sz w:val="24"/>
        </w:rPr>
        <w:t>各二级学院</w:t>
      </w:r>
      <w:r>
        <w:rPr>
          <w:rFonts w:hint="eastAsia" w:ascii="宋体" w:hAnsi="宋体" w:eastAsia="宋体" w:cs="宋体"/>
          <w:bCs/>
          <w:sz w:val="24"/>
        </w:rPr>
        <w:t>负责老师针对“未找到合适工作”毕业生，进行了“一对一”谈话及指导，实施了就业帮扶工作。</w:t>
      </w:r>
    </w:p>
    <w:p>
      <w:pPr>
        <w:spacing w:line="360" w:lineRule="auto"/>
        <w:ind w:firstLine="480" w:firstLineChars="200"/>
        <w:rPr>
          <w:rFonts w:hint="eastAsia" w:ascii="宋体" w:hAnsi="宋体" w:eastAsia="宋体" w:cs="宋体"/>
          <w:bCs/>
          <w:sz w:val="24"/>
        </w:rPr>
      </w:pPr>
    </w:p>
    <w:p>
      <w:pPr>
        <w:spacing w:line="360" w:lineRule="auto"/>
        <w:ind w:firstLine="480" w:firstLineChars="200"/>
        <w:rPr>
          <w:rFonts w:hint="eastAsia" w:ascii="宋体" w:hAnsi="宋体" w:eastAsia="宋体" w:cs="宋体"/>
          <w:bCs/>
          <w:sz w:val="24"/>
        </w:rPr>
      </w:pPr>
    </w:p>
    <w:p>
      <w:pPr>
        <w:spacing w:line="360" w:lineRule="auto"/>
        <w:ind w:firstLine="480" w:firstLineChars="200"/>
        <w:rPr>
          <w:rFonts w:hint="eastAsia" w:ascii="宋体" w:hAnsi="宋体" w:eastAsia="宋体" w:cs="宋体"/>
          <w:bCs/>
          <w:sz w:val="24"/>
        </w:rPr>
      </w:pPr>
    </w:p>
    <w:p>
      <w:pPr>
        <w:spacing w:line="360" w:lineRule="auto"/>
        <w:ind w:firstLine="480" w:firstLineChars="200"/>
        <w:rPr>
          <w:rFonts w:hint="eastAsia" w:ascii="宋体" w:hAnsi="宋体" w:eastAsia="宋体" w:cs="宋体"/>
          <w:bCs/>
          <w:sz w:val="24"/>
        </w:rPr>
      </w:pPr>
    </w:p>
    <w:p>
      <w:pPr>
        <w:spacing w:line="360" w:lineRule="auto"/>
        <w:ind w:firstLine="480" w:firstLineChars="200"/>
        <w:rPr>
          <w:rFonts w:hint="eastAsia" w:ascii="宋体" w:hAnsi="宋体" w:eastAsia="宋体" w:cs="宋体"/>
          <w:bCs/>
          <w:sz w:val="24"/>
        </w:rPr>
      </w:pPr>
    </w:p>
    <w:p>
      <w:pPr>
        <w:pStyle w:val="2"/>
        <w:numPr>
          <w:ilvl w:val="0"/>
          <w:numId w:val="4"/>
        </w:numPr>
        <w:jc w:val="center"/>
        <w:rPr>
          <w:rFonts w:ascii="黑体" w:eastAsia="黑体"/>
          <w:color w:val="000000"/>
          <w:sz w:val="32"/>
          <w:szCs w:val="32"/>
        </w:rPr>
      </w:pPr>
      <w:bookmarkStart w:id="62" w:name="_Toc436746489"/>
      <w:bookmarkStart w:id="63" w:name="_Toc436646025"/>
      <w:bookmarkStart w:id="64" w:name="_Toc436645682"/>
      <w:bookmarkStart w:id="65" w:name="_Toc436646504"/>
      <w:bookmarkStart w:id="66" w:name="_Toc436646043"/>
      <w:bookmarkStart w:id="67" w:name="_Toc436645714"/>
      <w:bookmarkStart w:id="68" w:name="_Toc436748535"/>
      <w:bookmarkStart w:id="69" w:name="_Toc436645839"/>
      <w:bookmarkStart w:id="70" w:name="_Toc436646460"/>
      <w:bookmarkStart w:id="71" w:name="_Toc504614052"/>
      <w:bookmarkStart w:id="72" w:name="_Toc436646441"/>
      <w:r>
        <w:rPr>
          <w:rFonts w:hint="eastAsia" w:ascii="黑体" w:eastAsia="黑体"/>
          <w:color w:val="000000"/>
          <w:sz w:val="32"/>
          <w:szCs w:val="32"/>
        </w:rPr>
        <w:t>：毕业生就业质量分析</w:t>
      </w:r>
      <w:bookmarkEnd w:id="62"/>
      <w:bookmarkEnd w:id="63"/>
      <w:bookmarkEnd w:id="64"/>
      <w:bookmarkEnd w:id="65"/>
      <w:bookmarkEnd w:id="66"/>
      <w:bookmarkEnd w:id="67"/>
      <w:bookmarkEnd w:id="68"/>
      <w:bookmarkEnd w:id="69"/>
      <w:bookmarkEnd w:id="70"/>
      <w:bookmarkEnd w:id="71"/>
      <w:bookmarkEnd w:id="72"/>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为深入了解我院</w:t>
      </w:r>
      <w:r>
        <w:rPr>
          <w:rFonts w:hint="eastAsia" w:ascii="宋体" w:hAnsi="宋体" w:cs="宋体"/>
          <w:sz w:val="24"/>
          <w:lang w:val="en-US" w:eastAsia="zh-CN"/>
        </w:rPr>
        <w:t>2020</w:t>
      </w:r>
      <w:r>
        <w:rPr>
          <w:rFonts w:hint="eastAsia" w:ascii="宋体" w:hAnsi="宋体" w:eastAsia="宋体" w:cs="宋体"/>
          <w:sz w:val="24"/>
        </w:rPr>
        <w:t>届高校毕业生离校后就业状况，进一步提升毕业生就业创业指导与服务工作针对性，征集用人单位对人才培养、专业建设、课程设置等方面的建议，我院分别针对用人单位和毕业生展开了一系列调研活动，包括</w:t>
      </w:r>
      <w:r>
        <w:rPr>
          <w:rFonts w:hint="eastAsia" w:ascii="宋体" w:hAnsi="宋体" w:cs="宋体"/>
          <w:sz w:val="24"/>
          <w:lang w:val="en-US" w:eastAsia="zh-CN"/>
        </w:rPr>
        <w:t>2020</w:t>
      </w:r>
      <w:r>
        <w:rPr>
          <w:rFonts w:hint="eastAsia" w:ascii="宋体" w:hAnsi="宋体" w:eastAsia="宋体" w:cs="宋体"/>
          <w:sz w:val="24"/>
        </w:rPr>
        <w:t>年5月开展的毕业生工作满意度调研（实地走访），</w:t>
      </w:r>
      <w:r>
        <w:rPr>
          <w:rFonts w:hint="eastAsia" w:ascii="宋体" w:hAnsi="宋体" w:cs="宋体"/>
          <w:sz w:val="24"/>
          <w:lang w:val="en-US" w:eastAsia="zh-CN"/>
        </w:rPr>
        <w:t>2020</w:t>
      </w:r>
      <w:r>
        <w:rPr>
          <w:rFonts w:hint="eastAsia" w:ascii="宋体" w:hAnsi="宋体" w:eastAsia="宋体" w:cs="宋体"/>
          <w:sz w:val="24"/>
        </w:rPr>
        <w:t>年11月开展的校园招聘会调研（针对用人单位），以及</w:t>
      </w:r>
      <w:r>
        <w:rPr>
          <w:rFonts w:hint="eastAsia" w:ascii="宋体" w:hAnsi="宋体" w:cs="宋体"/>
          <w:sz w:val="24"/>
          <w:lang w:val="en-US" w:eastAsia="zh-CN"/>
        </w:rPr>
        <w:t>2020</w:t>
      </w:r>
      <w:r>
        <w:rPr>
          <w:rFonts w:hint="eastAsia" w:ascii="宋体" w:hAnsi="宋体" w:eastAsia="宋体" w:cs="宋体"/>
          <w:sz w:val="24"/>
        </w:rPr>
        <w:t>年11月-12月开展的“</w:t>
      </w:r>
      <w:r>
        <w:rPr>
          <w:rFonts w:hint="eastAsia" w:ascii="宋体" w:hAnsi="宋体" w:cs="宋体"/>
          <w:sz w:val="24"/>
          <w:lang w:val="en-US" w:eastAsia="zh-CN"/>
        </w:rPr>
        <w:t>2020</w:t>
      </w:r>
      <w:r>
        <w:rPr>
          <w:rFonts w:hint="eastAsia" w:ascii="宋体" w:hAnsi="宋体" w:eastAsia="宋体" w:cs="宋体"/>
          <w:sz w:val="24"/>
        </w:rPr>
        <w:t>届毕业生就业状况跟踪调查”活动。实地回访调研活动中，</w:t>
      </w:r>
      <w:r>
        <w:rPr>
          <w:rFonts w:hint="eastAsia" w:ascii="宋体" w:hAnsi="宋体" w:cs="宋体"/>
          <w:sz w:val="24"/>
        </w:rPr>
        <w:t>招生与就业服务中心</w:t>
      </w:r>
      <w:r>
        <w:rPr>
          <w:rFonts w:hint="eastAsia" w:ascii="宋体" w:hAnsi="宋体" w:eastAsia="宋体" w:cs="宋体"/>
          <w:sz w:val="24"/>
        </w:rPr>
        <w:t>老师及各</w:t>
      </w:r>
      <w:r>
        <w:rPr>
          <w:rFonts w:hint="eastAsia" w:ascii="宋体" w:hAnsi="宋体" w:cs="宋体"/>
          <w:sz w:val="24"/>
        </w:rPr>
        <w:t>二级学院</w:t>
      </w:r>
      <w:r>
        <w:rPr>
          <w:rFonts w:hint="eastAsia" w:ascii="宋体" w:hAnsi="宋体" w:eastAsia="宋体" w:cs="宋体"/>
          <w:sz w:val="24"/>
        </w:rPr>
        <w:t>负责教师从乌海市、巴彦淖尔市等毕业生就业地回收《内蒙古大学创业学院毕业生工作满意度调查表》19份，走访用人单位7家；《</w:t>
      </w:r>
      <w:r>
        <w:rPr>
          <w:rFonts w:hint="eastAsia" w:ascii="宋体" w:hAnsi="宋体" w:cs="宋体"/>
          <w:sz w:val="24"/>
          <w:lang w:val="en-US" w:eastAsia="zh-CN"/>
        </w:rPr>
        <w:t>2020</w:t>
      </w:r>
      <w:r>
        <w:rPr>
          <w:rFonts w:hint="eastAsia" w:ascii="宋体" w:hAnsi="宋体" w:eastAsia="宋体" w:cs="宋体"/>
          <w:sz w:val="24"/>
        </w:rPr>
        <w:t>年毕业生秋季校园招聘会调查问卷》共回收111份，涉及到本次招聘会118家用人单位中的111家用人单位，回收率为94.1%；“</w:t>
      </w:r>
      <w:r>
        <w:rPr>
          <w:rFonts w:hint="eastAsia" w:ascii="宋体" w:hAnsi="宋体" w:cs="宋体"/>
          <w:sz w:val="24"/>
          <w:lang w:val="en-US" w:eastAsia="zh-CN"/>
        </w:rPr>
        <w:t>2020</w:t>
      </w:r>
      <w:r>
        <w:rPr>
          <w:rFonts w:hint="eastAsia" w:ascii="宋体" w:hAnsi="宋体" w:eastAsia="宋体" w:cs="宋体"/>
          <w:sz w:val="24"/>
        </w:rPr>
        <w:t>届毕业生的就业状况展开了跟踪调研”有效回收率为62.53%，共采集到我院</w:t>
      </w:r>
      <w:r>
        <w:rPr>
          <w:rFonts w:hint="eastAsia" w:ascii="宋体" w:hAnsi="宋体" w:cs="宋体"/>
          <w:sz w:val="24"/>
          <w:lang w:val="en-US" w:eastAsia="zh-CN"/>
        </w:rPr>
        <w:t>1024</w:t>
      </w:r>
      <w:r>
        <w:rPr>
          <w:rFonts w:hint="eastAsia" w:ascii="宋体" w:hAnsi="宋体" w:eastAsia="宋体" w:cs="宋体"/>
          <w:sz w:val="24"/>
        </w:rPr>
        <w:t>名</w:t>
      </w:r>
      <w:r>
        <w:rPr>
          <w:rFonts w:hint="eastAsia" w:ascii="宋体" w:hAnsi="宋体" w:cs="宋体"/>
          <w:sz w:val="24"/>
          <w:lang w:val="en-US" w:eastAsia="zh-CN"/>
        </w:rPr>
        <w:t>2020</w:t>
      </w:r>
      <w:r>
        <w:rPr>
          <w:rFonts w:hint="eastAsia" w:ascii="宋体" w:hAnsi="宋体" w:eastAsia="宋体" w:cs="宋体"/>
          <w:sz w:val="24"/>
        </w:rPr>
        <w:t>届毕业生样本。这些调研活动为我院</w:t>
      </w:r>
      <w:r>
        <w:rPr>
          <w:rFonts w:hint="eastAsia" w:ascii="宋体" w:hAnsi="宋体" w:cs="宋体"/>
          <w:sz w:val="24"/>
          <w:lang w:val="en-US" w:eastAsia="zh-CN"/>
        </w:rPr>
        <w:t>2020</w:t>
      </w:r>
      <w:r>
        <w:rPr>
          <w:rFonts w:hint="eastAsia" w:ascii="宋体" w:hAnsi="宋体" w:eastAsia="宋体" w:cs="宋体"/>
          <w:sz w:val="24"/>
        </w:rPr>
        <w:t>年的就业质量评估提供了样本和数据支持。</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本次就业质量评估分为就业质量分析和就业质量评价两部分，就业质量指标包括毕业生薪酬、专业相关度、就业现状满意度以及就业服务满意度等四个要素；就业质量评价指用人单位和人才市场对我院就业服务的评价。</w:t>
      </w:r>
    </w:p>
    <w:p>
      <w:pPr>
        <w:pStyle w:val="3"/>
        <w:numPr>
          <w:ilvl w:val="0"/>
          <w:numId w:val="7"/>
        </w:numPr>
        <w:spacing w:line="360" w:lineRule="auto"/>
      </w:pPr>
      <w:bookmarkStart w:id="73" w:name="_Toc504614053"/>
      <w:r>
        <w:rPr>
          <w:rFonts w:hint="eastAsia"/>
          <w:sz w:val="30"/>
          <w:szCs w:val="30"/>
        </w:rPr>
        <w:t>就业质量分析</w:t>
      </w:r>
      <w:bookmarkEnd w:id="73"/>
    </w:p>
    <w:p>
      <w:pPr>
        <w:pStyle w:val="4"/>
        <w:numPr>
          <w:ilvl w:val="0"/>
          <w:numId w:val="8"/>
        </w:numPr>
        <w:tabs>
          <w:tab w:val="left" w:pos="540"/>
          <w:tab w:val="clear" w:pos="982"/>
        </w:tabs>
        <w:spacing w:line="360" w:lineRule="auto"/>
        <w:ind w:hanging="802"/>
        <w:rPr>
          <w:rFonts w:ascii="宋体"/>
          <w:sz w:val="28"/>
          <w:szCs w:val="28"/>
        </w:rPr>
      </w:pPr>
      <w:r>
        <w:rPr>
          <w:rFonts w:hint="eastAsia" w:ascii="宋体" w:hAnsi="宋体"/>
          <w:sz w:val="28"/>
          <w:szCs w:val="28"/>
        </w:rPr>
        <w:t>毕业生工作与专业相关度</w:t>
      </w:r>
    </w:p>
    <w:p>
      <w:pPr>
        <w:spacing w:line="360" w:lineRule="auto"/>
        <w:ind w:firstLine="1771" w:firstLineChars="735"/>
        <w:rPr>
          <w:rFonts w:hint="eastAsia" w:ascii="宋体" w:hAnsi="宋体" w:cs="宋体"/>
        </w:rPr>
      </w:pPr>
      <w:r>
        <w:rPr>
          <w:rFonts w:hint="eastAsia" w:ascii="宋体" w:hAnsi="宋体" w:eastAsia="宋体" w:cs="宋体"/>
          <w:b/>
          <w:sz w:val="24"/>
        </w:rPr>
        <w:t>表3.2: 各</w:t>
      </w:r>
      <w:r>
        <w:rPr>
          <w:rFonts w:hint="eastAsia" w:ascii="宋体" w:hAnsi="宋体" w:cs="宋体"/>
          <w:b/>
          <w:sz w:val="24"/>
        </w:rPr>
        <w:t>二级学院</w:t>
      </w:r>
      <w:r>
        <w:rPr>
          <w:rFonts w:hint="eastAsia" w:ascii="宋体" w:hAnsi="宋体" w:eastAsia="宋体" w:cs="宋体"/>
          <w:b/>
          <w:sz w:val="24"/>
        </w:rPr>
        <w:t>与专业毕业生工作相关度</w:t>
      </w:r>
    </w:p>
    <w:tbl>
      <w:tblPr>
        <w:tblStyle w:val="20"/>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34"/>
        <w:gridCol w:w="246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268" w:type="dxa"/>
            <w:shd w:val="clear" w:color="auto" w:fill="9999FF"/>
            <w:vAlign w:val="center"/>
          </w:tcPr>
          <w:p>
            <w:pPr>
              <w:spacing w:line="360" w:lineRule="auto"/>
              <w:jc w:val="center"/>
              <w:rPr>
                <w:rFonts w:hint="eastAsia" w:ascii="宋体" w:hAnsi="宋体" w:cs="宋体"/>
                <w:b/>
                <w:sz w:val="24"/>
              </w:rPr>
            </w:pPr>
            <w:r>
              <w:rPr>
                <w:rFonts w:hint="eastAsia" w:ascii="宋体" w:hAnsi="宋体" w:cs="宋体"/>
                <w:b/>
                <w:sz w:val="24"/>
              </w:rPr>
              <w:t>二级学院</w:t>
            </w:r>
          </w:p>
        </w:tc>
        <w:tc>
          <w:tcPr>
            <w:tcW w:w="2034" w:type="dxa"/>
            <w:shd w:val="clear" w:color="auto" w:fill="9999FF"/>
            <w:vAlign w:val="center"/>
          </w:tcPr>
          <w:p>
            <w:pPr>
              <w:spacing w:line="360" w:lineRule="auto"/>
              <w:jc w:val="center"/>
              <w:rPr>
                <w:rFonts w:hint="eastAsia" w:ascii="宋体" w:hAnsi="宋体" w:cs="宋体"/>
                <w:b/>
                <w:sz w:val="24"/>
              </w:rPr>
            </w:pPr>
            <w:r>
              <w:rPr>
                <w:rFonts w:hint="eastAsia" w:ascii="宋体" w:hAnsi="宋体" w:cs="宋体"/>
                <w:b/>
                <w:sz w:val="24"/>
              </w:rPr>
              <w:t>相关度（%）</w:t>
            </w:r>
          </w:p>
        </w:tc>
        <w:tc>
          <w:tcPr>
            <w:tcW w:w="2466" w:type="dxa"/>
            <w:shd w:val="clear" w:color="auto" w:fill="9999FF"/>
            <w:vAlign w:val="center"/>
          </w:tcPr>
          <w:p>
            <w:pPr>
              <w:spacing w:line="360" w:lineRule="auto"/>
              <w:jc w:val="center"/>
              <w:rPr>
                <w:rFonts w:hint="eastAsia" w:ascii="宋体" w:hAnsi="宋体" w:cs="宋体"/>
                <w:b/>
                <w:sz w:val="24"/>
              </w:rPr>
            </w:pPr>
            <w:r>
              <w:rPr>
                <w:rFonts w:hint="eastAsia" w:ascii="宋体" w:hAnsi="宋体" w:cs="宋体"/>
                <w:b/>
                <w:sz w:val="24"/>
              </w:rPr>
              <w:t>专业</w:t>
            </w:r>
          </w:p>
        </w:tc>
        <w:tc>
          <w:tcPr>
            <w:tcW w:w="1620" w:type="dxa"/>
            <w:shd w:val="clear" w:color="auto" w:fill="9999FF"/>
            <w:vAlign w:val="center"/>
          </w:tcPr>
          <w:p>
            <w:pPr>
              <w:spacing w:line="360" w:lineRule="auto"/>
              <w:jc w:val="center"/>
              <w:rPr>
                <w:rFonts w:hint="eastAsia" w:ascii="宋体" w:hAnsi="宋体" w:cs="宋体"/>
                <w:b/>
                <w:sz w:val="24"/>
              </w:rPr>
            </w:pPr>
            <w:r>
              <w:rPr>
                <w:rFonts w:hint="eastAsia" w:ascii="宋体" w:hAnsi="宋体" w:cs="宋体"/>
                <w:b/>
                <w:sz w:val="24"/>
              </w:rPr>
              <w:t>相关度（%）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vAlign w:val="center"/>
          </w:tcPr>
          <w:p>
            <w:pPr>
              <w:spacing w:line="360" w:lineRule="auto"/>
              <w:jc w:val="center"/>
              <w:rPr>
                <w:rFonts w:hint="eastAsia" w:ascii="宋体" w:hAnsi="宋体" w:eastAsia="宋体" w:cs="宋体"/>
                <w:sz w:val="24"/>
              </w:rPr>
            </w:pPr>
            <w:r>
              <w:rPr>
                <w:rFonts w:hint="eastAsia" w:ascii="宋体" w:hAnsi="宋体" w:cs="宋体"/>
                <w:sz w:val="24"/>
              </w:rPr>
              <w:t>交通</w:t>
            </w:r>
            <w:r>
              <w:rPr>
                <w:rFonts w:hint="eastAsia" w:ascii="宋体" w:hAnsi="宋体" w:eastAsia="宋体" w:cs="宋体"/>
                <w:sz w:val="24"/>
              </w:rPr>
              <w:t>与环境科学</w:t>
            </w:r>
            <w:r>
              <w:rPr>
                <w:rFonts w:hint="eastAsia" w:ascii="宋体" w:hAnsi="宋体" w:cs="宋体"/>
                <w:sz w:val="24"/>
              </w:rPr>
              <w:t>学院</w:t>
            </w:r>
          </w:p>
        </w:tc>
        <w:tc>
          <w:tcPr>
            <w:tcW w:w="2034" w:type="dxa"/>
            <w:vMerge w:val="restart"/>
            <w:vAlign w:val="center"/>
          </w:tcPr>
          <w:p>
            <w:pPr>
              <w:spacing w:line="360" w:lineRule="auto"/>
              <w:jc w:val="center"/>
              <w:rPr>
                <w:rFonts w:hint="eastAsia" w:ascii="宋体" w:hAnsi="宋体" w:cs="宋体"/>
                <w:sz w:val="24"/>
              </w:rPr>
            </w:pPr>
            <w:r>
              <w:rPr>
                <w:rFonts w:hint="eastAsia" w:ascii="宋体" w:hAnsi="宋体" w:cs="宋体"/>
                <w:sz w:val="24"/>
              </w:rPr>
              <w:t>81.2</w:t>
            </w: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土木工程</w:t>
            </w:r>
          </w:p>
        </w:tc>
        <w:tc>
          <w:tcPr>
            <w:tcW w:w="1620" w:type="dxa"/>
          </w:tcPr>
          <w:p>
            <w:pPr>
              <w:spacing w:line="360" w:lineRule="auto"/>
              <w:jc w:val="center"/>
              <w:rPr>
                <w:rFonts w:hint="eastAsia" w:ascii="宋体" w:hAnsi="宋体" w:cs="宋体"/>
                <w:sz w:val="24"/>
              </w:rPr>
            </w:pPr>
            <w:r>
              <w:rPr>
                <w:rFonts w:hint="eastAsia" w:ascii="宋体" w:hAnsi="宋体" w:cs="宋体"/>
                <w:sz w:val="24"/>
              </w:rPr>
              <w:t>79.07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环境科学</w:t>
            </w:r>
          </w:p>
        </w:tc>
        <w:tc>
          <w:tcPr>
            <w:tcW w:w="1620" w:type="dxa"/>
          </w:tcPr>
          <w:p>
            <w:pPr>
              <w:spacing w:line="360" w:lineRule="auto"/>
              <w:jc w:val="center"/>
              <w:rPr>
                <w:rFonts w:hint="eastAsia" w:ascii="宋体" w:hAnsi="宋体" w:cs="宋体"/>
                <w:sz w:val="24"/>
              </w:rPr>
            </w:pPr>
            <w:r>
              <w:rPr>
                <w:rFonts w:hint="eastAsia" w:ascii="宋体" w:hAnsi="宋体" w:cs="宋体"/>
                <w:sz w:val="24"/>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语言与传媒</w:t>
            </w:r>
            <w:r>
              <w:rPr>
                <w:rFonts w:hint="eastAsia" w:ascii="宋体" w:hAnsi="宋体" w:cs="宋体"/>
                <w:sz w:val="24"/>
              </w:rPr>
              <w:t>学院</w:t>
            </w:r>
          </w:p>
        </w:tc>
        <w:tc>
          <w:tcPr>
            <w:tcW w:w="2034" w:type="dxa"/>
            <w:vMerge w:val="restart"/>
            <w:vAlign w:val="center"/>
          </w:tcPr>
          <w:p>
            <w:pPr>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67.31</w:t>
            </w: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新闻学</w:t>
            </w:r>
          </w:p>
        </w:tc>
        <w:tc>
          <w:tcPr>
            <w:tcW w:w="1620" w:type="dxa"/>
          </w:tcPr>
          <w:p>
            <w:pPr>
              <w:spacing w:line="360" w:lineRule="auto"/>
              <w:jc w:val="center"/>
              <w:rPr>
                <w:rFonts w:hint="eastAsia" w:ascii="宋体" w:hAnsi="宋体" w:cs="宋体"/>
                <w:sz w:val="24"/>
              </w:rPr>
            </w:pPr>
            <w:r>
              <w:rPr>
                <w:rFonts w:hint="eastAsia" w:ascii="宋体" w:hAnsi="宋体" w:cs="宋体"/>
                <w:sz w:val="24"/>
              </w:rPr>
              <w:t>69.23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汉语言文学</w:t>
            </w:r>
          </w:p>
        </w:tc>
        <w:tc>
          <w:tcPr>
            <w:tcW w:w="1620" w:type="dxa"/>
          </w:tcPr>
          <w:p>
            <w:pPr>
              <w:spacing w:line="360" w:lineRule="auto"/>
              <w:jc w:val="center"/>
              <w:rPr>
                <w:rFonts w:hint="eastAsia"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表演</w:t>
            </w:r>
          </w:p>
        </w:tc>
        <w:tc>
          <w:tcPr>
            <w:tcW w:w="1620" w:type="dxa"/>
          </w:tcPr>
          <w:p>
            <w:pPr>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播音与主持艺术</w:t>
            </w:r>
          </w:p>
        </w:tc>
        <w:tc>
          <w:tcPr>
            <w:tcW w:w="1620" w:type="dxa"/>
          </w:tcPr>
          <w:p>
            <w:pPr>
              <w:spacing w:line="360" w:lineRule="auto"/>
              <w:jc w:val="center"/>
              <w:rPr>
                <w:rFonts w:hint="eastAsia" w:ascii="宋体" w:hAnsi="宋体" w:cs="宋体"/>
                <w:sz w:val="24"/>
              </w:rPr>
            </w:pPr>
            <w:r>
              <w:rPr>
                <w:rFonts w:hint="eastAsia" w:ascii="宋体" w:hAnsi="宋体" w:cs="宋体"/>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信息工程</w:t>
            </w:r>
            <w:r>
              <w:rPr>
                <w:rFonts w:hint="eastAsia" w:ascii="宋体" w:hAnsi="宋体" w:cs="宋体"/>
                <w:sz w:val="24"/>
              </w:rPr>
              <w:t>学院</w:t>
            </w:r>
          </w:p>
        </w:tc>
        <w:tc>
          <w:tcPr>
            <w:tcW w:w="2034" w:type="dxa"/>
            <w:vMerge w:val="restart"/>
            <w:vAlign w:val="center"/>
          </w:tcPr>
          <w:p>
            <w:pPr>
              <w:spacing w:line="360" w:lineRule="auto"/>
              <w:jc w:val="center"/>
              <w:rPr>
                <w:rFonts w:hint="eastAsia" w:ascii="宋体" w:hAnsi="宋体" w:cs="宋体"/>
                <w:sz w:val="24"/>
              </w:rPr>
            </w:pPr>
            <w:r>
              <w:rPr>
                <w:rFonts w:hint="eastAsia" w:ascii="宋体" w:hAnsi="宋体" w:cs="宋体"/>
                <w:sz w:val="24"/>
              </w:rPr>
              <w:t>66.73</w:t>
            </w: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自动化</w:t>
            </w:r>
          </w:p>
        </w:tc>
        <w:tc>
          <w:tcPr>
            <w:tcW w:w="1620" w:type="dxa"/>
          </w:tcPr>
          <w:p>
            <w:pPr>
              <w:spacing w:line="360" w:lineRule="auto"/>
              <w:jc w:val="center"/>
              <w:rPr>
                <w:rFonts w:hint="eastAsia" w:ascii="宋体" w:hAnsi="宋体" w:cs="宋体"/>
                <w:sz w:val="24"/>
              </w:rPr>
            </w:pPr>
            <w:r>
              <w:rPr>
                <w:rFonts w:hint="eastAsia" w:ascii="宋体" w:hAnsi="宋体" w:cs="宋体"/>
                <w:sz w:val="24"/>
              </w:rPr>
              <w:t>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通信工程</w:t>
            </w:r>
          </w:p>
        </w:tc>
        <w:tc>
          <w:tcPr>
            <w:tcW w:w="1620" w:type="dxa"/>
          </w:tcPr>
          <w:p>
            <w:pPr>
              <w:spacing w:line="360" w:lineRule="auto"/>
              <w:jc w:val="center"/>
              <w:rPr>
                <w:rFonts w:hint="eastAsia" w:ascii="宋体" w:hAnsi="宋体" w:cs="宋体"/>
                <w:sz w:val="24"/>
              </w:rPr>
            </w:pPr>
            <w:r>
              <w:rPr>
                <w:rFonts w:hint="eastAsia" w:ascii="宋体" w:hAnsi="宋体" w:cs="宋体"/>
                <w:sz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计算机科学与技术</w:t>
            </w:r>
          </w:p>
        </w:tc>
        <w:tc>
          <w:tcPr>
            <w:tcW w:w="1620" w:type="dxa"/>
          </w:tcPr>
          <w:p>
            <w:pPr>
              <w:spacing w:line="360" w:lineRule="auto"/>
              <w:jc w:val="center"/>
              <w:rPr>
                <w:rFonts w:hint="eastAsia" w:ascii="宋体" w:hAnsi="宋体" w:cs="宋体"/>
                <w:sz w:val="24"/>
              </w:rPr>
            </w:pPr>
            <w:r>
              <w:rPr>
                <w:rFonts w:hint="eastAsia" w:ascii="宋体" w:hAnsi="宋体" w:cs="宋体"/>
                <w:sz w:val="24"/>
              </w:rPr>
              <w:t>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信息与计算科学</w:t>
            </w:r>
          </w:p>
        </w:tc>
        <w:tc>
          <w:tcPr>
            <w:tcW w:w="1620" w:type="dxa"/>
          </w:tcPr>
          <w:p>
            <w:pPr>
              <w:spacing w:line="360" w:lineRule="auto"/>
              <w:jc w:val="center"/>
              <w:rPr>
                <w:rFonts w:hint="eastAsia" w:ascii="宋体" w:hAnsi="宋体" w:cs="宋体"/>
                <w:sz w:val="24"/>
              </w:rPr>
            </w:pPr>
            <w:r>
              <w:rPr>
                <w:rFonts w:hint="eastAsia" w:ascii="宋体" w:hAnsi="宋体" w:cs="宋体"/>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电子信息科学与技术</w:t>
            </w:r>
          </w:p>
        </w:tc>
        <w:tc>
          <w:tcPr>
            <w:tcW w:w="1620" w:type="dxa"/>
          </w:tcPr>
          <w:p>
            <w:pPr>
              <w:spacing w:line="360" w:lineRule="auto"/>
              <w:jc w:val="center"/>
              <w:rPr>
                <w:rFonts w:hint="eastAsia" w:ascii="宋体" w:hAnsi="宋体" w:cs="宋体"/>
                <w:sz w:val="24"/>
              </w:rPr>
            </w:pPr>
            <w:r>
              <w:rPr>
                <w:rFonts w:hint="eastAsia" w:ascii="宋体" w:hAnsi="宋体" w:cs="宋体"/>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艺术</w:t>
            </w:r>
            <w:r>
              <w:rPr>
                <w:rFonts w:hint="eastAsia" w:ascii="宋体" w:hAnsi="宋体" w:cs="宋体"/>
                <w:sz w:val="24"/>
              </w:rPr>
              <w:t>学院</w:t>
            </w:r>
          </w:p>
        </w:tc>
        <w:tc>
          <w:tcPr>
            <w:tcW w:w="2034" w:type="dxa"/>
            <w:vMerge w:val="restart"/>
            <w:vAlign w:val="center"/>
          </w:tcPr>
          <w:p>
            <w:pPr>
              <w:spacing w:line="360" w:lineRule="auto"/>
              <w:jc w:val="center"/>
              <w:rPr>
                <w:rFonts w:hint="eastAsia" w:ascii="宋体" w:hAnsi="宋体" w:cs="宋体"/>
                <w:sz w:val="24"/>
              </w:rPr>
            </w:pPr>
            <w:r>
              <w:rPr>
                <w:rFonts w:hint="eastAsia" w:ascii="宋体" w:hAnsi="宋体" w:cs="宋体"/>
                <w:sz w:val="24"/>
              </w:rPr>
              <w:t>66.59</w:t>
            </w: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环境设计</w:t>
            </w:r>
          </w:p>
        </w:tc>
        <w:tc>
          <w:tcPr>
            <w:tcW w:w="1620" w:type="dxa"/>
          </w:tcPr>
          <w:p>
            <w:pPr>
              <w:spacing w:line="360" w:lineRule="auto"/>
              <w:jc w:val="center"/>
              <w:rPr>
                <w:rFonts w:hint="eastAsia" w:ascii="宋体" w:hAnsi="宋体" w:cs="宋体"/>
                <w:sz w:val="24"/>
              </w:rPr>
            </w:pPr>
            <w:r>
              <w:rPr>
                <w:rFonts w:hint="eastAsia" w:ascii="宋体" w:hAnsi="宋体" w:cs="宋体"/>
                <w:sz w:val="24"/>
              </w:rPr>
              <w:t>57.14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视觉传达与设计</w:t>
            </w:r>
          </w:p>
        </w:tc>
        <w:tc>
          <w:tcPr>
            <w:tcW w:w="1620" w:type="dxa"/>
          </w:tcPr>
          <w:p>
            <w:pPr>
              <w:spacing w:line="360" w:lineRule="auto"/>
              <w:jc w:val="center"/>
              <w:rPr>
                <w:rFonts w:hint="eastAsia" w:ascii="宋体" w:hAnsi="宋体" w:cs="宋体"/>
                <w:sz w:val="24"/>
              </w:rPr>
            </w:pPr>
            <w:r>
              <w:rPr>
                <w:rFonts w:hint="eastAsia" w:ascii="宋体" w:hAnsi="宋体" w:cs="宋体"/>
                <w:sz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绘画</w:t>
            </w:r>
          </w:p>
        </w:tc>
        <w:tc>
          <w:tcPr>
            <w:tcW w:w="1620" w:type="dxa"/>
          </w:tcPr>
          <w:p>
            <w:pPr>
              <w:spacing w:line="360" w:lineRule="auto"/>
              <w:jc w:val="center"/>
              <w:rPr>
                <w:rFonts w:hint="eastAsia" w:ascii="宋体" w:hAnsi="宋体" w:cs="宋体"/>
                <w:sz w:val="24"/>
              </w:rPr>
            </w:pPr>
            <w:r>
              <w:rPr>
                <w:rFonts w:hint="eastAsia" w:ascii="宋体" w:hAnsi="宋体" w:cs="宋体"/>
                <w:sz w:val="24"/>
              </w:rPr>
              <w:t>85.71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产品设计</w:t>
            </w:r>
          </w:p>
        </w:tc>
        <w:tc>
          <w:tcPr>
            <w:tcW w:w="1620" w:type="dxa"/>
          </w:tcPr>
          <w:p>
            <w:pPr>
              <w:spacing w:line="360" w:lineRule="auto"/>
              <w:jc w:val="center"/>
              <w:rPr>
                <w:rFonts w:hint="eastAsia" w:ascii="宋体" w:hAnsi="宋体" w:eastAsia="宋体" w:cs="宋体"/>
                <w:sz w:val="24"/>
              </w:rPr>
            </w:pPr>
            <w:r>
              <w:rPr>
                <w:rFonts w:hint="eastAsia" w:ascii="宋体" w:hAnsi="宋体" w:eastAsia="宋体" w:cs="宋体"/>
                <w:sz w:val="24"/>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动画</w:t>
            </w:r>
          </w:p>
        </w:tc>
        <w:tc>
          <w:tcPr>
            <w:tcW w:w="1620" w:type="dxa"/>
          </w:tcPr>
          <w:p>
            <w:pPr>
              <w:spacing w:line="360" w:lineRule="auto"/>
              <w:jc w:val="center"/>
              <w:rPr>
                <w:rFonts w:hint="eastAsia" w:ascii="宋体" w:hAnsi="宋体" w:cs="宋体"/>
                <w:sz w:val="24"/>
              </w:rPr>
            </w:pPr>
            <w:r>
              <w:rPr>
                <w:rFonts w:hint="eastAsia" w:ascii="宋体" w:hAnsi="宋体" w:cs="宋体"/>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服装与服饰设计</w:t>
            </w:r>
          </w:p>
        </w:tc>
        <w:tc>
          <w:tcPr>
            <w:tcW w:w="1620" w:type="dxa"/>
          </w:tcPr>
          <w:p>
            <w:pPr>
              <w:spacing w:line="360" w:lineRule="auto"/>
              <w:jc w:val="center"/>
              <w:rPr>
                <w:rFonts w:hint="eastAsia" w:ascii="宋体" w:hAnsi="宋体" w:cs="宋体"/>
                <w:sz w:val="24"/>
              </w:rPr>
            </w:pPr>
            <w:r>
              <w:rPr>
                <w:rFonts w:hint="eastAsia" w:ascii="宋体" w:hAnsi="宋体" w:cs="宋体"/>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商</w:t>
            </w:r>
            <w:r>
              <w:rPr>
                <w:rFonts w:hint="eastAsia" w:ascii="宋体" w:hAnsi="宋体" w:cs="宋体"/>
                <w:sz w:val="24"/>
              </w:rPr>
              <w:t>学院</w:t>
            </w:r>
          </w:p>
        </w:tc>
        <w:tc>
          <w:tcPr>
            <w:tcW w:w="2034" w:type="dxa"/>
            <w:vMerge w:val="restart"/>
            <w:vAlign w:val="center"/>
          </w:tcPr>
          <w:p>
            <w:pPr>
              <w:spacing w:line="360" w:lineRule="auto"/>
              <w:jc w:val="center"/>
              <w:rPr>
                <w:rFonts w:hint="eastAsia" w:ascii="宋体" w:hAnsi="宋体" w:cs="宋体"/>
                <w:sz w:val="24"/>
              </w:rPr>
            </w:pPr>
            <w:r>
              <w:rPr>
                <w:rFonts w:hint="eastAsia" w:ascii="宋体" w:hAnsi="宋体" w:cs="宋体"/>
                <w:sz w:val="24"/>
              </w:rPr>
              <w:t>78.58</w:t>
            </w: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财务管理</w:t>
            </w:r>
          </w:p>
        </w:tc>
        <w:tc>
          <w:tcPr>
            <w:tcW w:w="1620" w:type="dxa"/>
          </w:tcPr>
          <w:p>
            <w:pPr>
              <w:spacing w:line="360" w:lineRule="auto"/>
              <w:jc w:val="center"/>
              <w:rPr>
                <w:rFonts w:hint="eastAsia" w:ascii="宋体" w:hAnsi="宋体" w:cs="宋体"/>
                <w:sz w:val="24"/>
              </w:rPr>
            </w:pPr>
            <w:r>
              <w:rPr>
                <w:rFonts w:hint="eastAsia" w:ascii="宋体" w:hAnsi="宋体" w:cs="宋体"/>
                <w:sz w:val="24"/>
              </w:rPr>
              <w:t>73.68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金融学</w:t>
            </w:r>
          </w:p>
        </w:tc>
        <w:tc>
          <w:tcPr>
            <w:tcW w:w="1620" w:type="dxa"/>
          </w:tcPr>
          <w:p>
            <w:pPr>
              <w:spacing w:line="360" w:lineRule="auto"/>
              <w:jc w:val="center"/>
              <w:rPr>
                <w:rFonts w:hint="eastAsia" w:ascii="宋体" w:hAnsi="宋体" w:cs="宋体"/>
                <w:sz w:val="24"/>
              </w:rPr>
            </w:pPr>
            <w:r>
              <w:rPr>
                <w:rFonts w:hint="eastAsia" w:ascii="宋体" w:hAnsi="宋体" w:cs="宋体"/>
                <w:sz w:val="24"/>
              </w:rPr>
              <w:t>84.62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人力资源管理</w:t>
            </w:r>
          </w:p>
        </w:tc>
        <w:tc>
          <w:tcPr>
            <w:tcW w:w="1620" w:type="dxa"/>
          </w:tcPr>
          <w:p>
            <w:pPr>
              <w:spacing w:line="360" w:lineRule="auto"/>
              <w:jc w:val="center"/>
              <w:rPr>
                <w:rFonts w:hint="eastAsia" w:ascii="宋体" w:hAnsi="宋体" w:cs="宋体"/>
                <w:sz w:val="24"/>
              </w:rPr>
            </w:pPr>
            <w:r>
              <w:rPr>
                <w:rFonts w:hint="eastAsia" w:ascii="宋体" w:hAnsi="宋体" w:cs="宋体"/>
                <w:sz w:val="24"/>
              </w:rPr>
              <w:t>84.62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会计</w:t>
            </w:r>
          </w:p>
        </w:tc>
        <w:tc>
          <w:tcPr>
            <w:tcW w:w="1620" w:type="dxa"/>
          </w:tcPr>
          <w:p>
            <w:pPr>
              <w:spacing w:line="360" w:lineRule="auto"/>
              <w:jc w:val="center"/>
              <w:rPr>
                <w:rFonts w:hint="eastAsia" w:ascii="宋体" w:hAnsi="宋体" w:cs="宋体"/>
                <w:sz w:val="24"/>
              </w:rPr>
            </w:pPr>
            <w:r>
              <w:rPr>
                <w:rFonts w:hint="eastAsia" w:ascii="宋体" w:hAnsi="宋体" w:cs="宋体"/>
                <w:sz w:val="24"/>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vAlign w:val="center"/>
          </w:tcPr>
          <w:p>
            <w:pPr>
              <w:spacing w:line="360" w:lineRule="auto"/>
              <w:jc w:val="center"/>
              <w:rPr>
                <w:rFonts w:hint="eastAsia" w:ascii="宋体" w:hAnsi="宋体" w:eastAsia="宋体" w:cs="宋体"/>
                <w:sz w:val="24"/>
              </w:rPr>
            </w:pPr>
          </w:p>
        </w:tc>
        <w:tc>
          <w:tcPr>
            <w:tcW w:w="2034" w:type="dxa"/>
            <w:vMerge w:val="continue"/>
            <w:vAlign w:val="center"/>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cs="宋体"/>
                <w:sz w:val="24"/>
              </w:rPr>
            </w:pPr>
            <w:r>
              <w:rPr>
                <w:rFonts w:hint="eastAsia" w:ascii="宋体" w:hAnsi="宋体" w:cs="宋体"/>
                <w:sz w:val="24"/>
              </w:rPr>
              <w:t>电子商务</w:t>
            </w:r>
          </w:p>
        </w:tc>
        <w:tc>
          <w:tcPr>
            <w:tcW w:w="1620" w:type="dxa"/>
          </w:tcPr>
          <w:p>
            <w:pPr>
              <w:spacing w:line="360" w:lineRule="auto"/>
              <w:jc w:val="center"/>
              <w:rPr>
                <w:rFonts w:hint="eastAsia" w:ascii="宋体" w:hAnsi="宋体" w:cs="宋体"/>
                <w:sz w:val="24"/>
              </w:rPr>
            </w:pPr>
            <w:r>
              <w:rPr>
                <w:rFonts w:hint="eastAsia" w:ascii="宋体" w:hAnsi="宋体" w:cs="宋体"/>
                <w:sz w:val="24"/>
              </w:rPr>
              <w:t>59.09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restart"/>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外国语</w:t>
            </w:r>
            <w:r>
              <w:rPr>
                <w:rFonts w:hint="eastAsia" w:ascii="宋体" w:hAnsi="宋体" w:cs="宋体"/>
                <w:sz w:val="24"/>
              </w:rPr>
              <w:t>学院</w:t>
            </w:r>
          </w:p>
        </w:tc>
        <w:tc>
          <w:tcPr>
            <w:tcW w:w="2034" w:type="dxa"/>
            <w:vMerge w:val="restart"/>
            <w:vAlign w:val="center"/>
          </w:tcPr>
          <w:p>
            <w:pPr>
              <w:spacing w:line="360" w:lineRule="auto"/>
              <w:jc w:val="center"/>
              <w:rPr>
                <w:rFonts w:hint="eastAsia" w:ascii="宋体" w:hAnsi="宋体" w:cs="宋体"/>
                <w:sz w:val="24"/>
              </w:rPr>
            </w:pPr>
            <w:r>
              <w:rPr>
                <w:rFonts w:hint="eastAsia" w:ascii="宋体" w:hAnsi="宋体" w:cs="宋体"/>
                <w:sz w:val="24"/>
                <w:lang w:val="en-US" w:eastAsia="zh-CN"/>
              </w:rPr>
              <w:t>76.92</w:t>
            </w: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英语</w:t>
            </w:r>
          </w:p>
        </w:tc>
        <w:tc>
          <w:tcPr>
            <w:tcW w:w="1620" w:type="dxa"/>
          </w:tcPr>
          <w:p>
            <w:pPr>
              <w:spacing w:line="360" w:lineRule="auto"/>
              <w:jc w:val="center"/>
              <w:rPr>
                <w:rFonts w:hint="eastAsia" w:ascii="宋体" w:hAnsi="宋体" w:cs="宋体"/>
                <w:sz w:val="24"/>
              </w:rPr>
            </w:pPr>
            <w:r>
              <w:rPr>
                <w:rFonts w:hint="eastAsia" w:ascii="宋体" w:hAnsi="宋体" w:cs="宋体"/>
                <w:sz w:val="24"/>
              </w:rPr>
              <w:t>76.92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Merge w:val="continue"/>
          </w:tcPr>
          <w:p>
            <w:pPr>
              <w:spacing w:line="360" w:lineRule="auto"/>
              <w:jc w:val="center"/>
              <w:rPr>
                <w:rFonts w:hint="eastAsia" w:ascii="宋体" w:hAnsi="宋体" w:eastAsia="宋体" w:cs="宋体"/>
                <w:sz w:val="24"/>
              </w:rPr>
            </w:pPr>
          </w:p>
        </w:tc>
        <w:tc>
          <w:tcPr>
            <w:tcW w:w="2034" w:type="dxa"/>
            <w:vMerge w:val="continue"/>
          </w:tcPr>
          <w:p>
            <w:pPr>
              <w:spacing w:line="360" w:lineRule="auto"/>
              <w:jc w:val="center"/>
              <w:rPr>
                <w:rFonts w:hint="eastAsia" w:ascii="宋体" w:hAnsi="宋体" w:eastAsia="宋体" w:cs="宋体"/>
                <w:sz w:val="24"/>
              </w:rPr>
            </w:pPr>
          </w:p>
        </w:tc>
        <w:tc>
          <w:tcPr>
            <w:tcW w:w="2466" w:type="dxa"/>
          </w:tcPr>
          <w:p>
            <w:pPr>
              <w:spacing w:line="360" w:lineRule="auto"/>
              <w:jc w:val="center"/>
              <w:rPr>
                <w:rFonts w:hint="eastAsia" w:ascii="宋体" w:hAnsi="宋体" w:eastAsia="宋体" w:cs="宋体"/>
                <w:sz w:val="24"/>
              </w:rPr>
            </w:pPr>
            <w:r>
              <w:rPr>
                <w:rFonts w:hint="eastAsia" w:ascii="宋体" w:hAnsi="宋体" w:eastAsia="宋体" w:cs="宋体"/>
                <w:sz w:val="24"/>
              </w:rPr>
              <w:t>日语</w:t>
            </w:r>
          </w:p>
        </w:tc>
        <w:tc>
          <w:tcPr>
            <w:tcW w:w="1620" w:type="dxa"/>
          </w:tcPr>
          <w:p>
            <w:pPr>
              <w:spacing w:line="360" w:lineRule="auto"/>
              <w:jc w:val="center"/>
              <w:rPr>
                <w:rFonts w:hint="eastAsia" w:ascii="宋体" w:hAnsi="宋体" w:cs="宋体"/>
                <w:sz w:val="24"/>
              </w:rPr>
            </w:pPr>
          </w:p>
        </w:tc>
      </w:tr>
    </w:tbl>
    <w:p>
      <w:pPr>
        <w:spacing w:line="360" w:lineRule="auto"/>
        <w:rPr>
          <w:rFonts w:ascii="??_GB2312" w:hAnsi="宋体" w:eastAsia="Times New Roman"/>
          <w:szCs w:val="21"/>
        </w:rPr>
      </w:pPr>
      <w:r>
        <w:rPr>
          <w:rFonts w:ascii="??_GB2312" w:hAnsi="宋体" w:eastAsia="Times New Roman"/>
          <w:szCs w:val="21"/>
        </w:rPr>
        <w:t>注：专业相关度指受雇全职工作并且与专业相关毕业生人数/受雇全职工作的毕业生人数;“——”表示此专业由于样品较少，不作统计。</w:t>
      </w:r>
    </w:p>
    <w:p>
      <w:pPr>
        <w:spacing w:line="360" w:lineRule="auto"/>
        <w:ind w:firstLine="480" w:firstLineChars="200"/>
        <w:rPr>
          <w:rFonts w:hint="eastAsia" w:ascii="宋体" w:hAnsi="宋体" w:eastAsia="宋体" w:cs="宋体"/>
          <w:sz w:val="24"/>
        </w:rPr>
      </w:pPr>
      <w:r>
        <w:rPr>
          <w:rFonts w:hint="eastAsia" w:ascii="宋体" w:hAnsi="宋体" w:cs="宋体"/>
          <w:sz w:val="24"/>
        </w:rPr>
        <w:t>20</w:t>
      </w:r>
      <w:r>
        <w:rPr>
          <w:rFonts w:hint="eastAsia" w:ascii="宋体" w:hAnsi="宋体" w:cs="宋体"/>
          <w:sz w:val="24"/>
          <w:lang w:val="en-US" w:eastAsia="zh-CN"/>
        </w:rPr>
        <w:t>20</w:t>
      </w:r>
      <w:r>
        <w:rPr>
          <w:rFonts w:hint="eastAsia" w:ascii="宋体" w:hAnsi="宋体" w:eastAsia="宋体" w:cs="宋体"/>
          <w:sz w:val="24"/>
        </w:rPr>
        <w:t>届毕业生的工作与专业相关度为</w:t>
      </w:r>
      <w:r>
        <w:rPr>
          <w:rFonts w:hint="eastAsia" w:ascii="宋体" w:hAnsi="宋体" w:cs="宋体"/>
          <w:sz w:val="24"/>
        </w:rPr>
        <w:t>72.76</w:t>
      </w:r>
      <w:r>
        <w:rPr>
          <w:rFonts w:hint="eastAsia" w:ascii="宋体" w:hAnsi="宋体" w:eastAsia="宋体" w:cs="宋体"/>
          <w:sz w:val="24"/>
        </w:rPr>
        <w:t>%。从专业层面来看，专业相关度较高的为</w:t>
      </w:r>
      <w:r>
        <w:rPr>
          <w:rFonts w:hint="eastAsia" w:ascii="宋体" w:hAnsi="宋体" w:cs="宋体"/>
          <w:sz w:val="24"/>
        </w:rPr>
        <w:t>汉语言</w:t>
      </w:r>
      <w:r>
        <w:rPr>
          <w:rFonts w:hint="eastAsia" w:ascii="宋体" w:hAnsi="宋体" w:eastAsia="宋体" w:cs="宋体"/>
          <w:sz w:val="24"/>
        </w:rPr>
        <w:t>（100%）、</w:t>
      </w:r>
      <w:r>
        <w:rPr>
          <w:rFonts w:hint="eastAsia" w:ascii="宋体" w:hAnsi="宋体" w:cs="宋体"/>
          <w:sz w:val="24"/>
        </w:rPr>
        <w:t>会计</w:t>
      </w:r>
      <w:r>
        <w:rPr>
          <w:rFonts w:hint="eastAsia" w:ascii="宋体" w:hAnsi="宋体" w:eastAsia="宋体" w:cs="宋体"/>
          <w:sz w:val="24"/>
        </w:rPr>
        <w:t>（</w:t>
      </w:r>
      <w:r>
        <w:rPr>
          <w:rFonts w:hint="eastAsia" w:ascii="宋体" w:hAnsi="宋体" w:cs="宋体"/>
          <w:sz w:val="24"/>
        </w:rPr>
        <w:t>90.9</w:t>
      </w:r>
      <w:r>
        <w:rPr>
          <w:rFonts w:hint="eastAsia" w:ascii="宋体" w:hAnsi="宋体" w:eastAsia="宋体" w:cs="宋体"/>
          <w:sz w:val="24"/>
        </w:rPr>
        <w:t>%）、</w:t>
      </w:r>
      <w:r>
        <w:rPr>
          <w:rFonts w:hint="eastAsia" w:ascii="宋体" w:hAnsi="宋体" w:cs="宋体"/>
          <w:sz w:val="24"/>
        </w:rPr>
        <w:t>自动化</w:t>
      </w:r>
      <w:r>
        <w:rPr>
          <w:rFonts w:hint="eastAsia" w:ascii="宋体" w:hAnsi="宋体" w:eastAsia="宋体" w:cs="宋体"/>
          <w:sz w:val="24"/>
        </w:rPr>
        <w:t>（9</w:t>
      </w:r>
      <w:r>
        <w:rPr>
          <w:rFonts w:hint="eastAsia" w:ascii="宋体" w:hAnsi="宋体" w:cs="宋体"/>
          <w:sz w:val="24"/>
        </w:rPr>
        <w:t>0.32</w:t>
      </w:r>
      <w:r>
        <w:rPr>
          <w:rFonts w:hint="eastAsia" w:ascii="宋体" w:hAnsi="宋体" w:eastAsia="宋体" w:cs="宋体"/>
          <w:sz w:val="24"/>
        </w:rPr>
        <w:t>%），较低的有电子</w:t>
      </w:r>
      <w:r>
        <w:rPr>
          <w:rFonts w:hint="eastAsia" w:ascii="宋体" w:hAnsi="宋体" w:cs="宋体"/>
          <w:sz w:val="24"/>
        </w:rPr>
        <w:t>播音与主持艺术</w:t>
      </w:r>
      <w:r>
        <w:rPr>
          <w:rFonts w:hint="eastAsia" w:ascii="宋体" w:hAnsi="宋体" w:eastAsia="宋体" w:cs="宋体"/>
          <w:sz w:val="24"/>
        </w:rPr>
        <w:t>（</w:t>
      </w:r>
      <w:r>
        <w:rPr>
          <w:rFonts w:hint="eastAsia" w:ascii="宋体" w:hAnsi="宋体" w:cs="宋体"/>
          <w:sz w:val="24"/>
        </w:rPr>
        <w:t>5</w:t>
      </w:r>
      <w:r>
        <w:rPr>
          <w:rFonts w:hint="eastAsia" w:ascii="宋体" w:hAnsi="宋体" w:eastAsia="宋体" w:cs="宋体"/>
          <w:sz w:val="24"/>
        </w:rPr>
        <w:t>0%）、</w:t>
      </w:r>
      <w:r>
        <w:rPr>
          <w:rFonts w:hint="eastAsia" w:ascii="宋体" w:hAnsi="宋体" w:cs="宋体"/>
          <w:sz w:val="24"/>
        </w:rPr>
        <w:t>信息与计算科学</w:t>
      </w:r>
      <w:r>
        <w:rPr>
          <w:rFonts w:hint="eastAsia" w:ascii="宋体" w:hAnsi="宋体" w:eastAsia="宋体" w:cs="宋体"/>
          <w:sz w:val="24"/>
        </w:rPr>
        <w:t>（40%）、</w:t>
      </w:r>
      <w:r>
        <w:rPr>
          <w:rFonts w:hint="eastAsia" w:ascii="宋体" w:hAnsi="宋体" w:cs="宋体"/>
          <w:sz w:val="24"/>
        </w:rPr>
        <w:t>动画</w:t>
      </w:r>
      <w:r>
        <w:rPr>
          <w:rFonts w:hint="eastAsia" w:ascii="宋体" w:hAnsi="宋体" w:eastAsia="宋体" w:cs="宋体"/>
          <w:sz w:val="24"/>
        </w:rPr>
        <w:t>（41%）。外国语与</w:t>
      </w:r>
      <w:r>
        <w:rPr>
          <w:rFonts w:hint="eastAsia" w:ascii="宋体" w:hAnsi="宋体" w:cs="宋体"/>
          <w:sz w:val="24"/>
        </w:rPr>
        <w:t>交通与环境科学</w:t>
      </w:r>
      <w:r>
        <w:rPr>
          <w:rFonts w:hint="eastAsia" w:ascii="宋体" w:hAnsi="宋体" w:eastAsia="宋体" w:cs="宋体"/>
          <w:sz w:val="24"/>
        </w:rPr>
        <w:t>两</w:t>
      </w:r>
      <w:r>
        <w:rPr>
          <w:rFonts w:hint="eastAsia" w:ascii="宋体" w:hAnsi="宋体" w:cs="宋体"/>
          <w:sz w:val="24"/>
        </w:rPr>
        <w:t>个学院</w:t>
      </w:r>
      <w:r>
        <w:rPr>
          <w:rFonts w:hint="eastAsia" w:ascii="宋体" w:hAnsi="宋体" w:eastAsia="宋体" w:cs="宋体"/>
          <w:sz w:val="24"/>
        </w:rPr>
        <w:t>专业相关度较高。</w:t>
      </w:r>
    </w:p>
    <w:p>
      <w:pPr>
        <w:pStyle w:val="4"/>
        <w:numPr>
          <w:ilvl w:val="0"/>
          <w:numId w:val="8"/>
        </w:numPr>
        <w:tabs>
          <w:tab w:val="left" w:pos="540"/>
          <w:tab w:val="clear" w:pos="982"/>
        </w:tabs>
        <w:spacing w:line="360" w:lineRule="auto"/>
        <w:ind w:hanging="802"/>
        <w:rPr>
          <w:rFonts w:ascii="宋体"/>
          <w:sz w:val="28"/>
          <w:szCs w:val="28"/>
        </w:rPr>
      </w:pPr>
      <w:r>
        <w:rPr>
          <w:rFonts w:hint="eastAsia" w:ascii="宋体" w:hAnsi="宋体"/>
          <w:sz w:val="28"/>
          <w:szCs w:val="28"/>
        </w:rPr>
        <w:t>毕业生就业现状满意度</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rPr>
        <w:t>就业满意度是毕业生对自身就业状况综合评价的重要主观指标之一，是反映毕业生的作稳定性、工作的尊严和安全、机会平等、收入、个人发展等有关方面满意度的综合概念，也是反映高校人才培养水平的一个重要标志。本次就业现状满意度调研包括</w:t>
      </w:r>
      <w:r>
        <w:rPr>
          <w:rFonts w:hint="eastAsia" w:ascii="宋体" w:hAnsi="宋体" w:cs="宋体"/>
          <w:sz w:val="24"/>
        </w:rPr>
        <w:t>20</w:t>
      </w:r>
      <w:r>
        <w:rPr>
          <w:rFonts w:hint="eastAsia" w:ascii="宋体" w:hAnsi="宋体" w:cs="宋体"/>
          <w:sz w:val="24"/>
          <w:lang w:val="en-US" w:eastAsia="zh-CN"/>
        </w:rPr>
        <w:t xml:space="preserve">20 </w:t>
      </w:r>
      <w:r>
        <w:rPr>
          <w:rFonts w:hint="eastAsia" w:ascii="宋体" w:hAnsi="宋体" w:eastAsia="宋体" w:cs="宋体"/>
          <w:sz w:val="24"/>
        </w:rPr>
        <w:t>届毕业生对目前薪资、单位福利和社保、工作内容、环境、氛围、地点、工作强度、职业和行业发展前景等要素的满意度。</w:t>
      </w:r>
    </w:p>
    <w:p>
      <w:pPr>
        <w:spacing w:line="360" w:lineRule="auto"/>
        <w:ind w:firstLine="540" w:firstLineChars="225"/>
        <w:rPr>
          <w:rFonts w:ascii="??_GB2312" w:hAnsi="宋体" w:eastAsia="Times New Roman"/>
          <w:sz w:val="24"/>
        </w:rPr>
      </w:pPr>
    </w:p>
    <w:p>
      <w:pPr>
        <w:spacing w:line="360" w:lineRule="auto"/>
        <w:jc w:val="center"/>
        <w:rPr>
          <w:rFonts w:hint="eastAsia" w:ascii="宋体" w:hAnsi="宋体" w:cs="宋体"/>
        </w:rPr>
      </w:pPr>
      <w:r>
        <w:rPr>
          <w:rFonts w:hint="eastAsia" w:ascii="宋体" w:hAnsi="宋体" w:eastAsia="宋体" w:cs="宋体"/>
          <w:b/>
          <w:sz w:val="24"/>
        </w:rPr>
        <w:t>表3.3：毕业生就业现状满意度</w:t>
      </w:r>
    </w:p>
    <w:tbl>
      <w:tblPr>
        <w:tblStyle w:val="20"/>
        <w:tblW w:w="702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shd w:val="clear" w:color="auto" w:fill="9999FF"/>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目前薪资</w:t>
            </w:r>
          </w:p>
        </w:tc>
        <w:tc>
          <w:tcPr>
            <w:tcW w:w="3420" w:type="dxa"/>
            <w:shd w:val="clear" w:color="auto" w:fill="9999FF"/>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0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单位福利和社会保障</w:t>
            </w:r>
          </w:p>
        </w:tc>
        <w:tc>
          <w:tcPr>
            <w:tcW w:w="342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0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工作内容</w:t>
            </w:r>
          </w:p>
        </w:tc>
        <w:tc>
          <w:tcPr>
            <w:tcW w:w="342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0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工作环境</w:t>
            </w:r>
          </w:p>
        </w:tc>
        <w:tc>
          <w:tcPr>
            <w:tcW w:w="342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0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工作氛围</w:t>
            </w:r>
          </w:p>
        </w:tc>
        <w:tc>
          <w:tcPr>
            <w:tcW w:w="3420" w:type="dxa"/>
            <w:vAlign w:val="center"/>
          </w:tcPr>
          <w:p>
            <w:pPr>
              <w:spacing w:line="360" w:lineRule="auto"/>
              <w:jc w:val="center"/>
              <w:rPr>
                <w:rFonts w:hint="eastAsia" w:ascii="宋体" w:hAnsi="宋体" w:eastAsia="宋体" w:cs="宋体"/>
                <w:sz w:val="24"/>
              </w:rPr>
            </w:pPr>
            <w:r>
              <w:rPr>
                <w:rFonts w:hint="eastAsia" w:ascii="宋体" w:hAnsi="宋体" w:cs="宋体"/>
                <w:sz w:val="24"/>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0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工作地点</w:t>
            </w:r>
          </w:p>
        </w:tc>
        <w:tc>
          <w:tcPr>
            <w:tcW w:w="342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8</w:t>
            </w:r>
            <w:r>
              <w:rPr>
                <w:rFonts w:hint="eastAsia" w:ascii="宋体" w:hAnsi="宋体" w:cs="宋体"/>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0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工作强度</w:t>
            </w:r>
          </w:p>
        </w:tc>
        <w:tc>
          <w:tcPr>
            <w:tcW w:w="342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0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职业发展前景</w:t>
            </w:r>
          </w:p>
        </w:tc>
        <w:tc>
          <w:tcPr>
            <w:tcW w:w="3420" w:type="dxa"/>
            <w:vAlign w:val="center"/>
          </w:tcPr>
          <w:p>
            <w:pPr>
              <w:spacing w:line="360" w:lineRule="auto"/>
              <w:jc w:val="center"/>
              <w:rPr>
                <w:rFonts w:hint="eastAsia" w:ascii="宋体" w:hAnsi="宋体" w:eastAsia="宋体" w:cs="宋体"/>
                <w:sz w:val="24"/>
              </w:rPr>
            </w:pPr>
            <w:r>
              <w:rPr>
                <w:rFonts w:hint="eastAsia" w:ascii="宋体" w:hAnsi="宋体" w:cs="宋体"/>
                <w:sz w:val="24"/>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60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行业发展前景</w:t>
            </w:r>
          </w:p>
        </w:tc>
        <w:tc>
          <w:tcPr>
            <w:tcW w:w="3420" w:type="dxa"/>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88</w:t>
            </w:r>
          </w:p>
        </w:tc>
      </w:tr>
    </w:tbl>
    <w:p>
      <w:pPr>
        <w:spacing w:line="360" w:lineRule="auto"/>
        <w:ind w:firstLine="480" w:firstLineChars="200"/>
        <w:rPr>
          <w:rFonts w:ascii="??_GB2312" w:hAnsi="宋体" w:eastAsia="Times New Roman"/>
          <w:sz w:val="24"/>
        </w:rPr>
      </w:pPr>
    </w:p>
    <w:p>
      <w:pPr>
        <w:spacing w:line="360" w:lineRule="auto"/>
        <w:ind w:firstLine="480" w:firstLineChars="200"/>
        <w:rPr>
          <w:rFonts w:hint="eastAsia" w:ascii="宋体" w:hAnsi="宋体" w:eastAsia="宋体" w:cs="宋体"/>
          <w:sz w:val="24"/>
        </w:rPr>
      </w:pPr>
      <w:r>
        <w:rPr>
          <w:rFonts w:ascii="??_GB2312" w:hAnsi="宋体" w:eastAsia="Times New Roman"/>
          <w:sz w:val="24"/>
        </w:rPr>
        <w:t xml:space="preserve"> </w:t>
      </w:r>
      <w:r>
        <w:rPr>
          <w:rFonts w:hint="eastAsia" w:ascii="宋体" w:hAnsi="宋体" w:eastAsia="宋体" w:cs="宋体"/>
          <w:sz w:val="24"/>
        </w:rPr>
        <w:t>另外，毕业生工作稳定性也可以反映毕业生对职业现状的满意度。本次调研中，我院有6</w:t>
      </w:r>
      <w:r>
        <w:rPr>
          <w:rFonts w:hint="eastAsia" w:ascii="宋体" w:hAnsi="宋体" w:cs="宋体"/>
          <w:sz w:val="24"/>
          <w:lang w:val="en-US" w:eastAsia="zh-CN"/>
        </w:rPr>
        <w:t>5</w:t>
      </w:r>
      <w:r>
        <w:rPr>
          <w:rFonts w:hint="eastAsia" w:ascii="宋体" w:hAnsi="宋体" w:eastAsia="宋体" w:cs="宋体"/>
          <w:sz w:val="24"/>
        </w:rPr>
        <w:t>.4%的毕业生至今没有变动工作，更换过一次工作的占到20%，更换过2次或者3次的占比均较少。由此说明，</w:t>
      </w:r>
      <w:r>
        <w:rPr>
          <w:rFonts w:hint="eastAsia" w:ascii="宋体" w:hAnsi="宋体" w:cs="宋体"/>
          <w:sz w:val="24"/>
        </w:rPr>
        <w:t>20</w:t>
      </w:r>
      <w:r>
        <w:rPr>
          <w:rFonts w:hint="eastAsia" w:ascii="宋体" w:hAnsi="宋体" w:cs="宋体"/>
          <w:sz w:val="24"/>
          <w:lang w:val="en-US" w:eastAsia="zh-CN"/>
        </w:rPr>
        <w:t>20</w:t>
      </w:r>
      <w:r>
        <w:rPr>
          <w:rFonts w:hint="eastAsia" w:ascii="宋体" w:hAnsi="宋体" w:eastAsia="宋体" w:cs="宋体"/>
          <w:sz w:val="24"/>
        </w:rPr>
        <w:t>届毕业生没有频繁更换过工作，工作稳定性较高。</w:t>
      </w:r>
    </w:p>
    <w:p>
      <w:pPr>
        <w:pStyle w:val="4"/>
        <w:numPr>
          <w:ilvl w:val="0"/>
          <w:numId w:val="8"/>
        </w:numPr>
        <w:tabs>
          <w:tab w:val="left" w:pos="540"/>
          <w:tab w:val="clear" w:pos="982"/>
        </w:tabs>
        <w:spacing w:line="360" w:lineRule="auto"/>
        <w:ind w:hanging="802"/>
        <w:rPr>
          <w:rFonts w:ascii="宋体"/>
          <w:sz w:val="28"/>
          <w:szCs w:val="28"/>
        </w:rPr>
      </w:pPr>
      <w:r>
        <w:rPr>
          <w:rFonts w:hint="eastAsia" w:ascii="宋体" w:hAnsi="宋体"/>
          <w:sz w:val="28"/>
          <w:szCs w:val="28"/>
        </w:rPr>
        <w:t>毕业生就业服务满意度</w:t>
      </w:r>
    </w:p>
    <w:p>
      <w:pPr>
        <w:spacing w:line="360" w:lineRule="auto"/>
        <w:ind w:firstLine="480" w:firstLineChars="200"/>
        <w:rPr>
          <w:rFonts w:ascii="??_GB2312" w:hAnsi="宋体" w:eastAsia="Times New Roman"/>
          <w:sz w:val="24"/>
        </w:rPr>
      </w:pPr>
      <w:r>
        <w:rPr>
          <w:rFonts w:hint="eastAsia" w:ascii="??_GB2312" w:hAnsi="宋体"/>
          <w:sz w:val="24"/>
        </w:rPr>
        <w:t>招生与就业服务中心</w:t>
      </w:r>
      <w:r>
        <w:rPr>
          <w:rFonts w:ascii="??_GB2312" w:hAnsi="宋体" w:eastAsia="Times New Roman"/>
          <w:sz w:val="24"/>
        </w:rPr>
        <w:t>针对毕业生开展了多种就业指导服务，包括就业指导手册、院与</w:t>
      </w:r>
      <w:r>
        <w:rPr>
          <w:rFonts w:hint="eastAsia" w:ascii="??_GB2312" w:hAnsi="宋体"/>
          <w:sz w:val="24"/>
        </w:rPr>
        <w:t>各二级学院</w:t>
      </w:r>
      <w:r>
        <w:rPr>
          <w:rFonts w:ascii="??_GB2312" w:hAnsi="宋体" w:eastAsia="Times New Roman"/>
          <w:sz w:val="24"/>
        </w:rPr>
        <w:t>两级定期开展就业咨询和职业生涯规划咨询、召开就业动员大会、发布招聘信息、组织招聘会、开展简历设计大赛活动等。</w:t>
      </w:r>
    </w:p>
    <w:p>
      <w:pPr>
        <w:spacing w:line="360" w:lineRule="auto"/>
        <w:ind w:firstLine="480" w:firstLineChars="200"/>
        <w:rPr>
          <w:rFonts w:ascii="??_GB2312" w:hAnsi="宋体" w:eastAsia="Times New Roman"/>
          <w:sz w:val="24"/>
        </w:rPr>
      </w:pPr>
      <w:r>
        <w:rPr>
          <w:rFonts w:ascii="??_GB2312" w:hAnsi="宋体" w:eastAsia="Times New Roman"/>
          <w:sz w:val="24"/>
        </w:rPr>
        <w:t>就业指导服务的有效性包括就业指导工作满意度、课程评价和就业指导工作改进意见等三方面，具体情况如下：</w:t>
      </w:r>
    </w:p>
    <w:p>
      <w:pPr>
        <w:spacing w:line="360" w:lineRule="auto"/>
        <w:jc w:val="center"/>
        <w:rPr>
          <w:rFonts w:ascii="??_GB2312" w:eastAsia="Times New Roman"/>
          <w:b/>
          <w:sz w:val="24"/>
        </w:rPr>
      </w:pPr>
      <w:r>
        <w:rPr>
          <w:rFonts w:ascii="??_GB2312" w:eastAsia="Times New Roman"/>
          <w:b/>
          <w:sz w:val="24"/>
        </w:rPr>
        <w:t>表3.4：就业指导服务满意度</w:t>
      </w:r>
    </w:p>
    <w:p>
      <w:pPr>
        <w:spacing w:line="360" w:lineRule="auto"/>
        <w:jc w:val="center"/>
        <w:rPr>
          <w:rFonts w:ascii="??_GB2312" w:eastAsia="Times New Roman"/>
          <w:b/>
          <w:sz w:val="24"/>
        </w:rPr>
      </w:pPr>
      <w:r>
        <w:rPr>
          <w:rFonts w:ascii="??_GB2312" w:hAnsi="宋体" w:eastAsia="Times New Roman"/>
          <w:sz w:val="24"/>
          <w:bdr w:val="single" w:color="auto" w:sz="4" w:space="0"/>
        </w:rPr>
        <w:object>
          <v:shape id="_x0000_i1029" o:spt="75" type="#_x0000_t75" style="height:198.35pt;width:448.25pt;" o:ole="t" filled="f" o:preferrelative="t" stroked="f" coordsize="21600,21600">
            <v:path/>
            <v:fill on="f" focussize="0,0"/>
            <v:stroke on="f"/>
            <v:imagedata r:id="rId22" cropleft="-3843f" croptop="-5431f" cropright="-29370f" cropbottom="-2906f" o:title=""/>
            <o:lock v:ext="edit" aspectratio="f"/>
            <w10:wrap type="none"/>
            <w10:anchorlock/>
          </v:shape>
          <o:OLEObject Type="Embed" ProgID="Excel.Sheet.8" ShapeID="_x0000_i1029" DrawAspect="Content" ObjectID="_1468075729" r:id="rId21">
            <o:LockedField>false</o:LockedField>
          </o:OLEObject>
        </w:object>
      </w:r>
      <w:r>
        <w:rPr>
          <w:rFonts w:ascii="??_GB2312" w:eastAsia="Times New Roman"/>
          <w:b/>
          <w:sz w:val="24"/>
        </w:rPr>
        <w:t>表3.5：就业指导和职业生涯规划课程指标评价</w:t>
      </w:r>
    </w:p>
    <w:p>
      <w:pPr>
        <w:jc w:val="center"/>
      </w:pPr>
      <w:bookmarkStart w:id="74" w:name="_Toc436748543"/>
      <w:r>
        <w:rPr>
          <w:bdr w:val="single" w:color="auto" w:sz="4" w:space="0"/>
        </w:rPr>
        <w:object>
          <v:shape id="_x0000_i1030" o:spt="75" type="#_x0000_t75" style="height:167.15pt;width:355.6pt;" o:ole="t" filled="f" o:preferrelative="t" stroked="f" coordsize="21600,21600">
            <v:path/>
            <v:fill on="f" focussize="0,0"/>
            <v:stroke on="f"/>
            <v:imagedata r:id="rId24" cropleft="-1472f" croptop="-2806f" cropright="-1308f" cropbottom="-838f" o:title=""/>
            <o:lock v:ext="edit" aspectratio="f"/>
            <w10:wrap type="none"/>
            <w10:anchorlock/>
          </v:shape>
          <o:OLEObject Type="Embed" ProgID="Excel.Sheet.8" ShapeID="_x0000_i1030" DrawAspect="Content" ObjectID="_1468075730" r:id="rId23">
            <o:LockedField>false</o:LockedField>
          </o:OLEObject>
        </w:object>
      </w:r>
      <w:bookmarkEnd w:id="74"/>
    </w:p>
    <w:p>
      <w:pPr>
        <w:rPr>
          <w:color w:val="0066FF"/>
        </w:rPr>
      </w:pPr>
    </w:p>
    <w:p>
      <w:pPr>
        <w:spacing w:line="360" w:lineRule="auto"/>
        <w:jc w:val="center"/>
        <w:rPr>
          <w:rFonts w:ascii="??_GB2312" w:eastAsia="Times New Roman"/>
          <w:b/>
          <w:sz w:val="24"/>
        </w:rPr>
      </w:pPr>
      <w:r>
        <w:rPr>
          <w:rFonts w:ascii="??_GB2312" w:eastAsia="Times New Roman"/>
          <w:b/>
          <w:sz w:val="24"/>
        </w:rPr>
        <w:t>表3.6：就业指导服务改进指标评价</w:t>
      </w:r>
    </w:p>
    <w:p>
      <w:pPr>
        <w:spacing w:line="360" w:lineRule="auto"/>
        <w:ind w:firstLine="480" w:firstLineChars="200"/>
        <w:jc w:val="center"/>
        <w:rPr>
          <w:rFonts w:ascii="??_GB2312" w:hAnsi="宋体" w:eastAsia="Times New Roman"/>
          <w:sz w:val="24"/>
        </w:rPr>
      </w:pPr>
      <w:bookmarkStart w:id="75" w:name="OLE_LINK14"/>
      <w:r>
        <w:rPr>
          <w:rFonts w:ascii="??_GB2312" w:hAnsi="宋体" w:eastAsia="Times New Roman"/>
          <w:sz w:val="24"/>
          <w:bdr w:val="single" w:color="auto" w:sz="4" w:space="0"/>
        </w:rPr>
        <w:object>
          <v:shape id="_x0000_i1031" o:spt="75" type="#_x0000_t75" style="height:186.9pt;width:366.25pt;" o:ole="t" filled="f" o:preferrelative="t" stroked="f" coordsize="21600,21600">
            <v:path/>
            <v:fill on="f" focussize="0,0"/>
            <v:stroke on="f" joinstyle="miter"/>
            <v:imagedata r:id="rId26" cropleft="-4152f" croptop="-3799f" cropright="-3921f" cropbottom="-809f" o:title=""/>
            <o:lock v:ext="edit" aspectratio="f"/>
            <w10:wrap type="none"/>
            <w10:anchorlock/>
          </v:shape>
          <o:OLEObject Type="Embed" ProgID="Excel.Sheet.8" ShapeID="_x0000_i1031" DrawAspect="Content" ObjectID="_1468075731" r:id="rId25">
            <o:LockedField>false</o:LockedField>
          </o:OLEObject>
        </w:object>
      </w:r>
      <w:bookmarkEnd w:id="75"/>
    </w:p>
    <w:p>
      <w:pPr>
        <w:spacing w:line="360" w:lineRule="auto"/>
        <w:ind w:firstLine="480" w:firstLineChars="200"/>
        <w:jc w:val="center"/>
        <w:rPr>
          <w:rFonts w:ascii="??_GB2312" w:hAnsi="宋体" w:eastAsia="Times New Roman"/>
          <w:sz w:val="24"/>
        </w:rPr>
      </w:pPr>
    </w:p>
    <w:p>
      <w:pPr>
        <w:spacing w:line="360" w:lineRule="auto"/>
        <w:ind w:firstLine="480" w:firstLineChars="200"/>
        <w:rPr>
          <w:rFonts w:ascii="??_GB2312" w:hAnsi="宋体" w:eastAsia="Times New Roman"/>
          <w:sz w:val="24"/>
        </w:rPr>
      </w:pPr>
      <w:r>
        <w:rPr>
          <w:rFonts w:ascii="??_GB2312" w:hAnsi="宋体" w:eastAsia="Times New Roman"/>
          <w:sz w:val="24"/>
        </w:rPr>
        <w:t>总体来说我院毕业生对就业指导服务工作的满意度达到了9</w:t>
      </w:r>
      <w:r>
        <w:rPr>
          <w:rFonts w:hint="eastAsia" w:ascii="??_GB2312" w:hAnsi="宋体"/>
          <w:sz w:val="24"/>
        </w:rPr>
        <w:t>5</w:t>
      </w:r>
      <w:r>
        <w:rPr>
          <w:rFonts w:ascii="??_GB2312" w:hAnsi="宋体" w:eastAsia="Times New Roman"/>
          <w:sz w:val="24"/>
        </w:rPr>
        <w:t>%以上。从表中看出，我院今后在招聘会工作、工作人员态度等方面更需提高。</w:t>
      </w:r>
      <w:r>
        <w:rPr>
          <w:rFonts w:hint="eastAsia" w:ascii="??_GB2312" w:hAnsi="宋体"/>
          <w:sz w:val="24"/>
        </w:rPr>
        <w:t>招生与就业服务中心</w:t>
      </w:r>
      <w:r>
        <w:rPr>
          <w:rFonts w:ascii="??_GB2312" w:hAnsi="宋体" w:eastAsia="Times New Roman"/>
          <w:sz w:val="24"/>
        </w:rPr>
        <w:t>将进一步改善服务水平，加大招聘信息发布力度，提升学生就业与职业发展学会成员服务能力。</w:t>
      </w:r>
    </w:p>
    <w:p>
      <w:pPr>
        <w:pStyle w:val="3"/>
        <w:numPr>
          <w:ilvl w:val="0"/>
          <w:numId w:val="7"/>
        </w:numPr>
        <w:spacing w:line="360" w:lineRule="auto"/>
        <w:rPr>
          <w:color w:val="000000"/>
          <w:sz w:val="30"/>
          <w:szCs w:val="30"/>
        </w:rPr>
      </w:pPr>
      <w:bookmarkStart w:id="76" w:name="_Toc504614054"/>
      <w:r>
        <w:rPr>
          <w:rFonts w:hint="eastAsia"/>
          <w:color w:val="000000"/>
          <w:sz w:val="30"/>
          <w:szCs w:val="30"/>
        </w:rPr>
        <w:t>就业质量评价</w:t>
      </w:r>
      <w:bookmarkEnd w:id="76"/>
    </w:p>
    <w:p>
      <w:pPr>
        <w:pStyle w:val="4"/>
        <w:numPr>
          <w:ilvl w:val="0"/>
          <w:numId w:val="9"/>
        </w:numPr>
        <w:tabs>
          <w:tab w:val="left" w:pos="540"/>
          <w:tab w:val="clear" w:pos="1680"/>
        </w:tabs>
        <w:spacing w:line="360" w:lineRule="auto"/>
        <w:ind w:left="900" w:hanging="720"/>
        <w:rPr>
          <w:rFonts w:ascii="宋体"/>
          <w:sz w:val="28"/>
          <w:szCs w:val="28"/>
        </w:rPr>
      </w:pPr>
      <w:r>
        <w:rPr>
          <w:rFonts w:hint="eastAsia" w:ascii="宋体" w:hAnsi="宋体"/>
          <w:sz w:val="28"/>
          <w:szCs w:val="28"/>
        </w:rPr>
        <w:t>用人单位对毕业生的评价</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汇总统计《</w:t>
      </w:r>
      <w:r>
        <w:rPr>
          <w:rFonts w:hint="eastAsia" w:ascii="宋体" w:hAnsi="宋体" w:cs="宋体"/>
          <w:sz w:val="24"/>
        </w:rPr>
        <w:t>20</w:t>
      </w:r>
      <w:r>
        <w:rPr>
          <w:rFonts w:hint="eastAsia" w:ascii="宋体" w:hAnsi="宋体" w:cs="宋体"/>
          <w:sz w:val="24"/>
          <w:lang w:val="en-US" w:eastAsia="zh-CN"/>
        </w:rPr>
        <w:t>20</w:t>
      </w:r>
      <w:r>
        <w:rPr>
          <w:rFonts w:hint="eastAsia" w:ascii="宋体" w:hAnsi="宋体" w:eastAsia="宋体" w:cs="宋体"/>
          <w:sz w:val="24"/>
        </w:rPr>
        <w:t>年毕业生秋季校园招聘会调查问卷》，共有1</w:t>
      </w:r>
      <w:r>
        <w:rPr>
          <w:rFonts w:hint="eastAsia" w:ascii="宋体" w:hAnsi="宋体" w:cs="宋体"/>
          <w:sz w:val="24"/>
          <w:lang w:val="en-US" w:eastAsia="zh-CN"/>
        </w:rPr>
        <w:t>20</w:t>
      </w:r>
      <w:r>
        <w:rPr>
          <w:rFonts w:hint="eastAsia" w:ascii="宋体" w:hAnsi="宋体" w:eastAsia="宋体" w:cs="宋体"/>
          <w:sz w:val="24"/>
        </w:rPr>
        <w:t>家用人单位在我院“毕业生评价”、“就业指导评价”以及“招聘会评价”等方面给出了反馈，具体情况如下：</w:t>
      </w:r>
    </w:p>
    <w:p>
      <w:pPr>
        <w:spacing w:line="360" w:lineRule="auto"/>
        <w:jc w:val="center"/>
        <w:rPr>
          <w:rFonts w:hint="eastAsia" w:ascii="宋体" w:hAnsi="宋体" w:eastAsia="宋体" w:cs="宋体"/>
          <w:b/>
          <w:sz w:val="24"/>
        </w:rPr>
      </w:pPr>
      <w:r>
        <w:rPr>
          <w:rFonts w:hint="eastAsia" w:ascii="宋体" w:hAnsi="宋体" w:eastAsia="宋体" w:cs="宋体"/>
          <w:b/>
          <w:sz w:val="24"/>
        </w:rPr>
        <w:t>表3.7：毕业生评价</w:t>
      </w:r>
    </w:p>
    <w:p>
      <w:pPr>
        <w:spacing w:line="360" w:lineRule="auto"/>
        <w:jc w:val="center"/>
        <w:rPr>
          <w:rFonts w:ascii="??_GB2312" w:hAnsi="宋体" w:eastAsia="Times New Roman"/>
          <w:b/>
          <w:sz w:val="24"/>
        </w:rPr>
      </w:pPr>
      <w:r>
        <w:rPr>
          <w:rFonts w:ascii="??_GB2312" w:hAnsi="宋体" w:eastAsia="Times New Roman"/>
          <w:b/>
          <w:sz w:val="24"/>
          <w:bdr w:val="single" w:color="auto" w:sz="4" w:space="0"/>
        </w:rPr>
        <w:object>
          <v:shape id="_x0000_i1032" o:spt="75" type="#_x0000_t75" style="height:239.85pt;width:350.15pt;" o:ole="t" filled="f" o:preferrelative="t" stroked="f" coordsize="21600,21600">
            <v:path/>
            <v:fill on="f" focussize="0,0"/>
            <v:stroke on="f"/>
            <v:imagedata r:id="rId28" cropleft="-4243f" croptop="-4842f" cropright="-943f" cropbottom="-2757f" o:title=""/>
            <o:lock v:ext="edit" aspectratio="f"/>
            <w10:wrap type="none"/>
            <w10:anchorlock/>
          </v:shape>
          <o:OLEObject Type="Embed" ProgID="Excel.Sheet.8" ShapeID="_x0000_i1032" DrawAspect="Content" ObjectID="_1468075732" r:id="rId27">
            <o:LockedField>false</o:LockedField>
          </o:OLEObject>
        </w:object>
      </w:r>
    </w:p>
    <w:p>
      <w:pPr>
        <w:spacing w:line="360" w:lineRule="auto"/>
        <w:rPr>
          <w:rFonts w:ascii="??_GB2312" w:hAnsi="宋体" w:eastAsia="Times New Roman"/>
          <w:b/>
          <w:sz w:val="24"/>
        </w:rPr>
      </w:pPr>
    </w:p>
    <w:p>
      <w:pPr>
        <w:spacing w:line="360" w:lineRule="auto"/>
        <w:ind w:firstLine="495"/>
        <w:rPr>
          <w:rFonts w:hint="eastAsia" w:ascii="宋体" w:hAnsi="宋体" w:eastAsia="宋体" w:cs="宋体"/>
          <w:sz w:val="24"/>
        </w:rPr>
      </w:pPr>
      <w:r>
        <w:rPr>
          <w:rFonts w:hint="eastAsia" w:ascii="宋体" w:hAnsi="宋体" w:eastAsia="宋体" w:cs="宋体"/>
          <w:sz w:val="24"/>
        </w:rPr>
        <w:t>总体来说，用人单位对我院毕业生的总体满意度达到了9</w:t>
      </w:r>
      <w:r>
        <w:rPr>
          <w:rFonts w:hint="eastAsia" w:ascii="宋体" w:hAnsi="宋体" w:cs="宋体"/>
          <w:sz w:val="24"/>
          <w:lang w:val="en-US" w:eastAsia="zh-CN"/>
        </w:rPr>
        <w:t>5</w:t>
      </w:r>
      <w:r>
        <w:rPr>
          <w:rFonts w:hint="eastAsia" w:ascii="宋体" w:hAnsi="宋体" w:eastAsia="宋体" w:cs="宋体"/>
          <w:sz w:val="24"/>
        </w:rPr>
        <w:t>%，其中对毕业生的专业知识、职业道德和吃苦耐劳精神等几方面比较满意。毕业生的实践经验、团队精神和创造能力等方面仍需要加强。另外用人单位对毕业生培养提出了自己的意见和建议，认为学校应该更加注重培养毕业生的专业知识、技术创新能力、敬业精神、学习能力、组织协调能力和文字表达能力等。同时调查结果显示，在招聘时，更加注重毕业生的人品性格和专业知识。匹配度上来说，我院毕业生综合素质和工作能力基本符合市场要求。</w:t>
      </w:r>
    </w:p>
    <w:p>
      <w:pPr>
        <w:spacing w:line="360" w:lineRule="auto"/>
        <w:jc w:val="center"/>
        <w:rPr>
          <w:rFonts w:ascii="??_GB2312" w:hAnsi="宋体" w:eastAsia="Times New Roman"/>
          <w:b/>
          <w:sz w:val="24"/>
        </w:rPr>
      </w:pPr>
      <w:r>
        <w:rPr>
          <w:rFonts w:ascii="??_GB2312" w:eastAsia="Times New Roman"/>
          <w:b/>
          <w:sz w:val="24"/>
        </w:rPr>
        <w:t>表3.8：</w:t>
      </w:r>
      <w:r>
        <w:rPr>
          <w:rFonts w:ascii="??_GB2312" w:hAnsi="宋体" w:eastAsia="Times New Roman"/>
          <w:b/>
          <w:sz w:val="24"/>
        </w:rPr>
        <w:t>就业指导评价</w:t>
      </w:r>
    </w:p>
    <w:p>
      <w:pPr>
        <w:spacing w:line="360" w:lineRule="auto"/>
        <w:jc w:val="center"/>
        <w:rPr>
          <w:rFonts w:ascii="??_GB2312" w:hAnsi="宋体" w:eastAsia="Times New Roman"/>
          <w:b/>
          <w:sz w:val="24"/>
        </w:rPr>
      </w:pPr>
      <w:r>
        <w:rPr>
          <w:rFonts w:ascii="??_GB2312" w:hAnsi="宋体" w:eastAsia="Times New Roman"/>
          <w:b/>
          <w:sz w:val="24"/>
          <w:bdr w:val="single" w:color="auto" w:sz="4" w:space="0"/>
        </w:rPr>
        <w:object>
          <v:shape id="_x0000_i1033" o:spt="75" type="#_x0000_t75" style="height:211.05pt;width:373.95pt;" o:ole="t" filled="f" o:preferrelative="t" stroked="f" coordsize="21600,21600">
            <v:path/>
            <v:fill on="f" focussize="0,0"/>
            <v:stroke on="f"/>
            <v:imagedata r:id="rId30" cropleft="-6683f" croptop="-8325f" cropright="-1926f" cropbottom="-3052f" o:title=""/>
            <o:lock v:ext="edit" aspectratio="f"/>
            <w10:wrap type="none"/>
            <w10:anchorlock/>
          </v:shape>
          <o:OLEObject Type="Embed" ProgID="Excel.Sheet.8" ShapeID="_x0000_i1033" DrawAspect="Content" ObjectID="_1468075733" r:id="rId29">
            <o:LockedField>false</o:LockedField>
          </o:OLEObject>
        </w:objec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根据反馈情况，用人单位希望学校更多的在职业规划、招聘信息方面给予学生指导。这给学院未来就业指导工作指明了具体方向。</w:t>
      </w:r>
    </w:p>
    <w:p>
      <w:pPr>
        <w:spacing w:line="360" w:lineRule="auto"/>
        <w:jc w:val="center"/>
        <w:rPr>
          <w:rFonts w:ascii="??_GB2312" w:hAnsi="宋体" w:eastAsia="Times New Roman"/>
          <w:b/>
          <w:sz w:val="24"/>
        </w:rPr>
      </w:pPr>
      <w:r>
        <w:rPr>
          <w:rFonts w:ascii="??_GB2312" w:eastAsia="Times New Roman"/>
          <w:b/>
          <w:sz w:val="24"/>
        </w:rPr>
        <w:t>表3.9：</w:t>
      </w:r>
      <w:r>
        <w:rPr>
          <w:rFonts w:ascii="??_GB2312" w:hAnsi="宋体" w:eastAsia="Times New Roman"/>
          <w:b/>
          <w:sz w:val="24"/>
        </w:rPr>
        <w:t>招聘会评价</w:t>
      </w:r>
    </w:p>
    <w:p>
      <w:pPr>
        <w:spacing w:line="360" w:lineRule="auto"/>
        <w:ind w:firstLine="0" w:firstLineChars="0"/>
        <w:jc w:val="left"/>
        <w:rPr>
          <w:rFonts w:hint="eastAsia" w:ascii="宋体" w:hAnsi="宋体" w:eastAsia="宋体" w:cs="宋体"/>
          <w:sz w:val="24"/>
        </w:rPr>
      </w:pPr>
      <w:r>
        <w:rPr>
          <w:rFonts w:ascii="??_GB2312" w:hAnsi="宋体" w:eastAsia="Times New Roman"/>
          <w:b/>
          <w:sz w:val="24"/>
          <w:bdr w:val="single" w:color="auto" w:sz="4" w:space="0"/>
        </w:rPr>
        <w:object>
          <v:shape id="_x0000_i1034" o:spt="75" type="#_x0000_t75" style="height:193pt;width:418.85pt;" o:ole="t" filled="f" o:preferrelative="t" stroked="f" coordsize="21600,21600">
            <v:path/>
            <v:fill on="f" focussize="0,0"/>
            <v:stroke on="f"/>
            <v:imagedata r:id="rId32" cropleft="-4654f" croptop="-8023f" cropright="-2133f" cropbottom="-3099f" o:title=""/>
            <o:lock v:ext="edit" aspectratio="f"/>
            <w10:wrap type="none"/>
            <w10:anchorlock/>
          </v:shape>
          <o:OLEObject Type="Embed" ProgID="Excel.Sheet.8" ShapeID="_x0000_i1034" DrawAspect="Content" ObjectID="_1468075734" r:id="rId31">
            <o:LockedField>false</o:LockedField>
          </o:OLEObject>
        </w:object>
      </w:r>
      <w:r>
        <w:rPr>
          <w:rFonts w:hint="eastAsia" w:ascii="??_GB2312" w:hAnsi="宋体"/>
          <w:sz w:val="24"/>
          <w:lang w:val="en-US" w:eastAsia="zh-CN"/>
        </w:rPr>
        <w:t xml:space="preserve">    </w:t>
      </w:r>
      <w:r>
        <w:rPr>
          <w:rFonts w:hint="eastAsia" w:ascii="宋体" w:hAnsi="宋体" w:eastAsia="宋体" w:cs="宋体"/>
          <w:sz w:val="24"/>
        </w:rPr>
        <w:t>从数据上看，用人单位对我院举办的大型招聘会的平均好评率达到了90%以上，用人单位对我院招聘会的招聘接待工作、组织工作更为满意，招聘会场地设施方面需要加强。</w:t>
      </w:r>
    </w:p>
    <w:p>
      <w:pPr>
        <w:pStyle w:val="2"/>
        <w:numPr>
          <w:ilvl w:val="0"/>
          <w:numId w:val="4"/>
        </w:numPr>
        <w:jc w:val="center"/>
        <w:rPr>
          <w:rFonts w:ascii="黑体" w:eastAsia="黑体"/>
          <w:color w:val="000000"/>
          <w:sz w:val="32"/>
          <w:szCs w:val="32"/>
        </w:rPr>
      </w:pPr>
      <w:bookmarkStart w:id="77" w:name="_Toc504614055"/>
      <w:r>
        <w:rPr>
          <w:rFonts w:hint="eastAsia" w:ascii="黑体" w:eastAsia="黑体"/>
          <w:color w:val="000000"/>
          <w:sz w:val="32"/>
          <w:szCs w:val="32"/>
        </w:rPr>
        <w:t>：毕业生就业趋势分析</w:t>
      </w:r>
      <w:bookmarkEnd w:id="77"/>
    </w:p>
    <w:p/>
    <w:p>
      <w:pPr>
        <w:pStyle w:val="3"/>
        <w:numPr>
          <w:ilvl w:val="0"/>
          <w:numId w:val="10"/>
        </w:numPr>
        <w:spacing w:line="360" w:lineRule="auto"/>
        <w:rPr>
          <w:rFonts w:ascii="宋体" w:hAnsi="宋体" w:eastAsia="宋体"/>
          <w:color w:val="000000"/>
          <w:sz w:val="30"/>
          <w:szCs w:val="30"/>
        </w:rPr>
      </w:pPr>
      <w:bookmarkStart w:id="78" w:name="_Toc504614056"/>
      <w:r>
        <w:rPr>
          <w:rFonts w:hint="eastAsia" w:ascii="宋体" w:hAnsi="宋体" w:eastAsia="宋体"/>
          <w:color w:val="000000"/>
          <w:sz w:val="30"/>
          <w:szCs w:val="30"/>
        </w:rPr>
        <w:t>规模变化情况</w:t>
      </w:r>
      <w:bookmarkEnd w:id="78"/>
    </w:p>
    <w:p>
      <w:pPr>
        <w:spacing w:line="360" w:lineRule="auto"/>
        <w:ind w:firstLine="480" w:firstLineChars="200"/>
        <w:rPr>
          <w:rFonts w:hint="eastAsia" w:ascii="宋体" w:hAnsi="宋体" w:eastAsia="宋体" w:cs="宋体"/>
          <w:b/>
          <w:sz w:val="24"/>
        </w:rPr>
      </w:pPr>
      <w:r>
        <w:rPr>
          <w:rFonts w:hint="eastAsia" w:ascii="宋体" w:hAnsi="宋体" w:eastAsia="宋体" w:cs="宋体"/>
          <w:kern w:val="0"/>
          <w:sz w:val="24"/>
        </w:rPr>
        <w:t>学院从2008年建校开始，至今已送走9届毕业生，共计</w:t>
      </w:r>
      <w:r>
        <w:rPr>
          <w:rFonts w:hint="eastAsia" w:ascii="宋体" w:hAnsi="宋体" w:cs="宋体"/>
          <w:kern w:val="0"/>
          <w:sz w:val="24"/>
          <w:lang w:val="en-US" w:eastAsia="zh-CN"/>
        </w:rPr>
        <w:t>12846</w:t>
      </w:r>
      <w:r>
        <w:rPr>
          <w:rFonts w:hint="eastAsia" w:ascii="宋体" w:hAnsi="宋体" w:eastAsia="宋体" w:cs="宋体"/>
          <w:kern w:val="0"/>
          <w:sz w:val="24"/>
        </w:rPr>
        <w:t>人。</w:t>
      </w:r>
    </w:p>
    <w:p>
      <w:pPr>
        <w:rPr>
          <w:rFonts w:hint="eastAsia" w:ascii="宋体" w:hAnsi="宋体" w:eastAsia="宋体" w:cs="宋体"/>
          <w:b/>
          <w:sz w:val="24"/>
        </w:rPr>
      </w:pPr>
    </w:p>
    <w:p>
      <w:pPr>
        <w:ind w:firstLine="2046" w:firstLineChars="849"/>
        <w:rPr>
          <w:rFonts w:ascii="??_GB2312" w:eastAsia="Times New Roman"/>
          <w:b/>
          <w:sz w:val="24"/>
        </w:rPr>
      </w:pPr>
      <w:r>
        <w:rPr>
          <w:rFonts w:hint="eastAsia" w:ascii="宋体" w:hAnsi="宋体" w:eastAsia="宋体" w:cs="宋体"/>
          <w:b/>
          <w:sz w:val="24"/>
        </w:rPr>
        <w:t>表4.1:2012-</w:t>
      </w:r>
      <w:r>
        <w:rPr>
          <w:rFonts w:hint="eastAsia" w:ascii="宋体" w:hAnsi="宋体" w:cs="宋体"/>
          <w:b/>
          <w:sz w:val="24"/>
        </w:rPr>
        <w:t>20</w:t>
      </w:r>
      <w:r>
        <w:rPr>
          <w:rFonts w:hint="eastAsia" w:ascii="宋体" w:hAnsi="宋体" w:cs="宋体"/>
          <w:b/>
          <w:sz w:val="24"/>
          <w:lang w:val="en-US" w:eastAsia="zh-CN"/>
        </w:rPr>
        <w:t>20</w:t>
      </w:r>
      <w:r>
        <w:rPr>
          <w:rFonts w:hint="eastAsia" w:ascii="宋体" w:hAnsi="宋体" w:eastAsia="宋体" w:cs="宋体"/>
          <w:b/>
          <w:sz w:val="24"/>
        </w:rPr>
        <w:t>届毕业生规模变化（%）</w:t>
      </w:r>
    </w:p>
    <w:p>
      <w:pPr>
        <w:spacing w:line="240" w:lineRule="auto"/>
        <w:ind w:firstLine="0" w:firstLineChars="0"/>
        <w:jc w:val="center"/>
        <w:rPr>
          <w:rFonts w:ascii="??_GB2312" w:hAnsi="宋体" w:eastAsia="Times New Roman" w:cs="宋体"/>
          <w:sz w:val="24"/>
          <w:szCs w:val="24"/>
        </w:rPr>
      </w:pPr>
      <w:r>
        <w:rPr>
          <w:rFonts w:ascii="??_GB2312" w:eastAsia="Times New Roman"/>
          <w:b/>
          <w:sz w:val="24"/>
          <w:bdr w:val="single" w:color="auto" w:sz="4" w:space="0"/>
        </w:rPr>
        <w:object>
          <v:shape id="_x0000_i1035" o:spt="75" alt="oleimage" type="#_x0000_t75" style="height:247.9pt;width:500.2pt;" o:ole="t" filled="f" o:preferrelative="t" stroked="f" coordsize="21600,21600">
            <v:path/>
            <v:fill on="f" focussize="0,0"/>
            <v:stroke on="f"/>
            <v:imagedata r:id="rId34" cropleft="-803f" croptop="-3023f" cropright="-6152f" cropbottom="-2407f" o:title=""/>
            <o:lock v:ext="edit" aspectratio="f"/>
            <w10:wrap type="none"/>
            <w10:anchorlock/>
          </v:shape>
          <o:OLEObject Type="Embed" ProgID="Excel.Sheet.8" ShapeID="_x0000_i1035" DrawAspect="Content" ObjectID="_1468075735" r:id="rId33">
            <o:LockedField>false</o:LockedField>
          </o:OLEObject>
        </w:objec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我院建校十年来，从2012年到</w:t>
      </w:r>
      <w:r>
        <w:rPr>
          <w:rFonts w:hint="eastAsia" w:ascii="宋体" w:hAnsi="宋体" w:cs="宋体"/>
          <w:sz w:val="24"/>
          <w:szCs w:val="24"/>
        </w:rPr>
        <w:t>2020</w:t>
      </w:r>
      <w:r>
        <w:rPr>
          <w:rFonts w:hint="eastAsia" w:ascii="宋体" w:hAnsi="宋体" w:eastAsia="宋体" w:cs="宋体"/>
          <w:sz w:val="24"/>
          <w:szCs w:val="24"/>
        </w:rPr>
        <w:t>年</w:t>
      </w:r>
      <w:r>
        <w:rPr>
          <w:rFonts w:hint="eastAsia" w:ascii="宋体" w:hAnsi="宋体" w:eastAsia="宋体" w:cs="宋体"/>
          <w:sz w:val="24"/>
          <w:szCs w:val="24"/>
          <w:lang w:val="en-US" w:eastAsia="zh-Hans"/>
        </w:rPr>
        <w:t>九</w:t>
      </w:r>
      <w:r>
        <w:rPr>
          <w:rFonts w:hint="eastAsia" w:ascii="宋体" w:hAnsi="宋体" w:eastAsia="宋体" w:cs="宋体"/>
          <w:sz w:val="24"/>
          <w:szCs w:val="24"/>
        </w:rPr>
        <w:t>届毕业生占历届学院总人数的比例呈现逐年上升的趋势。</w:t>
      </w:r>
    </w:p>
    <w:p>
      <w:pPr>
        <w:spacing w:line="360" w:lineRule="auto"/>
        <w:ind w:firstLine="1928" w:firstLineChars="800"/>
        <w:rPr>
          <w:rFonts w:hint="eastAsia" w:ascii="宋体" w:hAnsi="宋体" w:eastAsia="宋体" w:cs="宋体"/>
          <w:b/>
          <w:sz w:val="24"/>
        </w:rPr>
      </w:pPr>
    </w:p>
    <w:p>
      <w:pPr>
        <w:spacing w:line="360" w:lineRule="auto"/>
        <w:ind w:firstLine="1928" w:firstLineChars="800"/>
        <w:rPr>
          <w:rFonts w:hint="eastAsia" w:ascii="宋体" w:hAnsi="宋体" w:eastAsia="宋体" w:cs="宋体"/>
          <w:b/>
          <w:sz w:val="24"/>
        </w:rPr>
      </w:pPr>
    </w:p>
    <w:p>
      <w:pPr>
        <w:spacing w:line="360" w:lineRule="auto"/>
        <w:ind w:firstLine="1928" w:firstLineChars="800"/>
        <w:rPr>
          <w:rFonts w:hint="eastAsia" w:ascii="宋体" w:hAnsi="宋体" w:eastAsia="宋体" w:cs="宋体"/>
          <w:b/>
          <w:sz w:val="24"/>
        </w:rPr>
      </w:pPr>
    </w:p>
    <w:p>
      <w:pPr>
        <w:spacing w:line="360" w:lineRule="auto"/>
        <w:ind w:firstLine="1928" w:firstLineChars="800"/>
        <w:rPr>
          <w:rFonts w:hint="eastAsia" w:ascii="宋体" w:hAnsi="宋体" w:eastAsia="宋体" w:cs="宋体"/>
          <w:b/>
          <w:sz w:val="24"/>
        </w:rPr>
      </w:pPr>
    </w:p>
    <w:p>
      <w:pPr>
        <w:spacing w:line="360" w:lineRule="auto"/>
        <w:ind w:firstLine="1928" w:firstLineChars="800"/>
        <w:rPr>
          <w:rFonts w:hint="eastAsia" w:ascii="宋体" w:hAnsi="宋体" w:eastAsia="宋体" w:cs="宋体"/>
          <w:b/>
          <w:sz w:val="24"/>
        </w:rPr>
      </w:pPr>
    </w:p>
    <w:p>
      <w:pPr>
        <w:spacing w:line="360" w:lineRule="auto"/>
        <w:ind w:firstLine="1928" w:firstLineChars="800"/>
        <w:rPr>
          <w:rFonts w:hint="eastAsia" w:ascii="宋体" w:hAnsi="宋体" w:eastAsia="宋体" w:cs="宋体"/>
          <w:b/>
          <w:sz w:val="24"/>
        </w:rPr>
      </w:pPr>
    </w:p>
    <w:p>
      <w:pPr>
        <w:spacing w:line="360" w:lineRule="auto"/>
        <w:ind w:firstLine="1928" w:firstLineChars="800"/>
        <w:rPr>
          <w:rFonts w:hint="eastAsia" w:ascii="宋体" w:hAnsi="宋体" w:eastAsia="宋体" w:cs="宋体"/>
          <w:b/>
          <w:sz w:val="24"/>
        </w:rPr>
      </w:pPr>
    </w:p>
    <w:p>
      <w:pPr>
        <w:spacing w:line="360" w:lineRule="auto"/>
        <w:ind w:firstLine="1928" w:firstLineChars="800"/>
        <w:rPr>
          <w:rFonts w:hint="eastAsia" w:ascii="宋体" w:hAnsi="宋体" w:eastAsia="宋体" w:cs="宋体"/>
          <w:b/>
          <w:sz w:val="24"/>
        </w:rPr>
      </w:pPr>
    </w:p>
    <w:p>
      <w:pPr>
        <w:spacing w:line="360" w:lineRule="auto"/>
        <w:ind w:firstLine="1928" w:firstLineChars="800"/>
        <w:rPr>
          <w:rFonts w:hint="eastAsia" w:ascii="宋体" w:hAnsi="宋体" w:cs="宋体"/>
        </w:rPr>
      </w:pPr>
      <w:r>
        <w:rPr>
          <w:rFonts w:hint="eastAsia" w:ascii="宋体" w:hAnsi="宋体" w:eastAsia="宋体" w:cs="宋体"/>
          <w:b/>
          <w:sz w:val="24"/>
        </w:rPr>
        <w:t>表4.2:2012-</w:t>
      </w:r>
      <w:r>
        <w:rPr>
          <w:rFonts w:hint="eastAsia" w:ascii="宋体" w:hAnsi="宋体" w:cs="宋体"/>
          <w:b/>
          <w:sz w:val="24"/>
        </w:rPr>
        <w:t>2020</w:t>
      </w:r>
      <w:r>
        <w:rPr>
          <w:rFonts w:hint="eastAsia" w:ascii="宋体" w:hAnsi="宋体" w:eastAsia="宋体" w:cs="宋体"/>
          <w:b/>
          <w:sz w:val="24"/>
        </w:rPr>
        <w:t>届各</w:t>
      </w:r>
      <w:r>
        <w:rPr>
          <w:rFonts w:hint="eastAsia" w:ascii="宋体" w:hAnsi="宋体" w:cs="宋体"/>
          <w:b/>
          <w:sz w:val="24"/>
        </w:rPr>
        <w:t>二级学院</w:t>
      </w:r>
      <w:r>
        <w:rPr>
          <w:rFonts w:hint="eastAsia" w:ascii="宋体" w:hAnsi="宋体" w:eastAsia="宋体" w:cs="宋体"/>
          <w:b/>
          <w:sz w:val="24"/>
        </w:rPr>
        <w:t>毕业生人数变化情况</w:t>
      </w:r>
    </w:p>
    <w:p>
      <w:pPr>
        <w:spacing w:line="360" w:lineRule="auto"/>
        <w:ind w:left="0"/>
        <w:rPr>
          <w:rFonts w:hint="eastAsia" w:ascii="宋体" w:hAnsi="宋体" w:cs="宋体"/>
          <w:szCs w:val="21"/>
        </w:rPr>
      </w:pPr>
      <w:r>
        <w:rPr>
          <w:rFonts w:ascii="??_GB2312" w:hAnsi="宋体" w:eastAsia="Times New Roman"/>
          <w:sz w:val="24"/>
          <w:bdr w:val="single" w:color="auto" w:sz="4" w:space="0"/>
        </w:rPr>
        <w:object>
          <v:shape id="_x0000_i1036" o:spt="75" alt="oleimage" type="#_x0000_t75" style="height:224.35pt;width:474.7pt;" o:ole="t" filled="f" o:preferrelative="t" stroked="f" coordsize="21600,21600">
            <v:path/>
            <v:fill on="f" focussize="0,0"/>
            <v:stroke on="f"/>
            <v:imagedata r:id="rId36" cropleft="-855f" croptop="-4175f" cropright="-7351f" cropbottom="-2729f" o:title=""/>
            <o:lock v:ext="edit" aspectratio="f"/>
            <w10:wrap type="none"/>
            <w10:anchorlock/>
          </v:shape>
          <o:OLEObject Type="Embed" ProgID="Excel.Sheet.8" ShapeID="_x0000_i1036" DrawAspect="Content" ObjectID="_1468075736" r:id="rId35">
            <o:LockedField>false</o:LockedField>
          </o:OLEObject>
        </w:object>
      </w:r>
      <w:r>
        <w:rPr>
          <w:rFonts w:hint="eastAsia" w:ascii="宋体" w:hAnsi="宋体" w:eastAsia="宋体" w:cs="宋体"/>
          <w:szCs w:val="21"/>
        </w:rPr>
        <w:t>注：2013年第一届英语专业毕业生归属语言与传媒</w:t>
      </w:r>
      <w:r>
        <w:rPr>
          <w:rFonts w:hint="eastAsia" w:ascii="宋体" w:hAnsi="宋体" w:cs="宋体"/>
          <w:szCs w:val="21"/>
        </w:rPr>
        <w:t>学院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建校十</w:t>
      </w:r>
      <w:r>
        <w:rPr>
          <w:rFonts w:hint="eastAsia" w:ascii="宋体" w:hAnsi="宋体" w:eastAsia="宋体" w:cs="宋体"/>
          <w:sz w:val="24"/>
          <w:szCs w:val="24"/>
          <w:lang w:val="en-US" w:eastAsia="zh-Hans"/>
        </w:rPr>
        <w:t>三</w:t>
      </w:r>
      <w:r>
        <w:rPr>
          <w:rFonts w:hint="eastAsia" w:ascii="宋体" w:hAnsi="宋体" w:eastAsia="宋体" w:cs="宋体"/>
          <w:sz w:val="24"/>
          <w:szCs w:val="24"/>
        </w:rPr>
        <w:t>年来，</w:t>
      </w:r>
      <w:r>
        <w:rPr>
          <w:rFonts w:hint="eastAsia" w:ascii="宋体" w:hAnsi="宋体" w:eastAsia="宋体" w:cs="宋体"/>
          <w:sz w:val="24"/>
          <w:szCs w:val="24"/>
          <w:lang w:val="en-US" w:eastAsia="zh-Hans"/>
        </w:rPr>
        <w:t>九</w:t>
      </w:r>
      <w:r>
        <w:rPr>
          <w:rFonts w:hint="eastAsia" w:ascii="宋体" w:hAnsi="宋体" w:eastAsia="宋体" w:cs="宋体"/>
          <w:sz w:val="24"/>
          <w:szCs w:val="24"/>
        </w:rPr>
        <w:t>届毕业生中艺术</w:t>
      </w:r>
      <w:r>
        <w:rPr>
          <w:rFonts w:hint="eastAsia" w:ascii="宋体" w:hAnsi="宋体" w:cs="宋体"/>
          <w:sz w:val="24"/>
        </w:rPr>
        <w:t>学院</w:t>
      </w:r>
      <w:r>
        <w:rPr>
          <w:rFonts w:hint="eastAsia" w:ascii="宋体" w:hAnsi="宋体" w:eastAsia="宋体" w:cs="宋体"/>
          <w:sz w:val="24"/>
          <w:szCs w:val="24"/>
        </w:rPr>
        <w:t>和商学</w:t>
      </w:r>
      <w:r>
        <w:rPr>
          <w:rFonts w:hint="eastAsia" w:ascii="宋体" w:hAnsi="宋体" w:cs="宋体"/>
          <w:sz w:val="24"/>
        </w:rPr>
        <w:t>学院</w:t>
      </w:r>
      <w:r>
        <w:rPr>
          <w:rFonts w:hint="eastAsia" w:ascii="宋体" w:hAnsi="宋体" w:eastAsia="宋体" w:cs="宋体"/>
          <w:sz w:val="24"/>
          <w:szCs w:val="24"/>
        </w:rPr>
        <w:t>人数波动较大，其他四个</w:t>
      </w:r>
      <w:r>
        <w:rPr>
          <w:rFonts w:hint="eastAsia" w:ascii="宋体" w:hAnsi="宋体" w:cs="宋体"/>
          <w:sz w:val="24"/>
        </w:rPr>
        <w:t>学院</w:t>
      </w:r>
      <w:r>
        <w:rPr>
          <w:rFonts w:hint="eastAsia" w:ascii="宋体" w:hAnsi="宋体" w:eastAsia="宋体" w:cs="宋体"/>
          <w:sz w:val="24"/>
          <w:szCs w:val="24"/>
        </w:rPr>
        <w:t>人数较稳定。</w:t>
      </w:r>
    </w:p>
    <w:p>
      <w:pPr>
        <w:pStyle w:val="3"/>
        <w:numPr>
          <w:ilvl w:val="0"/>
          <w:numId w:val="10"/>
        </w:numPr>
        <w:spacing w:line="360" w:lineRule="auto"/>
        <w:rPr>
          <w:rFonts w:ascii="宋体" w:hAnsi="宋体" w:eastAsia="宋体"/>
          <w:sz w:val="30"/>
          <w:szCs w:val="30"/>
        </w:rPr>
      </w:pPr>
      <w:bookmarkStart w:id="79" w:name="_Toc504614057"/>
      <w:r>
        <w:rPr>
          <w:rFonts w:hint="eastAsia" w:ascii="宋体" w:hAnsi="宋体" w:eastAsia="宋体"/>
          <w:sz w:val="30"/>
          <w:szCs w:val="30"/>
        </w:rPr>
        <w:t>就业率变化情况</w:t>
      </w:r>
      <w:bookmarkEnd w:id="79"/>
    </w:p>
    <w:p>
      <w:pPr>
        <w:pStyle w:val="4"/>
        <w:numPr>
          <w:ilvl w:val="3"/>
          <w:numId w:val="11"/>
        </w:numPr>
        <w:spacing w:line="360" w:lineRule="auto"/>
        <w:ind w:left="-2" w:leftChars="-1" w:firstLine="0"/>
        <w:rPr>
          <w:rFonts w:ascii="宋体"/>
          <w:sz w:val="28"/>
          <w:szCs w:val="28"/>
        </w:rPr>
      </w:pPr>
      <w:r>
        <w:rPr>
          <w:rFonts w:hint="eastAsia" w:ascii="宋体" w:hAnsi="宋体"/>
          <w:sz w:val="28"/>
          <w:szCs w:val="28"/>
        </w:rPr>
        <w:t>整体就业情况变化趋势</w:t>
      </w:r>
    </w:p>
    <w:p>
      <w:pPr>
        <w:spacing w:line="360" w:lineRule="auto"/>
        <w:ind w:firstLine="493"/>
        <w:rPr>
          <w:rFonts w:hint="eastAsia" w:ascii="宋体" w:hAnsi="宋体" w:eastAsia="宋体" w:cs="宋体"/>
          <w:sz w:val="24"/>
        </w:rPr>
      </w:pPr>
      <w:r>
        <w:rPr>
          <w:rFonts w:hint="eastAsia" w:ascii="宋体" w:hAnsi="宋体" w:eastAsia="宋体" w:cs="宋体"/>
          <w:sz w:val="24"/>
        </w:rPr>
        <w:t>建校十</w:t>
      </w:r>
      <w:r>
        <w:rPr>
          <w:rFonts w:hint="eastAsia" w:ascii="宋体" w:hAnsi="宋体" w:eastAsia="宋体" w:cs="宋体"/>
          <w:sz w:val="24"/>
          <w:lang w:val="en-US" w:eastAsia="zh-Hans"/>
        </w:rPr>
        <w:t>三</w:t>
      </w:r>
      <w:r>
        <w:rPr>
          <w:rFonts w:hint="eastAsia" w:ascii="宋体" w:hAnsi="宋体" w:eastAsia="宋体" w:cs="宋体"/>
          <w:sz w:val="24"/>
        </w:rPr>
        <w:t>年来，我院</w:t>
      </w:r>
      <w:r>
        <w:rPr>
          <w:rFonts w:hint="eastAsia" w:ascii="宋体" w:hAnsi="宋体" w:eastAsia="宋体" w:cs="宋体"/>
          <w:sz w:val="24"/>
          <w:lang w:val="en-US" w:eastAsia="zh-Hans"/>
        </w:rPr>
        <w:t>九</w:t>
      </w:r>
      <w:r>
        <w:rPr>
          <w:rFonts w:hint="eastAsia" w:ascii="宋体" w:hAnsi="宋体" w:eastAsia="宋体" w:cs="宋体"/>
          <w:sz w:val="24"/>
        </w:rPr>
        <w:t>届毕业生，初次总就业人数为9416人。2012届-</w:t>
      </w:r>
      <w:r>
        <w:rPr>
          <w:rFonts w:hint="eastAsia" w:ascii="宋体" w:hAnsi="宋体" w:cs="宋体"/>
          <w:sz w:val="24"/>
        </w:rPr>
        <w:t>2020</w:t>
      </w:r>
      <w:r>
        <w:rPr>
          <w:rFonts w:hint="eastAsia" w:ascii="宋体" w:hAnsi="宋体" w:eastAsia="宋体" w:cs="宋体"/>
          <w:sz w:val="24"/>
        </w:rPr>
        <w:t>届毕业生初次就业率如下：</w:t>
      </w:r>
    </w:p>
    <w:p>
      <w:pPr>
        <w:jc w:val="center"/>
        <w:rPr>
          <w:rFonts w:hint="eastAsia" w:ascii="宋体" w:hAnsi="宋体" w:eastAsia="宋体" w:cs="宋体"/>
          <w:b/>
          <w:sz w:val="24"/>
        </w:rPr>
      </w:pPr>
      <w:r>
        <w:rPr>
          <w:rFonts w:hint="eastAsia" w:ascii="宋体" w:hAnsi="宋体" w:eastAsia="宋体" w:cs="宋体"/>
          <w:b/>
          <w:sz w:val="24"/>
        </w:rPr>
        <w:t>表4.3: 历届毕业生总就业率</w:t>
      </w:r>
    </w:p>
    <w:p>
      <w:pPr>
        <w:spacing w:line="240" w:lineRule="auto"/>
        <w:ind w:firstLine="480" w:firstLineChars="200"/>
        <w:rPr>
          <w:rFonts w:hint="eastAsia" w:ascii="宋体" w:hAnsi="宋体" w:eastAsia="宋体" w:cs="宋体"/>
          <w:color w:val="000000"/>
          <w:sz w:val="24"/>
        </w:rPr>
      </w:pPr>
      <w:r>
        <w:rPr>
          <w:rFonts w:ascii="??_GB2312" w:eastAsia="Times New Roman"/>
          <w:b/>
          <w:sz w:val="24"/>
          <w:bdr w:val="single" w:color="auto" w:sz="4" w:space="0"/>
        </w:rPr>
        <w:object>
          <v:shape id="_x0000_i1037" o:spt="75" alt="oleimage" type="#_x0000_t75" style="height:197.05pt;width:507.1pt;" o:ole="t" filled="f" o:preferrelative="t" stroked="f" coordsize="21600,21600">
            <v:path/>
            <v:fill on="f" focussize="0,0"/>
            <v:stroke on="f"/>
            <v:imagedata r:id="rId38" cropleft="-1191f" croptop="-3390f" cropright="-6379f" cropbottom="-3000f" o:title=""/>
            <o:lock v:ext="edit" aspectratio="f"/>
            <w10:wrap type="none"/>
            <w10:anchorlock/>
          </v:shape>
          <o:OLEObject Type="Embed" ProgID="Excel.Sheet.8" ShapeID="_x0000_i1037" DrawAspect="Content" ObjectID="_1468075737" r:id="rId37">
            <o:LockedField>false</o:LockedField>
          </o:OLEObject>
        </w:object>
      </w:r>
      <w:r>
        <w:rPr>
          <w:rFonts w:hint="eastAsia" w:ascii="宋体" w:hAnsi="宋体" w:cs="宋体"/>
          <w:color w:val="000000"/>
          <w:sz w:val="24"/>
          <w:lang w:val="en-US" w:eastAsia="zh-CN"/>
        </w:rPr>
        <w:t>从</w:t>
      </w:r>
      <w:r>
        <w:rPr>
          <w:rFonts w:hint="eastAsia" w:ascii="宋体" w:hAnsi="宋体" w:eastAsia="宋体" w:cs="宋体"/>
          <w:color w:val="000000"/>
          <w:sz w:val="24"/>
        </w:rPr>
        <w:t>数据上看，我院历届毕业生初次就业率保持平稳的趋势，在经济发展放缓，毕业生基数逐年增加的形势背景下，我院就业率保持稳</w:t>
      </w:r>
      <w:r>
        <w:rPr>
          <w:rFonts w:hint="eastAsia" w:ascii="宋体" w:hAnsi="宋体" w:cs="宋体"/>
          <w:color w:val="000000"/>
          <w:sz w:val="24"/>
        </w:rPr>
        <w:t>定</w:t>
      </w:r>
      <w:r>
        <w:rPr>
          <w:rFonts w:hint="eastAsia" w:ascii="宋体" w:hAnsi="宋体" w:eastAsia="宋体" w:cs="宋体"/>
          <w:color w:val="000000"/>
          <w:sz w:val="24"/>
        </w:rPr>
        <w:t>，呈现可喜趋势。</w:t>
      </w:r>
    </w:p>
    <w:p>
      <w:pPr>
        <w:pStyle w:val="4"/>
        <w:numPr>
          <w:ilvl w:val="3"/>
          <w:numId w:val="11"/>
        </w:numPr>
        <w:tabs>
          <w:tab w:val="left" w:pos="540"/>
        </w:tabs>
        <w:spacing w:line="360" w:lineRule="auto"/>
        <w:ind w:left="180" w:firstLine="0"/>
        <w:rPr>
          <w:rFonts w:ascii="??_GB2312" w:eastAsia="Times New Roman"/>
          <w:sz w:val="24"/>
        </w:rPr>
      </w:pPr>
      <w:r>
        <w:rPr>
          <w:rFonts w:hint="eastAsia" w:ascii="宋体" w:hAnsi="宋体"/>
          <w:sz w:val="28"/>
          <w:szCs w:val="28"/>
        </w:rPr>
        <w:t>各二级学院变化趋势</w:t>
      </w:r>
    </w:p>
    <w:p>
      <w:pPr>
        <w:spacing w:line="360" w:lineRule="auto"/>
        <w:ind w:firstLine="480" w:firstLineChars="200"/>
        <w:rPr>
          <w:rFonts w:ascii="??_GB2312" w:eastAsiaTheme="minorEastAsia"/>
          <w:bCs/>
          <w:sz w:val="24"/>
        </w:rPr>
      </w:pPr>
      <w:r>
        <w:rPr>
          <w:rFonts w:hint="eastAsia" w:ascii="宋体" w:hAnsi="宋体" w:eastAsia="宋体" w:cs="宋体"/>
          <w:bCs/>
          <w:sz w:val="24"/>
        </w:rPr>
        <w:t>六个</w:t>
      </w:r>
      <w:r>
        <w:rPr>
          <w:rFonts w:hint="eastAsia" w:ascii="宋体" w:hAnsi="宋体" w:cs="宋体"/>
          <w:bCs/>
          <w:sz w:val="24"/>
        </w:rPr>
        <w:t>二级学院</w:t>
      </w:r>
      <w:r>
        <w:rPr>
          <w:rFonts w:hint="eastAsia" w:ascii="宋体" w:hAnsi="宋体" w:eastAsia="宋体" w:cs="宋体"/>
          <w:bCs/>
          <w:sz w:val="24"/>
        </w:rPr>
        <w:t>2012-</w:t>
      </w:r>
      <w:r>
        <w:rPr>
          <w:rFonts w:hint="eastAsia" w:ascii="宋体" w:hAnsi="宋体" w:cs="宋体"/>
          <w:bCs/>
          <w:sz w:val="24"/>
        </w:rPr>
        <w:t>2020</w:t>
      </w:r>
      <w:r>
        <w:rPr>
          <w:rFonts w:hint="eastAsia" w:ascii="宋体" w:hAnsi="宋体" w:eastAsia="宋体" w:cs="宋体"/>
          <w:bCs/>
          <w:sz w:val="24"/>
        </w:rPr>
        <w:t>届毕业生总体就业率基本稳定。</w:t>
      </w:r>
      <w:r>
        <w:rPr>
          <w:rFonts w:hint="eastAsia" w:ascii="宋体" w:hAnsi="宋体" w:eastAsia="宋体" w:cs="宋体"/>
          <w:bCs/>
          <w:sz w:val="24"/>
          <w:lang w:val="en-US" w:eastAsia="zh-Hans"/>
        </w:rPr>
        <w:t>受疫情影响就业率都有所下降</w:t>
      </w:r>
      <w:r>
        <w:rPr>
          <w:rFonts w:hint="eastAsia" w:ascii="宋体" w:hAnsi="宋体" w:eastAsia="宋体" w:cs="宋体"/>
          <w:bCs/>
          <w:sz w:val="24"/>
          <w:lang w:eastAsia="zh-Hans"/>
        </w:rPr>
        <w:t>。</w:t>
      </w:r>
    </w:p>
    <w:p>
      <w:pPr>
        <w:pStyle w:val="4"/>
        <w:numPr>
          <w:ilvl w:val="3"/>
          <w:numId w:val="11"/>
        </w:numPr>
        <w:tabs>
          <w:tab w:val="left" w:pos="540"/>
          <w:tab w:val="clear" w:pos="780"/>
        </w:tabs>
        <w:spacing w:line="360" w:lineRule="auto"/>
        <w:ind w:left="181" w:leftChars="86" w:firstLine="0"/>
        <w:rPr>
          <w:rFonts w:ascii="宋体" w:hAnsi="宋体"/>
          <w:sz w:val="28"/>
          <w:szCs w:val="28"/>
        </w:rPr>
      </w:pPr>
      <w:r>
        <w:rPr>
          <w:rFonts w:hint="eastAsia" w:ascii="宋体" w:hAnsi="宋体"/>
          <w:sz w:val="28"/>
          <w:szCs w:val="28"/>
        </w:rPr>
        <w:t>各专业变化趋势</w:t>
      </w:r>
    </w:p>
    <w:p>
      <w:pPr>
        <w:widowControl/>
        <w:ind w:firstLine="0"/>
        <w:jc w:val="center"/>
        <w:rPr>
          <w:rFonts w:ascii="??_GB2312" w:hAnsi="??_GB2312"/>
          <w:b/>
          <w:sz w:val="24"/>
        </w:rPr>
      </w:pPr>
      <w:r>
        <w:rPr>
          <w:rFonts w:hint="eastAsia" w:ascii="宋体" w:hAnsi="宋体" w:cs="宋体"/>
          <w:b/>
          <w:sz w:val="24"/>
        </w:rPr>
        <w:t>表4.5:2012-20</w:t>
      </w:r>
      <w:r>
        <w:rPr>
          <w:rFonts w:hint="eastAsia" w:ascii="宋体" w:hAnsi="宋体" w:cs="宋体"/>
          <w:b/>
          <w:sz w:val="24"/>
          <w:lang w:val="en-US" w:eastAsia="zh-CN"/>
        </w:rPr>
        <w:t>20</w:t>
      </w:r>
      <w:r>
        <w:rPr>
          <w:rFonts w:hint="eastAsia" w:ascii="宋体" w:hAnsi="宋体" w:cs="宋体"/>
          <w:b/>
          <w:sz w:val="24"/>
        </w:rPr>
        <w:t>届各专业就业率</w:t>
      </w:r>
    </w:p>
    <w:tbl>
      <w:tblPr>
        <w:tblStyle w:val="20"/>
        <w:tblpPr w:vertAnchor="text" w:horzAnchor="page" w:tblpX="1448" w:tblpY="513"/>
        <w:tblW w:w="9436" w:type="dxa"/>
        <w:tblInd w:w="0" w:type="dxa"/>
        <w:tblLayout w:type="fixed"/>
        <w:tblCellMar>
          <w:top w:w="0" w:type="dxa"/>
          <w:left w:w="0" w:type="dxa"/>
          <w:bottom w:w="0" w:type="dxa"/>
          <w:right w:w="0" w:type="dxa"/>
        </w:tblCellMar>
      </w:tblPr>
      <w:tblGrid>
        <w:gridCol w:w="1276"/>
        <w:gridCol w:w="892"/>
        <w:gridCol w:w="892"/>
        <w:gridCol w:w="892"/>
        <w:gridCol w:w="892"/>
        <w:gridCol w:w="892"/>
        <w:gridCol w:w="892"/>
        <w:gridCol w:w="819"/>
        <w:gridCol w:w="663"/>
        <w:gridCol w:w="663"/>
        <w:gridCol w:w="663"/>
      </w:tblGrid>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9999FF"/>
            <w:tcMar>
              <w:top w:w="0" w:type="dxa"/>
              <w:left w:w="108" w:type="dxa"/>
              <w:bottom w:w="0" w:type="dxa"/>
              <w:right w:w="108" w:type="dxa"/>
            </w:tcMar>
            <w:vAlign w:val="center"/>
          </w:tcPr>
          <w:p>
            <w:pPr>
              <w:widowControl/>
              <w:jc w:val="center"/>
              <w:rPr>
                <w:rFonts w:hint="eastAsia" w:ascii="宋体" w:hAnsi="宋体" w:eastAsia="宋体" w:cs="宋体"/>
                <w:bCs/>
                <w:kern w:val="0"/>
                <w:sz w:val="24"/>
              </w:rPr>
            </w:pPr>
            <w:r>
              <w:rPr>
                <w:rFonts w:hint="eastAsia" w:ascii="宋体" w:hAnsi="宋体" w:eastAsia="宋体" w:cs="宋体"/>
                <w:bCs/>
                <w:kern w:val="0"/>
                <w:sz w:val="24"/>
              </w:rPr>
              <w:t>专业</w:t>
            </w:r>
          </w:p>
        </w:tc>
        <w:tc>
          <w:tcPr>
            <w:tcW w:w="892" w:type="dxa"/>
            <w:tcBorders>
              <w:top w:val="single" w:color="000000" w:sz="4" w:space="0"/>
              <w:left w:val="single" w:color="000000" w:sz="4" w:space="0"/>
              <w:bottom w:val="single" w:color="000000" w:sz="4" w:space="0"/>
              <w:right w:val="single" w:color="000000" w:sz="4" w:space="0"/>
            </w:tcBorders>
            <w:shd w:val="clear" w:color="auto" w:fill="9999FF"/>
            <w:tcMar>
              <w:top w:w="0" w:type="dxa"/>
              <w:left w:w="108" w:type="dxa"/>
              <w:bottom w:w="0" w:type="dxa"/>
              <w:right w:w="108" w:type="dxa"/>
            </w:tcMar>
            <w:vAlign w:val="center"/>
          </w:tcPr>
          <w:p>
            <w:pPr>
              <w:widowControl/>
              <w:jc w:val="center"/>
              <w:rPr>
                <w:rFonts w:hint="eastAsia" w:ascii="宋体" w:hAnsi="宋体" w:eastAsia="宋体" w:cs="宋体"/>
                <w:bCs/>
                <w:kern w:val="0"/>
                <w:sz w:val="24"/>
              </w:rPr>
            </w:pPr>
            <w:r>
              <w:rPr>
                <w:rFonts w:hint="eastAsia" w:ascii="宋体" w:hAnsi="宋体" w:eastAsia="宋体" w:cs="宋体"/>
                <w:bCs/>
                <w:kern w:val="0"/>
                <w:sz w:val="24"/>
              </w:rPr>
              <w:t>2012届（％）</w:t>
            </w:r>
          </w:p>
        </w:tc>
        <w:tc>
          <w:tcPr>
            <w:tcW w:w="892" w:type="dxa"/>
            <w:tcBorders>
              <w:top w:val="single" w:color="000000" w:sz="4" w:space="0"/>
              <w:left w:val="single" w:color="000000" w:sz="4" w:space="0"/>
              <w:bottom w:val="single" w:color="000000" w:sz="4" w:space="0"/>
              <w:right w:val="single" w:color="000000" w:sz="4" w:space="0"/>
            </w:tcBorders>
            <w:shd w:val="clear" w:color="auto" w:fill="9999FF"/>
            <w:tcMar>
              <w:top w:w="0" w:type="dxa"/>
              <w:left w:w="108" w:type="dxa"/>
              <w:bottom w:w="0" w:type="dxa"/>
              <w:right w:w="108" w:type="dxa"/>
            </w:tcMar>
            <w:vAlign w:val="center"/>
          </w:tcPr>
          <w:p>
            <w:pPr>
              <w:widowControl/>
              <w:jc w:val="center"/>
              <w:rPr>
                <w:rFonts w:hint="eastAsia" w:ascii="宋体" w:hAnsi="宋体" w:eastAsia="宋体" w:cs="宋体"/>
                <w:bCs/>
                <w:kern w:val="0"/>
                <w:sz w:val="24"/>
              </w:rPr>
            </w:pPr>
            <w:r>
              <w:rPr>
                <w:rFonts w:hint="eastAsia" w:ascii="宋体" w:hAnsi="宋体" w:eastAsia="宋体" w:cs="宋体"/>
                <w:bCs/>
                <w:kern w:val="0"/>
                <w:sz w:val="24"/>
              </w:rPr>
              <w:t>2013届（％）</w:t>
            </w:r>
          </w:p>
        </w:tc>
        <w:tc>
          <w:tcPr>
            <w:tcW w:w="892" w:type="dxa"/>
            <w:tcBorders>
              <w:top w:val="single" w:color="000000" w:sz="4" w:space="0"/>
              <w:left w:val="single" w:color="000000" w:sz="4" w:space="0"/>
              <w:bottom w:val="single" w:color="000000" w:sz="4" w:space="0"/>
              <w:right w:val="single" w:color="000000" w:sz="4" w:space="0"/>
            </w:tcBorders>
            <w:shd w:val="clear" w:color="auto" w:fill="9999FF"/>
            <w:tcMar>
              <w:top w:w="0" w:type="dxa"/>
              <w:left w:w="108" w:type="dxa"/>
              <w:bottom w:w="0" w:type="dxa"/>
              <w:right w:w="108" w:type="dxa"/>
            </w:tcMar>
            <w:vAlign w:val="center"/>
          </w:tcPr>
          <w:p>
            <w:pPr>
              <w:widowControl/>
              <w:jc w:val="center"/>
              <w:rPr>
                <w:rFonts w:hint="eastAsia" w:ascii="宋体" w:hAnsi="宋体" w:eastAsia="宋体" w:cs="宋体"/>
                <w:bCs/>
                <w:kern w:val="0"/>
                <w:sz w:val="24"/>
              </w:rPr>
            </w:pPr>
            <w:r>
              <w:rPr>
                <w:rFonts w:hint="eastAsia" w:ascii="宋体" w:hAnsi="宋体" w:eastAsia="宋体" w:cs="宋体"/>
                <w:bCs/>
                <w:kern w:val="0"/>
                <w:sz w:val="24"/>
              </w:rPr>
              <w:t>2014届（％）</w:t>
            </w:r>
          </w:p>
        </w:tc>
        <w:tc>
          <w:tcPr>
            <w:tcW w:w="892" w:type="dxa"/>
            <w:tcBorders>
              <w:top w:val="single" w:color="000000" w:sz="4" w:space="0"/>
              <w:left w:val="single" w:color="000000" w:sz="4" w:space="0"/>
              <w:bottom w:val="single" w:color="000000" w:sz="4" w:space="0"/>
              <w:right w:val="single" w:color="000000" w:sz="4" w:space="0"/>
            </w:tcBorders>
            <w:shd w:val="clear" w:color="auto" w:fill="9999FF"/>
            <w:tcMar>
              <w:top w:w="0" w:type="dxa"/>
              <w:left w:w="108" w:type="dxa"/>
              <w:bottom w:w="0" w:type="dxa"/>
              <w:right w:w="108" w:type="dxa"/>
            </w:tcMar>
            <w:vAlign w:val="center"/>
          </w:tcPr>
          <w:p>
            <w:pPr>
              <w:widowControl/>
              <w:jc w:val="center"/>
              <w:rPr>
                <w:rFonts w:hint="eastAsia" w:ascii="宋体" w:hAnsi="宋体" w:eastAsia="宋体" w:cs="宋体"/>
                <w:bCs/>
                <w:kern w:val="0"/>
                <w:sz w:val="24"/>
              </w:rPr>
            </w:pPr>
            <w:r>
              <w:rPr>
                <w:rFonts w:hint="eastAsia" w:ascii="宋体" w:hAnsi="宋体" w:eastAsia="宋体" w:cs="宋体"/>
                <w:bCs/>
                <w:kern w:val="0"/>
                <w:sz w:val="24"/>
              </w:rPr>
              <w:t>2015届（％）</w:t>
            </w:r>
          </w:p>
        </w:tc>
        <w:tc>
          <w:tcPr>
            <w:tcW w:w="892" w:type="dxa"/>
            <w:tcBorders>
              <w:top w:val="single" w:color="000000" w:sz="4" w:space="0"/>
              <w:left w:val="single" w:color="000000" w:sz="4" w:space="0"/>
              <w:bottom w:val="single" w:color="000000" w:sz="4" w:space="0"/>
              <w:right w:val="single" w:color="000000" w:sz="4" w:space="0"/>
            </w:tcBorders>
            <w:shd w:val="clear" w:color="auto" w:fill="9999FF"/>
            <w:tcMar>
              <w:top w:w="0" w:type="dxa"/>
              <w:left w:w="108" w:type="dxa"/>
              <w:bottom w:w="0" w:type="dxa"/>
              <w:right w:w="108" w:type="dxa"/>
            </w:tcMar>
            <w:vAlign w:val="center"/>
          </w:tcPr>
          <w:p>
            <w:pPr>
              <w:widowControl/>
              <w:jc w:val="center"/>
              <w:rPr>
                <w:rFonts w:hint="eastAsia" w:ascii="宋体" w:hAnsi="宋体" w:eastAsia="宋体" w:cs="宋体"/>
                <w:bCs/>
                <w:kern w:val="0"/>
                <w:sz w:val="24"/>
              </w:rPr>
            </w:pPr>
            <w:r>
              <w:rPr>
                <w:rFonts w:hint="eastAsia" w:ascii="宋体" w:hAnsi="宋体" w:eastAsia="宋体" w:cs="宋体"/>
                <w:bCs/>
                <w:kern w:val="0"/>
                <w:sz w:val="24"/>
              </w:rPr>
              <w:t>2016届（％）</w:t>
            </w:r>
          </w:p>
        </w:tc>
        <w:tc>
          <w:tcPr>
            <w:tcW w:w="892" w:type="dxa"/>
            <w:tcBorders>
              <w:top w:val="single" w:color="000000" w:sz="4" w:space="0"/>
              <w:left w:val="single" w:color="000000" w:sz="4" w:space="0"/>
              <w:bottom w:val="single" w:color="000000" w:sz="4" w:space="0"/>
              <w:right w:val="single" w:color="000000" w:sz="4" w:space="0"/>
            </w:tcBorders>
            <w:shd w:val="clear" w:color="auto" w:fill="9999FF"/>
            <w:tcMar>
              <w:top w:w="0" w:type="dxa"/>
              <w:left w:w="108" w:type="dxa"/>
              <w:bottom w:w="0" w:type="dxa"/>
              <w:right w:w="108" w:type="dxa"/>
            </w:tcMar>
            <w:vAlign w:val="center"/>
          </w:tcPr>
          <w:p>
            <w:pPr>
              <w:widowControl/>
              <w:jc w:val="center"/>
              <w:rPr>
                <w:rFonts w:hint="eastAsia" w:ascii="宋体" w:hAnsi="宋体" w:eastAsia="宋体" w:cs="宋体"/>
                <w:bCs/>
                <w:kern w:val="0"/>
                <w:sz w:val="24"/>
              </w:rPr>
            </w:pPr>
            <w:r>
              <w:rPr>
                <w:rFonts w:hint="eastAsia" w:ascii="宋体" w:hAnsi="宋体" w:eastAsia="宋体" w:cs="宋体"/>
                <w:bCs/>
                <w:kern w:val="0"/>
                <w:sz w:val="24"/>
              </w:rPr>
              <w:t>2017届（％）</w:t>
            </w:r>
          </w:p>
        </w:tc>
        <w:tc>
          <w:tcPr>
            <w:tcW w:w="819" w:type="dxa"/>
            <w:tcBorders>
              <w:top w:val="single" w:color="000000" w:sz="4" w:space="0"/>
              <w:left w:val="single" w:color="000000" w:sz="4" w:space="0"/>
              <w:bottom w:val="single" w:color="000000" w:sz="4" w:space="0"/>
              <w:right w:val="single" w:color="000000" w:sz="4" w:space="0"/>
            </w:tcBorders>
            <w:shd w:val="clear" w:color="auto" w:fill="9999FF"/>
            <w:tcMar>
              <w:top w:w="0" w:type="dxa"/>
              <w:left w:w="108" w:type="dxa"/>
              <w:bottom w:w="0" w:type="dxa"/>
              <w:right w:w="108" w:type="dxa"/>
            </w:tcMar>
            <w:vAlign w:val="center"/>
          </w:tcPr>
          <w:p>
            <w:pPr>
              <w:widowControl/>
              <w:rPr>
                <w:rFonts w:hint="eastAsia" w:ascii="宋体" w:hAnsi="宋体" w:cs="宋体"/>
                <w:bCs/>
                <w:kern w:val="0"/>
                <w:sz w:val="24"/>
              </w:rPr>
            </w:pPr>
            <w:r>
              <w:rPr>
                <w:rFonts w:hint="eastAsia" w:ascii="宋体" w:hAnsi="宋体" w:cs="宋体"/>
                <w:bCs/>
                <w:kern w:val="0"/>
                <w:sz w:val="24"/>
              </w:rPr>
              <w:t>20</w:t>
            </w:r>
            <w:r>
              <w:rPr>
                <w:rFonts w:hint="eastAsia" w:ascii="宋体" w:hAnsi="宋体" w:eastAsia="宋体" w:cs="宋体"/>
                <w:bCs/>
                <w:kern w:val="0"/>
                <w:sz w:val="24"/>
              </w:rPr>
              <w:t>18届（%）</w:t>
            </w:r>
          </w:p>
        </w:tc>
        <w:tc>
          <w:tcPr>
            <w:tcW w:w="663" w:type="dxa"/>
            <w:tcBorders>
              <w:top w:val="single" w:color="000000" w:sz="4" w:space="0"/>
              <w:left w:val="single" w:color="000000" w:sz="4" w:space="0"/>
              <w:bottom w:val="single" w:color="000000" w:sz="4" w:space="0"/>
              <w:right w:val="single" w:color="000000" w:sz="4" w:space="0"/>
            </w:tcBorders>
            <w:shd w:val="clear" w:color="auto" w:fill="9999FF"/>
            <w:vAlign w:val="center"/>
          </w:tcPr>
          <w:p>
            <w:pPr>
              <w:widowControl/>
              <w:jc w:val="center"/>
              <w:rPr>
                <w:rFonts w:hint="eastAsia" w:ascii="宋体" w:hAnsi="宋体" w:cs="宋体"/>
                <w:bCs/>
                <w:kern w:val="0"/>
                <w:sz w:val="24"/>
              </w:rPr>
            </w:pPr>
            <w:r>
              <w:rPr>
                <w:rFonts w:hint="eastAsia" w:ascii="宋体" w:hAnsi="宋体" w:cs="宋体"/>
                <w:bCs/>
                <w:kern w:val="0"/>
                <w:sz w:val="24"/>
              </w:rPr>
              <w:t>2019届（%）</w:t>
            </w:r>
          </w:p>
        </w:tc>
        <w:tc>
          <w:tcPr>
            <w:tcW w:w="663" w:type="dxa"/>
            <w:tcBorders>
              <w:top w:val="single" w:color="000000" w:sz="4" w:space="0"/>
              <w:left w:val="single" w:color="000000" w:sz="4" w:space="0"/>
              <w:bottom w:val="single" w:color="000000" w:sz="4" w:space="0"/>
              <w:right w:val="single" w:color="000000" w:sz="4" w:space="0"/>
            </w:tcBorders>
            <w:shd w:val="clear" w:color="auto" w:fill="9999FF"/>
            <w:vAlign w:val="center"/>
          </w:tcPr>
          <w:p>
            <w:pPr>
              <w:widowControl/>
              <w:jc w:val="center"/>
              <w:rPr>
                <w:rFonts w:hint="eastAsia" w:ascii="宋体" w:hAnsi="宋体" w:eastAsia="宋体" w:cs="宋体"/>
                <w:bCs/>
                <w:kern w:val="0"/>
                <w:sz w:val="24"/>
                <w:lang w:val="en-US" w:eastAsia="zh-CN"/>
              </w:rPr>
            </w:pPr>
            <w:r>
              <w:rPr>
                <w:rFonts w:hint="eastAsia" w:ascii="宋体" w:hAnsi="宋体" w:cs="宋体"/>
                <w:bCs/>
                <w:kern w:val="0"/>
                <w:sz w:val="24"/>
                <w:lang w:val="en-US" w:eastAsia="zh-CN"/>
              </w:rPr>
              <w:t>2020届（%）</w:t>
            </w:r>
          </w:p>
        </w:tc>
        <w:tc>
          <w:tcPr>
            <w:tcW w:w="663" w:type="dxa"/>
            <w:tcBorders>
              <w:top w:val="single" w:color="000000" w:sz="4" w:space="0"/>
              <w:left w:val="single" w:color="000000" w:sz="4" w:space="0"/>
              <w:bottom w:val="single" w:color="000000" w:sz="4" w:space="0"/>
              <w:right w:val="single" w:color="000000" w:sz="4" w:space="0"/>
            </w:tcBorders>
            <w:shd w:val="clear" w:color="auto" w:fill="9999FF"/>
            <w:vAlign w:val="center"/>
          </w:tcPr>
          <w:p>
            <w:pPr>
              <w:widowControl/>
              <w:jc w:val="center"/>
              <w:rPr>
                <w:rFonts w:hint="eastAsia" w:ascii="宋体" w:hAnsi="宋体" w:eastAsia="宋体" w:cs="宋体"/>
                <w:bCs/>
                <w:kern w:val="0"/>
                <w:sz w:val="24"/>
              </w:rPr>
            </w:pPr>
            <w:r>
              <w:rPr>
                <w:rFonts w:hint="eastAsia" w:ascii="宋体" w:hAnsi="宋体" w:eastAsia="宋体" w:cs="宋体"/>
                <w:bCs/>
                <w:kern w:val="0"/>
                <w:sz w:val="24"/>
              </w:rPr>
              <w:t>趋势</w:t>
            </w:r>
          </w:p>
        </w:tc>
      </w:tr>
      <w:tr>
        <w:tblPrEx>
          <w:tblCellMar>
            <w:top w:w="0" w:type="dxa"/>
            <w:left w:w="0" w:type="dxa"/>
            <w:bottom w:w="0" w:type="dxa"/>
            <w:right w:w="0" w:type="dxa"/>
          </w:tblCellMar>
        </w:tblPrEx>
        <w:trPr>
          <w:trHeight w:val="944"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jc w:val="center"/>
              <w:rPr>
                <w:rFonts w:hint="eastAsia" w:ascii="宋体" w:hAnsi="宋体" w:eastAsia="宋体" w:cs="宋体"/>
                <w:sz w:val="24"/>
              </w:rPr>
            </w:pPr>
            <w:r>
              <w:rPr>
                <w:rFonts w:hint="eastAsia" w:ascii="宋体" w:hAnsi="宋体" w:eastAsia="宋体" w:cs="宋体"/>
              </w:rPr>
              <w:t>土木工程</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jc w:val="center"/>
              <w:rPr>
                <w:rFonts w:hint="eastAsia" w:ascii="宋体" w:hAnsi="宋体" w:eastAsia="宋体" w:cs="宋体"/>
                <w:sz w:val="24"/>
              </w:rPr>
            </w:pPr>
            <w:r>
              <w:rPr>
                <w:rFonts w:hint="eastAsia" w:ascii="宋体" w:hAnsi="宋体" w:eastAsia="宋体" w:cs="宋体"/>
                <w:sz w:val="24"/>
              </w:rPr>
              <w:t>97.62</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jc w:val="center"/>
              <w:rPr>
                <w:rFonts w:hint="eastAsia" w:ascii="宋体" w:hAnsi="宋体" w:eastAsia="宋体" w:cs="宋体"/>
                <w:sz w:val="24"/>
              </w:rPr>
            </w:pPr>
            <w:r>
              <w:rPr>
                <w:rFonts w:hint="eastAsia" w:ascii="宋体" w:hAnsi="宋体" w:eastAsia="宋体" w:cs="宋体"/>
                <w:sz w:val="24"/>
              </w:rPr>
              <w:t>93.50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jc w:val="center"/>
              <w:rPr>
                <w:rFonts w:hint="eastAsia" w:ascii="宋体" w:hAnsi="宋体" w:eastAsia="宋体" w:cs="宋体"/>
                <w:sz w:val="24"/>
              </w:rPr>
            </w:pPr>
            <w:r>
              <w:rPr>
                <w:rFonts w:hint="eastAsia" w:ascii="宋体" w:hAnsi="宋体" w:eastAsia="宋体" w:cs="宋体"/>
                <w:sz w:val="24"/>
              </w:rPr>
              <w:t>95.52</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jc w:val="center"/>
              <w:rPr>
                <w:rFonts w:hint="eastAsia" w:ascii="宋体" w:hAnsi="宋体" w:eastAsia="宋体" w:cs="宋体"/>
                <w:sz w:val="24"/>
              </w:rPr>
            </w:pPr>
            <w:r>
              <w:rPr>
                <w:rFonts w:hint="eastAsia" w:ascii="宋体" w:hAnsi="宋体" w:eastAsia="宋体" w:cs="宋体"/>
                <w:sz w:val="24"/>
              </w:rPr>
              <w:t>87.69</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jc w:val="center"/>
              <w:rPr>
                <w:rFonts w:hint="eastAsia" w:ascii="宋体" w:hAnsi="宋体" w:eastAsia="宋体" w:cs="宋体"/>
                <w:sz w:val="24"/>
              </w:rPr>
            </w:pPr>
            <w:r>
              <w:rPr>
                <w:rFonts w:hint="eastAsia" w:ascii="宋体" w:hAnsi="宋体" w:eastAsia="宋体" w:cs="宋体"/>
                <w:sz w:val="24"/>
              </w:rPr>
              <w:t>92.59</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jc w:val="center"/>
              <w:rPr>
                <w:rFonts w:hint="eastAsia" w:ascii="宋体" w:hAnsi="宋体" w:cs="宋体"/>
                <w:sz w:val="56"/>
              </w:rPr>
            </w:pPr>
            <w:r>
              <w:rPr>
                <w:rFonts w:hint="eastAsia" w:ascii="宋体" w:hAnsi="宋体" w:eastAsia="宋体" w:cs="宋体"/>
                <w:sz w:val="24"/>
              </w:rPr>
              <w:t>94.92</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tabs>
                <w:tab w:val="left" w:pos="343"/>
              </w:tabs>
              <w:jc w:val="center"/>
              <w:rPr>
                <w:rFonts w:hint="eastAsia" w:ascii="宋体" w:hAnsi="宋体" w:cs="宋体"/>
                <w:sz w:val="24"/>
              </w:rPr>
            </w:pPr>
            <w:r>
              <w:rPr>
                <w:rFonts w:hint="eastAsia" w:ascii="宋体" w:hAnsi="宋体" w:cs="宋体"/>
                <w:sz w:val="24"/>
              </w:rPr>
              <w:t>91.2</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tabs>
                <w:tab w:val="left" w:pos="343"/>
              </w:tabs>
              <w:jc w:val="center"/>
              <w:rPr>
                <w:rFonts w:hint="eastAsia" w:ascii="宋体" w:hAnsi="宋体" w:cs="宋体"/>
                <w:sz w:val="24"/>
              </w:rPr>
            </w:pPr>
            <w:r>
              <w:rPr>
                <w:rFonts w:hint="eastAsia" w:ascii="宋体" w:hAnsi="宋体" w:cs="宋体"/>
                <w:sz w:val="24"/>
              </w:rPr>
              <w:t>94.9</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tabs>
                <w:tab w:val="left" w:pos="343"/>
              </w:tabs>
              <w:jc w:val="center"/>
              <w:rPr>
                <w:rFonts w:hint="eastAsia" w:ascii="宋体" w:hAnsi="宋体" w:eastAsia="宋体" w:cs="宋体"/>
                <w:sz w:val="24"/>
                <w:lang w:val="en-US" w:eastAsia="zh-CN"/>
              </w:rPr>
            </w:pPr>
            <w:r>
              <w:rPr>
                <w:rFonts w:hint="eastAsia" w:ascii="宋体" w:hAnsi="宋体" w:cs="宋体"/>
                <w:sz w:val="24"/>
                <w:lang w:val="en-US" w:eastAsia="zh-CN"/>
              </w:rPr>
              <w:t>70.59</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tabs>
                <w:tab w:val="left" w:pos="343"/>
              </w:tabs>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39">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rPr>
              <w:t>新闻学</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98.91</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80.53</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90.23</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92.21</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81.6</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88</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84.21</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83.33</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48.44</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40">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2"/>
              </w:rPr>
              <w:t>信息与计算科学</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93.48</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100.00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95.45</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95.24</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97.62</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97.62</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95.83</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60.00</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41">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计算机科学与技术</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100.00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94.19</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97.89</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96.20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100.00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98.25</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88.46</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95.38</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71.43</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30530"/>
                  <wp:effectExtent l="0" t="0" r="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42">
                            <a:extLst>
                              <a:ext uri="{28A0092B-C50C-407E-A947-70E740481C1C}">
                                <a14:useLocalDpi xmlns:a14="http://schemas.microsoft.com/office/drawing/2010/main" val="0"/>
                              </a:ext>
                            </a:extLst>
                          </a:blip>
                          <a:srcRect/>
                          <a:stretch>
                            <a:fillRect/>
                          </a:stretch>
                        </pic:blipFill>
                        <pic:spPr>
                          <a:xfrm>
                            <a:off x="0" y="0"/>
                            <a:ext cx="483870" cy="43053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绘画</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74.51</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94.29</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91.67</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84.44</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92</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96.61</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94.55</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100</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58.06</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66090" cy="430530"/>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43">
                            <a:extLst>
                              <a:ext uri="{28A0092B-C50C-407E-A947-70E740481C1C}">
                                <a14:useLocalDpi xmlns:a14="http://schemas.microsoft.com/office/drawing/2010/main" val="0"/>
                              </a:ext>
                            </a:extLst>
                          </a:blip>
                          <a:srcRect/>
                          <a:stretch>
                            <a:fillRect/>
                          </a:stretch>
                        </pic:blipFill>
                        <pic:spPr>
                          <a:xfrm>
                            <a:off x="0" y="0"/>
                            <a:ext cx="466090" cy="43053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英语</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80.00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83.02</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94.00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100.00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95.83</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89.13</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94.44</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52.94</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30530"/>
                  <wp:effectExtent l="0" t="0" r="0" b="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44">
                            <a:extLst>
                              <a:ext uri="{28A0092B-C50C-407E-A947-70E740481C1C}">
                                <a14:useLocalDpi xmlns:a14="http://schemas.microsoft.com/office/drawing/2010/main" val="0"/>
                              </a:ext>
                            </a:extLst>
                          </a:blip>
                          <a:srcRect/>
                          <a:stretch>
                            <a:fillRect/>
                          </a:stretch>
                        </pic:blipFill>
                        <pic:spPr>
                          <a:xfrm>
                            <a:off x="0" y="0"/>
                            <a:ext cx="483870" cy="43053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通信工程</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98.43</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92.74</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99.05</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94.23</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93</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96.55</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92.6</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57.14</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30530"/>
                  <wp:effectExtent l="0" t="0" r="0"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45">
                            <a:extLst>
                              <a:ext uri="{28A0092B-C50C-407E-A947-70E740481C1C}">
                                <a14:useLocalDpi xmlns:a14="http://schemas.microsoft.com/office/drawing/2010/main" val="0"/>
                              </a:ext>
                            </a:extLst>
                          </a:blip>
                          <a:srcRect/>
                          <a:stretch>
                            <a:fillRect/>
                          </a:stretch>
                        </pic:blipFill>
                        <pic:spPr>
                          <a:xfrm>
                            <a:off x="0" y="0"/>
                            <a:ext cx="483870" cy="43053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会计学</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86.41</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76.65</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93.45</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95.04</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94.62</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78.75</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74.86</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69.19</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46">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环境科学</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92.16</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98.33</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88.46</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83.33</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91.49</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85.96</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37.74</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47">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日语</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94.44</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88.89</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96.43</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91.3</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94.29</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48"/>
              </w:rPr>
            </w:pPr>
            <w:r>
              <w:rPr>
                <w:rFonts w:hint="eastAsia" w:ascii="宋体" w:hAnsi="宋体" w:eastAsia="宋体" w:cs="宋体"/>
                <w:sz w:val="48"/>
              </w:rPr>
              <w:t>—</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57200" cy="404495"/>
                  <wp:effectExtent l="0" t="0" r="0"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48">
                            <a:extLst>
                              <a:ext uri="{28A0092B-C50C-407E-A947-70E740481C1C}">
                                <a14:useLocalDpi xmlns:a14="http://schemas.microsoft.com/office/drawing/2010/main" val="0"/>
                              </a:ext>
                            </a:extLst>
                          </a:blip>
                          <a:srcRect/>
                          <a:stretch>
                            <a:fillRect/>
                          </a:stretch>
                        </pic:blipFill>
                        <pic:spPr>
                          <a:xfrm>
                            <a:off x="0" y="0"/>
                            <a:ext cx="457200" cy="40449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48"/>
              </w:rPr>
            </w:pPr>
            <w:r>
              <w:rPr>
                <w:rFonts w:hint="eastAsia" w:ascii="宋体" w:hAnsi="宋体" w:eastAsia="宋体" w:cs="宋体"/>
                <w:sz w:val="24"/>
              </w:rPr>
              <w:t>汉语言文学</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93.68</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87.04</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91.53</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94.12</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80.83</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43.51</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30530"/>
                  <wp:effectExtent l="0" t="0" r="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49">
                            <a:extLst>
                              <a:ext uri="{28A0092B-C50C-407E-A947-70E740481C1C}">
                                <a14:useLocalDpi xmlns:a14="http://schemas.microsoft.com/office/drawing/2010/main" val="0"/>
                              </a:ext>
                            </a:extLst>
                          </a:blip>
                          <a:srcRect/>
                          <a:stretch>
                            <a:fillRect/>
                          </a:stretch>
                        </pic:blipFill>
                        <pic:spPr>
                          <a:xfrm>
                            <a:off x="0" y="0"/>
                            <a:ext cx="483870" cy="43053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动画</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95.12</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100.00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85.96</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94.55</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96.23</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91.94</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29" name="图片 29"/>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50">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人力资源管理</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93.22</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97.32</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85.84</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83.06</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70.09</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61.98</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30530"/>
                  <wp:effectExtent l="0" t="0" r="0" b="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51">
                            <a:extLst>
                              <a:ext uri="{28A0092B-C50C-407E-A947-70E740481C1C}">
                                <a14:useLocalDpi xmlns:a14="http://schemas.microsoft.com/office/drawing/2010/main" val="0"/>
                              </a:ext>
                            </a:extLst>
                          </a:blip>
                          <a:srcRect/>
                          <a:stretch>
                            <a:fillRect/>
                          </a:stretch>
                        </pic:blipFill>
                        <pic:spPr>
                          <a:xfrm>
                            <a:off x="0" y="0"/>
                            <a:ext cx="483870" cy="43053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电子信息科学与技术</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97.56</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100.00</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81.13</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83.64</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89.06</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66.67</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3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52">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财务管理</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86.73</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91.8</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89.47</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74.19</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48.06</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53">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金融学</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73.33</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84.8</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76.52</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52.17</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65.87</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57200" cy="422275"/>
                  <wp:effectExtent l="0" t="0" r="0" b="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54">
                            <a:extLst>
                              <a:ext uri="{28A0092B-C50C-407E-A947-70E740481C1C}">
                                <a14:useLocalDpi xmlns:a14="http://schemas.microsoft.com/office/drawing/2010/main" val="0"/>
                              </a:ext>
                            </a:extLst>
                          </a:blip>
                          <a:srcRect/>
                          <a:stretch>
                            <a:fillRect/>
                          </a:stretch>
                        </pic:blipFill>
                        <pic:spPr>
                          <a:xfrm>
                            <a:off x="0" y="0"/>
                            <a:ext cx="457200" cy="42227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服装与服饰设计</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100.00</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87.5</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89.8</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92.31</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环境艺术设计</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98.31</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92.65</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96.43</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84.87</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56">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944"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自动化</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98.31</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100</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95.12</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83.04</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48310"/>
                  <wp:effectExtent l="0" t="0" r="0"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57">
                            <a:extLst>
                              <a:ext uri="{28A0092B-C50C-407E-A947-70E740481C1C}">
                                <a14:useLocalDpi xmlns:a14="http://schemas.microsoft.com/office/drawing/2010/main" val="0"/>
                              </a:ext>
                            </a:extLst>
                          </a:blip>
                          <a:srcRect/>
                          <a:stretch>
                            <a:fillRect/>
                          </a:stretch>
                        </pic:blipFill>
                        <pic:spPr>
                          <a:xfrm>
                            <a:off x="0" y="0"/>
                            <a:ext cx="483870" cy="44831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产品设计</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98.08</w:t>
            </w:r>
          </w:p>
        </w:tc>
        <w:tc>
          <w:tcPr>
            <w:tcW w:w="8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91.67</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100</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92.98</w:t>
            </w:r>
          </w:p>
        </w:tc>
        <w:tc>
          <w:tcPr>
            <w:tcW w:w="66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83870" cy="430530"/>
                  <wp:effectExtent l="0" t="0" r="0" b="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58">
                            <a:extLst>
                              <a:ext uri="{28A0092B-C50C-407E-A947-70E740481C1C}">
                                <a14:useLocalDpi xmlns:a14="http://schemas.microsoft.com/office/drawing/2010/main" val="0"/>
                              </a:ext>
                            </a:extLst>
                          </a:blip>
                          <a:srcRect/>
                          <a:stretch>
                            <a:fillRect/>
                          </a:stretch>
                        </pic:blipFill>
                        <pic:spPr>
                          <a:xfrm>
                            <a:off x="0" y="0"/>
                            <a:ext cx="483870" cy="43053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1255" w:hRule="atLeast"/>
        </w:trPr>
        <w:tc>
          <w:tcPr>
            <w:tcW w:w="1276"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视觉传达设计</w:t>
            </w:r>
          </w:p>
        </w:tc>
        <w:tc>
          <w:tcPr>
            <w:tcW w:w="892"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97.87</w:t>
            </w:r>
          </w:p>
        </w:tc>
        <w:tc>
          <w:tcPr>
            <w:tcW w:w="819" w:type="dxa"/>
            <w:tcBorders>
              <w:top w:val="single" w:color="000000" w:sz="4" w:space="0"/>
              <w:left w:val="single" w:color="000000" w:sz="4" w:space="0"/>
              <w:bottom w:val="single" w:color="auto" w:sz="4" w:space="0"/>
              <w:right w:val="single" w:color="000000"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93.22</w:t>
            </w:r>
          </w:p>
        </w:tc>
        <w:tc>
          <w:tcPr>
            <w:tcW w:w="663" w:type="dxa"/>
            <w:tcBorders>
              <w:top w:val="single" w:color="000000" w:sz="4" w:space="0"/>
              <w:left w:val="single" w:color="000000" w:sz="4" w:space="0"/>
              <w:bottom w:val="single" w:color="auto" w:sz="4" w:space="0"/>
              <w:right w:val="single" w:color="000000"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t>95</w:t>
            </w:r>
          </w:p>
        </w:tc>
        <w:tc>
          <w:tcPr>
            <w:tcW w:w="663" w:type="dxa"/>
            <w:tcBorders>
              <w:top w:val="single" w:color="000000" w:sz="4" w:space="0"/>
              <w:left w:val="single" w:color="000000" w:sz="4" w:space="0"/>
              <w:bottom w:val="single" w:color="auto" w:sz="4" w:space="0"/>
              <w:right w:val="single" w:color="000000"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95.31</w:t>
            </w:r>
          </w:p>
        </w:tc>
        <w:tc>
          <w:tcPr>
            <w:tcW w:w="663" w:type="dxa"/>
            <w:tcBorders>
              <w:top w:val="single" w:color="000000" w:sz="4" w:space="0"/>
              <w:left w:val="single" w:color="000000" w:sz="4" w:space="0"/>
              <w:bottom w:val="single" w:color="auto" w:sz="4" w:space="0"/>
              <w:right w:val="single" w:color="000000" w:sz="4" w:space="0"/>
            </w:tcBorders>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drawing>
                <wp:inline distT="0" distB="0" distL="0" distR="0">
                  <wp:extent cx="457200" cy="404495"/>
                  <wp:effectExtent l="0" t="0" r="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59">
                            <a:extLst>
                              <a:ext uri="{28A0092B-C50C-407E-A947-70E740481C1C}">
                                <a14:useLocalDpi xmlns:a14="http://schemas.microsoft.com/office/drawing/2010/main" val="0"/>
                              </a:ext>
                            </a:extLst>
                          </a:blip>
                          <a:srcRect/>
                          <a:stretch>
                            <a:fillRect/>
                          </a:stretch>
                        </pic:blipFill>
                        <pic:spPr>
                          <a:xfrm>
                            <a:off x="0" y="0"/>
                            <a:ext cx="457200" cy="40449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944" w:hRule="atLeast"/>
        </w:trPr>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播音主持与艺术</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24"/>
              </w:rPr>
              <w:t>68.33</w:t>
            </w:r>
          </w:p>
        </w:tc>
        <w:tc>
          <w:tcPr>
            <w:tcW w:w="81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88.1</w:t>
            </w:r>
          </w:p>
        </w:tc>
        <w:tc>
          <w:tcPr>
            <w:tcW w:w="6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宋体" w:hAnsi="宋体" w:cs="宋体"/>
                <w:sz w:val="24"/>
              </w:rPr>
            </w:pPr>
            <w:r>
              <w:rPr>
                <w:rFonts w:hint="eastAsia" w:ascii="宋体" w:hAnsi="宋体" w:cs="宋体"/>
                <w:sz w:val="24"/>
              </w:rPr>
              <w:t>84.21</w:t>
            </w:r>
          </w:p>
        </w:tc>
        <w:tc>
          <w:tcPr>
            <w:tcW w:w="6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65.22</w:t>
            </w:r>
          </w:p>
        </w:tc>
        <w:tc>
          <w:tcPr>
            <w:tcW w:w="6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drawing>
                <wp:inline distT="0" distB="0" distL="0" distR="0">
                  <wp:extent cx="483870" cy="430530"/>
                  <wp:effectExtent l="0" t="0" r="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60">
                            <a:extLst>
                              <a:ext uri="{28A0092B-C50C-407E-A947-70E740481C1C}">
                                <a14:useLocalDpi xmlns:a14="http://schemas.microsoft.com/office/drawing/2010/main" val="0"/>
                              </a:ext>
                            </a:extLst>
                          </a:blip>
                          <a:srcRect/>
                          <a:stretch>
                            <a:fillRect/>
                          </a:stretch>
                        </pic:blipFill>
                        <pic:spPr>
                          <a:xfrm>
                            <a:off x="0" y="0"/>
                            <a:ext cx="483870" cy="430530"/>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954" w:hRule="atLeast"/>
        </w:trPr>
        <w:tc>
          <w:tcPr>
            <w:tcW w:w="127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电子商务</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9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eastAsia="宋体" w:cs="宋体"/>
                <w:sz w:val="24"/>
              </w:rPr>
            </w:pPr>
            <w:r>
              <w:rPr>
                <w:rFonts w:hint="eastAsia" w:ascii="宋体" w:hAnsi="宋体" w:eastAsia="宋体" w:cs="宋体"/>
                <w:sz w:val="48"/>
              </w:rPr>
              <w:t>—</w:t>
            </w:r>
          </w:p>
        </w:tc>
        <w:tc>
          <w:tcPr>
            <w:tcW w:w="81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60" w:lineRule="auto"/>
              <w:jc w:val="center"/>
              <w:rPr>
                <w:rFonts w:hint="eastAsia" w:ascii="宋体" w:hAnsi="宋体" w:cs="宋体"/>
                <w:sz w:val="24"/>
              </w:rPr>
            </w:pPr>
            <w:r>
              <w:rPr>
                <w:rFonts w:hint="eastAsia" w:ascii="宋体" w:hAnsi="宋体" w:cs="宋体"/>
                <w:sz w:val="24"/>
              </w:rPr>
              <w:t>75</w:t>
            </w:r>
          </w:p>
        </w:tc>
        <w:tc>
          <w:tcPr>
            <w:tcW w:w="6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hint="eastAsia" w:ascii="宋体" w:hAnsi="宋体" w:cs="宋体"/>
                <w:sz w:val="24"/>
              </w:rPr>
            </w:pPr>
            <w:r>
              <w:rPr>
                <w:rFonts w:hint="eastAsia" w:ascii="宋体" w:hAnsi="宋体" w:cs="宋体"/>
                <w:sz w:val="24"/>
              </w:rPr>
              <w:t>84.62</w:t>
            </w:r>
          </w:p>
        </w:tc>
        <w:tc>
          <w:tcPr>
            <w:tcW w:w="6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sz w:val="24"/>
                <w:lang w:val="en-US" w:eastAsia="zh-CN"/>
              </w:rPr>
            </w:pPr>
            <w:r>
              <w:rPr>
                <w:rFonts w:hint="eastAsia" w:ascii="宋体" w:hAnsi="宋体" w:cs="宋体"/>
                <w:sz w:val="24"/>
                <w:lang w:val="en-US" w:eastAsia="zh-CN"/>
              </w:rPr>
              <w:t>41.53</w:t>
            </w:r>
          </w:p>
        </w:tc>
        <w:tc>
          <w:tcPr>
            <w:tcW w:w="66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cs="宋体"/>
                <w:sz w:val="24"/>
              </w:rPr>
            </w:pPr>
            <w:r>
              <w:rPr>
                <w:rFonts w:hint="eastAsia" w:ascii="宋体" w:hAnsi="宋体" w:cs="宋体"/>
                <w:sz w:val="24"/>
              </w:rPr>
              <w:drawing>
                <wp:inline distT="0" distB="0" distL="0" distR="0">
                  <wp:extent cx="457200" cy="404495"/>
                  <wp:effectExtent l="0" t="0" r="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61">
                            <a:extLst>
                              <a:ext uri="{28A0092B-C50C-407E-A947-70E740481C1C}">
                                <a14:useLocalDpi xmlns:a14="http://schemas.microsoft.com/office/drawing/2010/main" val="0"/>
                              </a:ext>
                            </a:extLst>
                          </a:blip>
                          <a:srcRect/>
                          <a:stretch>
                            <a:fillRect/>
                          </a:stretch>
                        </pic:blipFill>
                        <pic:spPr>
                          <a:xfrm>
                            <a:off x="0" y="0"/>
                            <a:ext cx="457200" cy="404495"/>
                          </a:xfrm>
                          <a:prstGeom prst="rect">
                            <a:avLst/>
                          </a:prstGeom>
                          <a:noFill/>
                          <a:ln>
                            <a:noFill/>
                          </a:ln>
                        </pic:spPr>
                      </pic:pic>
                    </a:graphicData>
                  </a:graphic>
                </wp:inline>
              </w:drawing>
            </w:r>
          </w:p>
        </w:tc>
      </w:tr>
    </w:tbl>
    <w:p>
      <w:pPr>
        <w:widowControl/>
        <w:spacing w:line="360" w:lineRule="auto"/>
        <w:ind w:right="-1149" w:rightChars="-547"/>
        <w:jc w:val="left"/>
        <w:rPr>
          <w:rFonts w:hint="eastAsia" w:ascii="宋体" w:hAnsi="宋体" w:cs="宋体"/>
          <w:szCs w:val="21"/>
        </w:rPr>
      </w:pPr>
      <w:r>
        <w:rPr>
          <w:rFonts w:hint="eastAsia" w:ascii="宋体" w:hAnsi="宋体" w:eastAsia="宋体" w:cs="宋体"/>
          <w:szCs w:val="21"/>
        </w:rPr>
        <w:t>注：2013届英语专业归属新闻学专业，2017届以前新闻学专业包括播音与主持艺术与新闻学专业，艺术设计专业包括服装与服饰设计、环境艺术设计、产品设计和视觉传达设计专业</w:t>
      </w:r>
      <w:r>
        <w:rPr>
          <w:rFonts w:hint="eastAsia" w:ascii="宋体" w:hAnsi="宋体" w:cs="宋体"/>
          <w:szCs w:val="21"/>
        </w:rPr>
        <w:t>。</w:t>
      </w:r>
    </w:p>
    <w:p>
      <w:pPr>
        <w:widowControl/>
        <w:spacing w:line="360" w:lineRule="auto"/>
        <w:ind w:right="-69" w:rightChars="-33" w:firstLine="540" w:firstLineChars="225"/>
        <w:jc w:val="left"/>
        <w:rPr>
          <w:rFonts w:hint="eastAsia" w:ascii="宋体" w:hAnsi="宋体" w:eastAsia="宋体" w:cs="宋体"/>
          <w:sz w:val="24"/>
        </w:rPr>
      </w:pPr>
      <w:r>
        <w:rPr>
          <w:rFonts w:hint="eastAsia" w:ascii="宋体" w:hAnsi="宋体" w:eastAsia="宋体" w:cs="宋体"/>
          <w:sz w:val="24"/>
        </w:rPr>
        <w:t>从专业方面分析，就业率总体呈现上升趋势的专业有艺术设计、英语、</w:t>
      </w:r>
      <w:r>
        <w:rPr>
          <w:rFonts w:hint="eastAsia" w:ascii="宋体" w:hAnsi="宋体" w:cs="宋体"/>
          <w:sz w:val="24"/>
        </w:rPr>
        <w:t>自动化、绘画、产品设计</w:t>
      </w:r>
      <w:r>
        <w:rPr>
          <w:rFonts w:hint="eastAsia" w:ascii="宋体" w:hAnsi="宋体" w:eastAsia="宋体" w:cs="宋体"/>
          <w:sz w:val="24"/>
        </w:rPr>
        <w:t>等五个专业；</w:t>
      </w:r>
      <w:r>
        <w:rPr>
          <w:rFonts w:hint="eastAsia" w:ascii="宋体" w:hAnsi="宋体" w:cs="宋体"/>
          <w:sz w:val="24"/>
        </w:rPr>
        <w:t>八</w:t>
      </w:r>
      <w:r>
        <w:rPr>
          <w:rFonts w:hint="eastAsia" w:ascii="宋体" w:hAnsi="宋体" w:eastAsia="宋体" w:cs="宋体"/>
          <w:sz w:val="24"/>
        </w:rPr>
        <w:t>年间均保持了较高的就业率的专业有计算机科学与技术专业、</w:t>
      </w:r>
      <w:r>
        <w:rPr>
          <w:rFonts w:hint="eastAsia" w:ascii="宋体" w:hAnsi="宋体" w:cs="宋体"/>
          <w:sz w:val="24"/>
        </w:rPr>
        <w:t>信息与计算科学</w:t>
      </w:r>
      <w:r>
        <w:rPr>
          <w:rFonts w:hint="eastAsia" w:ascii="宋体" w:hAnsi="宋体" w:eastAsia="宋体" w:cs="宋体"/>
          <w:sz w:val="24"/>
        </w:rPr>
        <w:t>专业</w:t>
      </w:r>
      <w:r>
        <w:rPr>
          <w:rFonts w:hint="eastAsia" w:ascii="宋体" w:hAnsi="宋体" w:cs="宋体"/>
          <w:sz w:val="24"/>
        </w:rPr>
        <w:t>。金融学专业、人力资源管理专业</w:t>
      </w:r>
      <w:r>
        <w:rPr>
          <w:rFonts w:hint="eastAsia" w:ascii="宋体" w:hAnsi="宋体" w:eastAsia="宋体" w:cs="宋体"/>
          <w:sz w:val="24"/>
        </w:rPr>
        <w:t>是我院就业困难专业。</w:t>
      </w:r>
    </w:p>
    <w:p>
      <w:pPr>
        <w:pStyle w:val="3"/>
        <w:numPr>
          <w:ilvl w:val="0"/>
          <w:numId w:val="10"/>
        </w:numPr>
        <w:spacing w:line="360" w:lineRule="auto"/>
        <w:rPr>
          <w:rFonts w:hint="eastAsia" w:ascii="宋体" w:hAnsi="宋体" w:eastAsia="宋体" w:cs="宋体"/>
          <w:sz w:val="30"/>
          <w:szCs w:val="30"/>
        </w:rPr>
      </w:pPr>
      <w:bookmarkStart w:id="80" w:name="_Toc504614058"/>
      <w:r>
        <w:rPr>
          <w:rFonts w:hint="eastAsia" w:ascii="宋体" w:hAnsi="宋体" w:eastAsia="宋体" w:cs="宋体"/>
          <w:sz w:val="30"/>
          <w:szCs w:val="30"/>
        </w:rPr>
        <w:t>就业结构变化情况</w:t>
      </w:r>
      <w:bookmarkEnd w:id="80"/>
    </w:p>
    <w:p>
      <w:pPr>
        <w:pStyle w:val="4"/>
        <w:numPr>
          <w:ilvl w:val="3"/>
          <w:numId w:val="12"/>
        </w:numPr>
        <w:spacing w:line="360" w:lineRule="auto"/>
        <w:ind w:left="-2" w:leftChars="-1" w:firstLine="0"/>
        <w:rPr>
          <w:rFonts w:hint="eastAsia" w:ascii="宋体" w:hAnsi="宋体" w:cs="宋体"/>
          <w:sz w:val="28"/>
          <w:szCs w:val="28"/>
        </w:rPr>
      </w:pPr>
      <w:r>
        <w:rPr>
          <w:rFonts w:hint="eastAsia" w:ascii="宋体" w:hAnsi="宋体" w:cs="宋体"/>
          <w:sz w:val="28"/>
          <w:szCs w:val="28"/>
        </w:rPr>
        <w:t>就业单位性质变化趋势</w:t>
      </w:r>
    </w:p>
    <w:p>
      <w:pPr>
        <w:widowControl/>
        <w:spacing w:line="360" w:lineRule="auto"/>
        <w:ind w:firstLine="2371" w:firstLineChars="984"/>
        <w:rPr>
          <w:rFonts w:hint="eastAsia" w:ascii="宋体" w:hAnsi="宋体" w:cs="宋体"/>
          <w:b/>
          <w:sz w:val="24"/>
        </w:rPr>
      </w:pPr>
      <w:r>
        <w:rPr>
          <w:rFonts w:hint="eastAsia" w:ascii="宋体" w:hAnsi="宋体" w:cs="宋体"/>
          <w:b/>
          <w:sz w:val="24"/>
        </w:rPr>
        <w:t>表4.5:近四年就业单位流向变化</w:t>
      </w:r>
    </w:p>
    <w:tbl>
      <w:tblPr>
        <w:tblStyle w:val="20"/>
        <w:tblpPr w:leftFromText="180" w:rightFromText="180" w:vertAnchor="text" w:horzAnchor="page" w:tblpX="1053" w:tblpY="563"/>
        <w:tblOverlap w:val="never"/>
        <w:tblW w:w="9778"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1322"/>
        <w:gridCol w:w="1322"/>
        <w:gridCol w:w="1322"/>
        <w:gridCol w:w="1322"/>
        <w:gridCol w:w="1322"/>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846" w:type="dxa"/>
            <w:shd w:val="clear" w:color="auto" w:fill="9999FF"/>
          </w:tcPr>
          <w:p>
            <w:pPr>
              <w:widowControl/>
              <w:spacing w:line="360" w:lineRule="auto"/>
              <w:jc w:val="center"/>
              <w:rPr>
                <w:rFonts w:hint="eastAsia" w:ascii="宋体" w:hAnsi="宋体" w:cs="宋体"/>
                <w:b/>
                <w:sz w:val="24"/>
              </w:rPr>
            </w:pPr>
            <w:r>
              <w:rPr>
                <w:rFonts w:hint="eastAsia" w:ascii="宋体" w:hAnsi="宋体" w:cs="宋体"/>
                <w:b/>
                <w:sz w:val="24"/>
              </w:rPr>
              <w:t>单位性质</w:t>
            </w:r>
          </w:p>
        </w:tc>
        <w:tc>
          <w:tcPr>
            <w:tcW w:w="1322" w:type="dxa"/>
            <w:shd w:val="clear" w:color="auto" w:fill="9999FF"/>
          </w:tcPr>
          <w:p>
            <w:pPr>
              <w:widowControl/>
              <w:spacing w:line="360" w:lineRule="auto"/>
              <w:jc w:val="center"/>
              <w:rPr>
                <w:rFonts w:hint="eastAsia" w:ascii="宋体" w:hAnsi="宋体" w:cs="宋体"/>
                <w:b/>
                <w:sz w:val="24"/>
              </w:rPr>
            </w:pPr>
            <w:r>
              <w:rPr>
                <w:rFonts w:hint="eastAsia" w:ascii="宋体" w:hAnsi="宋体" w:cs="宋体"/>
                <w:b/>
                <w:sz w:val="24"/>
              </w:rPr>
              <w:t>2015年（%）</w:t>
            </w:r>
          </w:p>
        </w:tc>
        <w:tc>
          <w:tcPr>
            <w:tcW w:w="1322" w:type="dxa"/>
            <w:shd w:val="clear" w:color="auto" w:fill="9999FF"/>
          </w:tcPr>
          <w:p>
            <w:pPr>
              <w:widowControl/>
              <w:spacing w:line="360" w:lineRule="auto"/>
              <w:jc w:val="center"/>
              <w:rPr>
                <w:rFonts w:hint="eastAsia" w:ascii="宋体" w:hAnsi="宋体" w:cs="宋体"/>
                <w:b/>
                <w:sz w:val="24"/>
              </w:rPr>
            </w:pPr>
            <w:r>
              <w:rPr>
                <w:rFonts w:hint="eastAsia" w:ascii="宋体" w:hAnsi="宋体" w:cs="宋体"/>
                <w:b/>
                <w:sz w:val="24"/>
              </w:rPr>
              <w:t>2016年（%）</w:t>
            </w:r>
          </w:p>
        </w:tc>
        <w:tc>
          <w:tcPr>
            <w:tcW w:w="1322" w:type="dxa"/>
            <w:shd w:val="clear" w:color="auto" w:fill="9999FF"/>
          </w:tcPr>
          <w:p>
            <w:pPr>
              <w:widowControl/>
              <w:spacing w:line="360" w:lineRule="auto"/>
              <w:jc w:val="center"/>
              <w:rPr>
                <w:rFonts w:hint="eastAsia" w:ascii="宋体" w:hAnsi="宋体" w:cs="宋体"/>
                <w:b/>
                <w:sz w:val="24"/>
              </w:rPr>
            </w:pPr>
            <w:r>
              <w:rPr>
                <w:rFonts w:hint="eastAsia" w:ascii="宋体" w:hAnsi="宋体" w:cs="宋体"/>
                <w:b/>
                <w:sz w:val="24"/>
              </w:rPr>
              <w:t>2017年（%）</w:t>
            </w:r>
          </w:p>
        </w:tc>
        <w:tc>
          <w:tcPr>
            <w:tcW w:w="1322" w:type="dxa"/>
            <w:shd w:val="clear" w:color="auto" w:fill="9999FF"/>
          </w:tcPr>
          <w:p>
            <w:pPr>
              <w:widowControl/>
              <w:spacing w:line="360" w:lineRule="auto"/>
              <w:jc w:val="center"/>
              <w:rPr>
                <w:rFonts w:hint="eastAsia" w:ascii="宋体" w:hAnsi="宋体" w:cs="宋体"/>
                <w:b/>
                <w:sz w:val="24"/>
              </w:rPr>
            </w:pPr>
            <w:r>
              <w:rPr>
                <w:rFonts w:hint="eastAsia" w:ascii="宋体" w:hAnsi="宋体" w:cs="宋体"/>
                <w:b/>
                <w:sz w:val="24"/>
              </w:rPr>
              <w:t>2018年（%）</w:t>
            </w:r>
          </w:p>
        </w:tc>
        <w:tc>
          <w:tcPr>
            <w:tcW w:w="1322" w:type="dxa"/>
            <w:shd w:val="clear" w:color="auto" w:fill="9999FF"/>
          </w:tcPr>
          <w:p>
            <w:pPr>
              <w:widowControl/>
              <w:spacing w:line="360" w:lineRule="auto"/>
              <w:jc w:val="center"/>
              <w:rPr>
                <w:rFonts w:hint="eastAsia" w:ascii="宋体" w:hAnsi="宋体" w:cs="宋体"/>
                <w:b/>
                <w:sz w:val="24"/>
              </w:rPr>
            </w:pPr>
            <w:r>
              <w:rPr>
                <w:rFonts w:hint="eastAsia" w:ascii="宋体" w:hAnsi="宋体" w:cs="宋体"/>
                <w:b/>
                <w:sz w:val="24"/>
              </w:rPr>
              <w:t>2019年（%）</w:t>
            </w:r>
          </w:p>
        </w:tc>
        <w:tc>
          <w:tcPr>
            <w:tcW w:w="1322" w:type="dxa"/>
            <w:shd w:val="clear" w:color="auto" w:fill="9999FF"/>
          </w:tcPr>
          <w:p>
            <w:pPr>
              <w:widowControl/>
              <w:spacing w:line="360" w:lineRule="auto"/>
              <w:jc w:val="center"/>
              <w:rPr>
                <w:rFonts w:hint="eastAsia" w:ascii="宋体" w:hAnsi="宋体" w:eastAsia="宋体" w:cs="宋体"/>
                <w:b/>
                <w:kern w:val="2"/>
                <w:sz w:val="24"/>
                <w:lang w:val="en-US" w:eastAsia="zh-CN" w:bidi="ar-SA"/>
              </w:rPr>
            </w:pPr>
            <w:r>
              <w:rPr>
                <w:rFonts w:hint="eastAsia" w:ascii="宋体" w:hAnsi="宋体" w:cs="宋体"/>
                <w:b/>
                <w:sz w:val="24"/>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46" w:type="dxa"/>
          </w:tcPr>
          <w:p>
            <w:pPr>
              <w:widowControl/>
              <w:spacing w:line="360" w:lineRule="auto"/>
              <w:jc w:val="center"/>
              <w:rPr>
                <w:rFonts w:hint="eastAsia" w:ascii="宋体" w:hAnsi="宋体" w:cs="宋体"/>
                <w:sz w:val="24"/>
              </w:rPr>
            </w:pPr>
            <w:r>
              <w:rPr>
                <w:rFonts w:hint="eastAsia" w:ascii="宋体" w:hAnsi="宋体" w:cs="宋体"/>
                <w:sz w:val="24"/>
              </w:rPr>
              <w:t>其他企业</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71.53</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69.71</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61.82</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65.24</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51.97</w:t>
            </w:r>
          </w:p>
        </w:tc>
        <w:tc>
          <w:tcPr>
            <w:tcW w:w="1322" w:type="dxa"/>
          </w:tcPr>
          <w:p>
            <w:pPr>
              <w:widowControl/>
              <w:spacing w:line="360" w:lineRule="auto"/>
              <w:jc w:val="center"/>
              <w:rPr>
                <w:rFonts w:hint="eastAsia" w:ascii="宋体" w:hAnsi="宋体" w:eastAsia="宋体" w:cs="宋体"/>
                <w:kern w:val="2"/>
                <w:sz w:val="24"/>
                <w:lang w:val="en-US" w:eastAsia="zh-CN" w:bidi="ar-SA"/>
              </w:rPr>
            </w:pPr>
            <w:r>
              <w:rPr>
                <w:rFonts w:hint="eastAsia" w:ascii="宋体" w:hAnsi="宋体" w:cs="宋体"/>
                <w:sz w:val="24"/>
              </w:rPr>
              <w:t>64.67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46" w:type="dxa"/>
          </w:tcPr>
          <w:p>
            <w:pPr>
              <w:widowControl/>
              <w:spacing w:line="360" w:lineRule="auto"/>
              <w:jc w:val="center"/>
              <w:rPr>
                <w:rFonts w:hint="eastAsia" w:ascii="宋体" w:hAnsi="宋体" w:cs="宋体"/>
                <w:sz w:val="24"/>
              </w:rPr>
            </w:pPr>
            <w:r>
              <w:rPr>
                <w:rFonts w:hint="eastAsia" w:ascii="宋体" w:hAnsi="宋体" w:cs="宋体"/>
                <w:sz w:val="24"/>
              </w:rPr>
              <w:t>机关事业单位</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15.83</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14.11</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10.72</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10.14</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6.68</w:t>
            </w:r>
          </w:p>
        </w:tc>
        <w:tc>
          <w:tcPr>
            <w:tcW w:w="1322" w:type="dxa"/>
          </w:tcPr>
          <w:p>
            <w:pPr>
              <w:widowControl/>
              <w:spacing w:line="360" w:lineRule="auto"/>
              <w:jc w:val="center"/>
              <w:rPr>
                <w:rFonts w:hint="eastAsia" w:ascii="宋体" w:hAnsi="宋体" w:eastAsia="宋体" w:cs="宋体"/>
                <w:kern w:val="2"/>
                <w:sz w:val="24"/>
                <w:lang w:val="en-US" w:eastAsia="zh-CN" w:bidi="ar-SA"/>
              </w:rPr>
            </w:pPr>
            <w:r>
              <w:rPr>
                <w:rFonts w:hint="eastAsia" w:ascii="宋体" w:hAnsi="宋体" w:cs="宋体"/>
                <w:sz w:val="24"/>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46" w:type="dxa"/>
          </w:tcPr>
          <w:p>
            <w:pPr>
              <w:widowControl/>
              <w:spacing w:line="360" w:lineRule="auto"/>
              <w:jc w:val="center"/>
              <w:rPr>
                <w:rFonts w:hint="eastAsia" w:ascii="宋体" w:hAnsi="宋体" w:cs="宋体"/>
                <w:sz w:val="24"/>
              </w:rPr>
            </w:pPr>
            <w:r>
              <w:rPr>
                <w:rFonts w:hint="eastAsia" w:ascii="宋体" w:hAnsi="宋体" w:cs="宋体"/>
                <w:sz w:val="24"/>
              </w:rPr>
              <w:t>国企</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8.53</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7.4</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6.81</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8.56</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12.79</w:t>
            </w:r>
          </w:p>
        </w:tc>
        <w:tc>
          <w:tcPr>
            <w:tcW w:w="1322" w:type="dxa"/>
          </w:tcPr>
          <w:p>
            <w:pPr>
              <w:widowControl/>
              <w:spacing w:line="360" w:lineRule="auto"/>
              <w:jc w:val="center"/>
              <w:rPr>
                <w:rFonts w:hint="eastAsia" w:ascii="宋体" w:hAnsi="宋体" w:eastAsia="宋体" w:cs="宋体"/>
                <w:kern w:val="2"/>
                <w:sz w:val="24"/>
                <w:lang w:val="en-US" w:eastAsia="zh-CN" w:bidi="ar-SA"/>
              </w:rPr>
            </w:pPr>
            <w:r>
              <w:rPr>
                <w:rFonts w:hint="eastAsia" w:ascii="宋体" w:hAnsi="宋体" w:cs="宋体"/>
                <w:sz w:val="24"/>
              </w:rPr>
              <w:t>15.35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846" w:type="dxa"/>
          </w:tcPr>
          <w:p>
            <w:pPr>
              <w:widowControl/>
              <w:spacing w:line="360" w:lineRule="auto"/>
              <w:jc w:val="center"/>
              <w:rPr>
                <w:rFonts w:hint="eastAsia" w:ascii="宋体" w:hAnsi="宋体" w:cs="宋体"/>
                <w:sz w:val="24"/>
              </w:rPr>
            </w:pPr>
            <w:r>
              <w:rPr>
                <w:rFonts w:hint="eastAsia" w:ascii="宋体" w:hAnsi="宋体" w:cs="宋体"/>
                <w:sz w:val="24"/>
              </w:rPr>
              <w:t>其他单位</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4.02</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8.78</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20.65</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16.06</w:t>
            </w:r>
          </w:p>
        </w:tc>
        <w:tc>
          <w:tcPr>
            <w:tcW w:w="1322" w:type="dxa"/>
          </w:tcPr>
          <w:p>
            <w:pPr>
              <w:widowControl/>
              <w:spacing w:line="360" w:lineRule="auto"/>
              <w:jc w:val="center"/>
              <w:rPr>
                <w:rFonts w:hint="eastAsia" w:ascii="宋体" w:hAnsi="宋体" w:cs="宋体"/>
                <w:sz w:val="24"/>
              </w:rPr>
            </w:pPr>
            <w:r>
              <w:rPr>
                <w:rFonts w:hint="eastAsia" w:ascii="宋体" w:hAnsi="宋体" w:cs="宋体"/>
                <w:sz w:val="24"/>
              </w:rPr>
              <w:t>12.71</w:t>
            </w:r>
          </w:p>
        </w:tc>
        <w:tc>
          <w:tcPr>
            <w:tcW w:w="1322" w:type="dxa"/>
          </w:tcPr>
          <w:p>
            <w:pPr>
              <w:widowControl/>
              <w:spacing w:line="360" w:lineRule="auto"/>
              <w:jc w:val="center"/>
              <w:rPr>
                <w:rFonts w:hint="eastAsia" w:ascii="宋体" w:hAnsi="宋体" w:eastAsia="宋体" w:cs="宋体"/>
                <w:kern w:val="2"/>
                <w:sz w:val="24"/>
                <w:lang w:val="en-US" w:eastAsia="zh-CN" w:bidi="ar-SA"/>
              </w:rPr>
            </w:pPr>
            <w:r>
              <w:rPr>
                <w:rFonts w:hint="eastAsia" w:ascii="宋体" w:hAnsi="宋体" w:cs="宋体"/>
                <w:sz w:val="24"/>
              </w:rPr>
              <w:t>15.8</w:t>
            </w:r>
          </w:p>
        </w:tc>
      </w:tr>
    </w:tbl>
    <w:p>
      <w:pPr>
        <w:widowControl/>
        <w:spacing w:line="360" w:lineRule="auto"/>
        <w:rPr>
          <w:rFonts w:ascii="??_GB2312" w:eastAsia="Times New Roman"/>
          <w:bCs/>
          <w:sz w:val="24"/>
        </w:rPr>
      </w:pPr>
    </w:p>
    <w:p>
      <w:pPr>
        <w:widowControl/>
        <w:spacing w:line="360" w:lineRule="auto"/>
        <w:ind w:firstLine="480" w:firstLineChars="200"/>
        <w:rPr>
          <w:rFonts w:ascii="??_GB2312"/>
          <w:bCs/>
          <w:sz w:val="24"/>
        </w:rPr>
      </w:pPr>
      <w:r>
        <w:rPr>
          <w:rFonts w:hint="eastAsia" w:ascii="宋体" w:hAnsi="宋体" w:eastAsia="宋体" w:cs="宋体"/>
          <w:bCs/>
          <w:sz w:val="24"/>
        </w:rPr>
        <w:t>从就业单位流向上看，近</w:t>
      </w:r>
      <w:r>
        <w:rPr>
          <w:rFonts w:hint="eastAsia" w:ascii="宋体" w:hAnsi="宋体" w:cs="宋体"/>
          <w:bCs/>
          <w:sz w:val="24"/>
        </w:rPr>
        <w:t>四</w:t>
      </w:r>
      <w:r>
        <w:rPr>
          <w:rFonts w:hint="eastAsia" w:ascii="宋体" w:hAnsi="宋体" w:eastAsia="宋体" w:cs="宋体"/>
          <w:bCs/>
          <w:sz w:val="24"/>
        </w:rPr>
        <w:t>年的基本变化是，毕业生到其他企业</w:t>
      </w:r>
      <w:r>
        <w:rPr>
          <w:rFonts w:hint="eastAsia" w:ascii="宋体" w:hAnsi="宋体" w:cs="宋体"/>
          <w:bCs/>
          <w:sz w:val="24"/>
        </w:rPr>
        <w:t>、</w:t>
      </w:r>
      <w:r>
        <w:rPr>
          <w:rFonts w:hint="eastAsia" w:ascii="宋体" w:hAnsi="宋体" w:eastAsia="宋体" w:cs="宋体"/>
          <w:bCs/>
          <w:sz w:val="24"/>
        </w:rPr>
        <w:t>国企就业</w:t>
      </w:r>
      <w:r>
        <w:rPr>
          <w:rFonts w:hint="eastAsia" w:ascii="宋体" w:hAnsi="宋体" w:cs="宋体"/>
          <w:bCs/>
          <w:sz w:val="24"/>
        </w:rPr>
        <w:t>在连续三年下降后有所回落，</w:t>
      </w:r>
      <w:r>
        <w:rPr>
          <w:rFonts w:hint="eastAsia" w:ascii="宋体" w:hAnsi="宋体" w:eastAsia="宋体" w:cs="宋体"/>
          <w:bCs/>
          <w:sz w:val="24"/>
        </w:rPr>
        <w:t>机关事业单位</w:t>
      </w:r>
      <w:r>
        <w:rPr>
          <w:rFonts w:hint="eastAsia" w:ascii="宋体" w:hAnsi="宋体" w:cs="宋体"/>
          <w:bCs/>
          <w:sz w:val="24"/>
        </w:rPr>
        <w:t>的</w:t>
      </w:r>
      <w:r>
        <w:rPr>
          <w:rFonts w:hint="eastAsia" w:ascii="宋体" w:hAnsi="宋体" w:eastAsia="宋体" w:cs="宋体"/>
          <w:bCs/>
          <w:sz w:val="24"/>
        </w:rPr>
        <w:t>趋势在</w:t>
      </w:r>
      <w:r>
        <w:rPr>
          <w:rFonts w:hint="eastAsia" w:ascii="宋体" w:hAnsi="宋体" w:cs="宋体"/>
          <w:bCs/>
          <w:sz w:val="24"/>
        </w:rPr>
        <w:t>逐年</w:t>
      </w:r>
      <w:r>
        <w:rPr>
          <w:rFonts w:hint="eastAsia" w:ascii="宋体" w:hAnsi="宋体" w:eastAsia="宋体" w:cs="宋体"/>
          <w:bCs/>
          <w:sz w:val="24"/>
        </w:rPr>
        <w:t>下降，毕业生到其他单位就业包括部队、农村建制村和城镇社区就业的比例</w:t>
      </w:r>
      <w:r>
        <w:rPr>
          <w:rFonts w:hint="eastAsia" w:ascii="宋体" w:hAnsi="宋体" w:cs="宋体"/>
          <w:bCs/>
          <w:sz w:val="24"/>
        </w:rPr>
        <w:t>在经过连续三年</w:t>
      </w:r>
      <w:r>
        <w:rPr>
          <w:rFonts w:hint="eastAsia" w:ascii="宋体" w:hAnsi="宋体" w:eastAsia="宋体" w:cs="宋体"/>
          <w:bCs/>
          <w:sz w:val="24"/>
        </w:rPr>
        <w:t>上升</w:t>
      </w:r>
      <w:r>
        <w:rPr>
          <w:rFonts w:hint="eastAsia" w:ascii="宋体" w:hAnsi="宋体" w:cs="宋体"/>
          <w:bCs/>
          <w:sz w:val="24"/>
        </w:rPr>
        <w:t>后</w:t>
      </w:r>
      <w:r>
        <w:rPr>
          <w:rFonts w:hint="eastAsia" w:ascii="宋体" w:hAnsi="宋体" w:eastAsia="宋体" w:cs="宋体"/>
          <w:bCs/>
          <w:sz w:val="24"/>
        </w:rPr>
        <w:t>，</w:t>
      </w:r>
      <w:r>
        <w:rPr>
          <w:rFonts w:hint="eastAsia" w:ascii="宋体" w:hAnsi="宋体" w:cs="宋体"/>
          <w:bCs/>
          <w:sz w:val="24"/>
        </w:rPr>
        <w:t>有所回落，成逐渐平稳的状态发展。</w:t>
      </w:r>
    </w:p>
    <w:p>
      <w:pPr>
        <w:pStyle w:val="4"/>
        <w:numPr>
          <w:ilvl w:val="3"/>
          <w:numId w:val="12"/>
        </w:numPr>
        <w:spacing w:line="360" w:lineRule="auto"/>
        <w:ind w:left="-2" w:leftChars="-1" w:firstLine="0"/>
        <w:rPr>
          <w:rFonts w:ascii="宋体"/>
          <w:sz w:val="28"/>
          <w:szCs w:val="28"/>
        </w:rPr>
      </w:pPr>
      <w:r>
        <w:rPr>
          <w:rFonts w:hint="eastAsia" w:ascii="宋体" w:hAnsi="宋体"/>
          <w:sz w:val="28"/>
          <w:szCs w:val="28"/>
        </w:rPr>
        <w:t>就业单位行业变化趋势</w:t>
      </w:r>
    </w:p>
    <w:p>
      <w:pPr>
        <w:spacing w:line="360" w:lineRule="auto"/>
        <w:ind w:firstLine="480" w:firstLineChars="200"/>
        <w:rPr>
          <w:rFonts w:hint="eastAsia" w:ascii="宋体" w:hAnsi="宋体" w:eastAsia="宋体" w:cs="宋体"/>
          <w:b/>
          <w:bCs/>
          <w:sz w:val="24"/>
        </w:rPr>
      </w:pPr>
      <w:r>
        <w:rPr>
          <w:rFonts w:hint="eastAsia" w:ascii="宋体" w:hAnsi="宋体" w:eastAsia="宋体" w:cs="宋体"/>
          <w:bCs/>
          <w:sz w:val="24"/>
        </w:rPr>
        <w:t>近</w:t>
      </w:r>
      <w:r>
        <w:rPr>
          <w:rFonts w:hint="eastAsia" w:ascii="宋体" w:hAnsi="宋体" w:cs="宋体"/>
          <w:bCs/>
          <w:sz w:val="24"/>
        </w:rPr>
        <w:t>四</w:t>
      </w:r>
      <w:r>
        <w:rPr>
          <w:rFonts w:hint="eastAsia" w:ascii="宋体" w:hAnsi="宋体" w:eastAsia="宋体" w:cs="宋体"/>
          <w:bCs/>
          <w:sz w:val="24"/>
        </w:rPr>
        <w:t>年，我院毕业生从事的行业具体集中分布在批发、零售业，信息传输、软件和信息技术服务业，教育行业，居民服务、修理和其他服务业</w:t>
      </w:r>
      <w:r>
        <w:rPr>
          <w:rFonts w:hint="eastAsia" w:ascii="宋体" w:hAnsi="宋体" w:cs="宋体"/>
          <w:bCs/>
          <w:sz w:val="24"/>
        </w:rPr>
        <w:t>，文化、体育和娱乐业，</w:t>
      </w:r>
      <w:r>
        <w:rPr>
          <w:rFonts w:hint="eastAsia" w:ascii="宋体" w:hAnsi="宋体" w:eastAsia="宋体" w:cs="宋体"/>
          <w:bCs/>
          <w:sz w:val="24"/>
        </w:rPr>
        <w:t>租赁和商务服务业，建筑业，公共管理、社会保障和社会组织等八大行业中。其中，变化较大的是批发、零售业，以每年将近3个百分点的速度上升，租赁和商务服务业</w:t>
      </w:r>
      <w:r>
        <w:rPr>
          <w:rFonts w:hint="eastAsia" w:ascii="宋体" w:hAnsi="宋体" w:cs="宋体"/>
          <w:bCs/>
          <w:sz w:val="24"/>
        </w:rPr>
        <w:t>较2019年有所回升</w:t>
      </w:r>
      <w:r>
        <w:rPr>
          <w:rFonts w:hint="eastAsia" w:ascii="宋体" w:hAnsi="宋体" w:eastAsia="宋体" w:cs="宋体"/>
          <w:bCs/>
          <w:sz w:val="24"/>
        </w:rPr>
        <w:t>，从侧面反映我院就业质量有所升高</w:t>
      </w:r>
      <w:r>
        <w:rPr>
          <w:rFonts w:hint="eastAsia" w:ascii="宋体" w:hAnsi="宋体" w:eastAsia="宋体" w:cs="宋体"/>
          <w:b/>
          <w:bCs/>
          <w:sz w:val="24"/>
        </w:rPr>
        <w:t>。</w:t>
      </w:r>
    </w:p>
    <w:p>
      <w:pPr>
        <w:widowControl/>
        <w:tabs>
          <w:tab w:val="left" w:pos="7414"/>
        </w:tabs>
        <w:spacing w:line="360" w:lineRule="auto"/>
        <w:ind w:firstLine="2371" w:firstLineChars="984"/>
        <w:rPr>
          <w:rFonts w:hint="eastAsia" w:ascii="宋体" w:hAnsi="宋体" w:cs="宋体"/>
          <w:b/>
          <w:sz w:val="24"/>
          <w:lang w:eastAsia="zh-CN"/>
        </w:rPr>
      </w:pPr>
      <w:r>
        <w:rPr>
          <w:rFonts w:hint="eastAsia" w:ascii="宋体" w:hAnsi="宋体" w:cs="宋体"/>
          <w:b/>
          <w:sz w:val="24"/>
        </w:rPr>
        <w:t>表4.6:</w:t>
      </w:r>
      <w:r>
        <w:rPr>
          <w:rFonts w:hint="eastAsia" w:ascii="宋体" w:hAnsi="宋体" w:cs="宋体"/>
          <w:b/>
          <w:sz w:val="24"/>
          <w:lang w:val="en-US" w:eastAsia="zh-Hans"/>
        </w:rPr>
        <w:t>近四</w:t>
      </w:r>
      <w:r>
        <w:rPr>
          <w:rFonts w:hint="eastAsia" w:ascii="宋体" w:hAnsi="宋体" w:cs="宋体"/>
          <w:b/>
          <w:sz w:val="24"/>
        </w:rPr>
        <w:t>年就业单位行业变化</w:t>
      </w:r>
      <w:r>
        <w:rPr>
          <w:rFonts w:hint="eastAsia" w:ascii="宋体" w:hAnsi="宋体" w:cs="宋体"/>
          <w:b/>
          <w:sz w:val="24"/>
          <w:lang w:eastAsia="zh-CN"/>
        </w:rPr>
        <w:tab/>
      </w:r>
    </w:p>
    <w:tbl>
      <w:tblPr>
        <w:tblStyle w:val="20"/>
        <w:tblpPr w:leftFromText="180" w:rightFromText="180" w:vertAnchor="text" w:horzAnchor="page" w:tblpX="1443" w:tblpY="889"/>
        <w:tblOverlap w:val="never"/>
        <w:tblW w:w="9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5"/>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shd w:val="clear" w:color="auto" w:fill="9999FF"/>
            <w:vAlign w:val="center"/>
          </w:tcPr>
          <w:p>
            <w:pPr>
              <w:widowControl/>
              <w:tabs>
                <w:tab w:val="left" w:pos="3629"/>
              </w:tabs>
              <w:spacing w:line="240" w:lineRule="auto"/>
              <w:jc w:val="left"/>
              <w:rPr>
                <w:rFonts w:ascii="??_GB2312" w:eastAsia="Times New Roman"/>
                <w:b/>
                <w:sz w:val="24"/>
              </w:rPr>
            </w:pPr>
            <w:r>
              <w:rPr>
                <w:rFonts w:ascii="??_GB2312" w:eastAsia="Times New Roman"/>
                <w:b/>
                <w:sz w:val="24"/>
              </w:rPr>
              <w:t>工作单位行业</w:t>
            </w:r>
          </w:p>
        </w:tc>
        <w:tc>
          <w:tcPr>
            <w:tcW w:w="1080" w:type="dxa"/>
            <w:shd w:val="clear" w:color="auto" w:fill="9999FF"/>
            <w:vAlign w:val="center"/>
          </w:tcPr>
          <w:p>
            <w:pPr>
              <w:widowControl/>
              <w:tabs>
                <w:tab w:val="left" w:pos="3629"/>
              </w:tabs>
              <w:spacing w:line="240" w:lineRule="auto"/>
              <w:jc w:val="left"/>
              <w:rPr>
                <w:rFonts w:hint="eastAsia" w:ascii="宋体" w:hAnsi="宋体" w:eastAsia="宋体" w:cs="宋体"/>
                <w:b/>
                <w:sz w:val="24"/>
              </w:rPr>
            </w:pPr>
            <w:r>
              <w:rPr>
                <w:rFonts w:hint="eastAsia" w:ascii="宋体" w:hAnsi="宋体" w:eastAsia="宋体" w:cs="宋体"/>
                <w:b/>
                <w:sz w:val="24"/>
              </w:rPr>
              <w:t>2016年（%）</w:t>
            </w:r>
          </w:p>
        </w:tc>
        <w:tc>
          <w:tcPr>
            <w:tcW w:w="1080" w:type="dxa"/>
            <w:shd w:val="clear" w:color="auto" w:fill="9999FF"/>
            <w:vAlign w:val="center"/>
          </w:tcPr>
          <w:p>
            <w:pPr>
              <w:widowControl/>
              <w:tabs>
                <w:tab w:val="left" w:pos="3629"/>
              </w:tabs>
              <w:spacing w:line="240" w:lineRule="auto"/>
              <w:jc w:val="left"/>
              <w:rPr>
                <w:rFonts w:hint="eastAsia" w:ascii="宋体" w:hAnsi="宋体" w:eastAsia="宋体" w:cs="宋体"/>
                <w:b/>
                <w:sz w:val="24"/>
              </w:rPr>
            </w:pPr>
            <w:r>
              <w:rPr>
                <w:rFonts w:hint="eastAsia" w:ascii="宋体" w:hAnsi="宋体" w:eastAsia="宋体" w:cs="宋体"/>
                <w:b/>
                <w:sz w:val="24"/>
              </w:rPr>
              <w:t>2017年（%）</w:t>
            </w:r>
          </w:p>
        </w:tc>
        <w:tc>
          <w:tcPr>
            <w:tcW w:w="1080" w:type="dxa"/>
            <w:shd w:val="clear" w:color="auto" w:fill="9999FF"/>
            <w:vAlign w:val="center"/>
          </w:tcPr>
          <w:p>
            <w:pPr>
              <w:widowControl/>
              <w:tabs>
                <w:tab w:val="left" w:pos="3629"/>
              </w:tabs>
              <w:spacing w:line="240" w:lineRule="auto"/>
              <w:jc w:val="left"/>
              <w:rPr>
                <w:rFonts w:hint="eastAsia" w:ascii="宋体" w:hAnsi="宋体" w:eastAsia="宋体" w:cs="宋体"/>
                <w:b/>
                <w:sz w:val="24"/>
              </w:rPr>
            </w:pPr>
            <w:r>
              <w:rPr>
                <w:rFonts w:hint="eastAsia" w:ascii="宋体" w:hAnsi="宋体" w:cs="宋体"/>
                <w:b/>
                <w:sz w:val="24"/>
              </w:rPr>
              <w:t>2018</w:t>
            </w:r>
            <w:r>
              <w:rPr>
                <w:rFonts w:hint="eastAsia" w:ascii="宋体" w:hAnsi="宋体" w:eastAsia="宋体" w:cs="宋体"/>
                <w:b/>
                <w:sz w:val="24"/>
              </w:rPr>
              <w:t>年（%）</w:t>
            </w:r>
          </w:p>
        </w:tc>
        <w:tc>
          <w:tcPr>
            <w:tcW w:w="1080" w:type="dxa"/>
            <w:shd w:val="clear" w:color="auto" w:fill="9999FF"/>
            <w:vAlign w:val="center"/>
          </w:tcPr>
          <w:p>
            <w:pPr>
              <w:widowControl/>
              <w:tabs>
                <w:tab w:val="left" w:pos="3629"/>
              </w:tabs>
              <w:spacing w:line="240" w:lineRule="auto"/>
              <w:jc w:val="left"/>
              <w:rPr>
                <w:rFonts w:hint="eastAsia" w:ascii="宋体" w:hAnsi="宋体" w:cs="宋体"/>
                <w:b/>
                <w:sz w:val="24"/>
              </w:rPr>
            </w:pPr>
            <w:r>
              <w:rPr>
                <w:rFonts w:hint="eastAsia" w:ascii="宋体" w:hAnsi="宋体" w:cs="宋体"/>
                <w:b/>
                <w:sz w:val="24"/>
              </w:rPr>
              <w:t>2019</w:t>
            </w:r>
            <w:r>
              <w:rPr>
                <w:rFonts w:hint="eastAsia" w:ascii="宋体" w:hAnsi="宋体" w:eastAsia="宋体" w:cs="宋体"/>
                <w:b/>
                <w:sz w:val="24"/>
              </w:rPr>
              <w:t>年（%）</w:t>
            </w:r>
          </w:p>
        </w:tc>
        <w:tc>
          <w:tcPr>
            <w:tcW w:w="1080" w:type="dxa"/>
            <w:shd w:val="clear" w:color="auto" w:fill="9999FF"/>
            <w:vAlign w:val="center"/>
          </w:tcPr>
          <w:p>
            <w:pPr>
              <w:widowControl/>
              <w:tabs>
                <w:tab w:val="left" w:pos="3629"/>
              </w:tabs>
              <w:spacing w:line="240" w:lineRule="auto"/>
              <w:jc w:val="left"/>
              <w:rPr>
                <w:rFonts w:hint="eastAsia" w:ascii="宋体" w:hAnsi="宋体" w:cs="宋体"/>
                <w:b/>
                <w:sz w:val="24"/>
              </w:rPr>
            </w:pPr>
            <w:r>
              <w:rPr>
                <w:rFonts w:hint="eastAsia" w:ascii="宋体" w:hAnsi="宋体" w:cs="宋体"/>
                <w:b/>
                <w:sz w:val="24"/>
              </w:rPr>
              <w:t>2020</w:t>
            </w:r>
            <w:r>
              <w:rPr>
                <w:rFonts w:hint="eastAsia" w:ascii="宋体" w:hAnsi="宋体" w:eastAsia="宋体" w:cs="宋体"/>
                <w:b/>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tcPr>
          <w:p>
            <w:pPr>
              <w:spacing w:line="360" w:lineRule="auto"/>
              <w:jc w:val="center"/>
              <w:rPr>
                <w:rFonts w:ascii="??_GB2312" w:eastAsia="Times New Roman"/>
                <w:sz w:val="24"/>
              </w:rPr>
            </w:pPr>
            <w:r>
              <w:rPr>
                <w:rFonts w:ascii="??_GB2312" w:eastAsia="Times New Roman"/>
                <w:sz w:val="24"/>
              </w:rPr>
              <w:t>批发、零售业</w:t>
            </w:r>
          </w:p>
        </w:tc>
        <w:tc>
          <w:tcPr>
            <w:tcW w:w="1080" w:type="dxa"/>
            <w:shd w:val="clear" w:color="auto" w:fill="9999FF"/>
          </w:tcPr>
          <w:p>
            <w:pPr>
              <w:spacing w:line="360" w:lineRule="auto"/>
              <w:jc w:val="center"/>
              <w:rPr>
                <w:rFonts w:hint="eastAsia" w:ascii="宋体" w:hAnsi="宋体" w:eastAsia="宋体" w:cs="宋体"/>
                <w:sz w:val="24"/>
              </w:rPr>
            </w:pPr>
            <w:r>
              <w:rPr>
                <w:rFonts w:hint="eastAsia" w:ascii="宋体" w:hAnsi="宋体" w:eastAsia="宋体" w:cs="宋体"/>
                <w:sz w:val="24"/>
              </w:rPr>
              <w:t>10.5</w:t>
            </w:r>
          </w:p>
        </w:tc>
        <w:tc>
          <w:tcPr>
            <w:tcW w:w="1080" w:type="dxa"/>
            <w:shd w:val="clear" w:color="auto" w:fill="9999FF"/>
          </w:tcPr>
          <w:p>
            <w:pPr>
              <w:spacing w:line="360" w:lineRule="auto"/>
              <w:jc w:val="center"/>
              <w:rPr>
                <w:rFonts w:hint="eastAsia" w:ascii="宋体" w:hAnsi="宋体" w:eastAsia="宋体" w:cs="宋体"/>
                <w:sz w:val="24"/>
              </w:rPr>
            </w:pPr>
            <w:r>
              <w:rPr>
                <w:rFonts w:hint="eastAsia" w:ascii="宋体" w:hAnsi="宋体" w:eastAsia="宋体" w:cs="宋体"/>
                <w:sz w:val="24"/>
              </w:rPr>
              <w:t>13.27</w:t>
            </w:r>
          </w:p>
        </w:tc>
        <w:tc>
          <w:tcPr>
            <w:tcW w:w="1080" w:type="dxa"/>
            <w:shd w:val="clear" w:color="auto" w:fill="9999FF"/>
          </w:tcPr>
          <w:p>
            <w:pPr>
              <w:spacing w:line="360" w:lineRule="auto"/>
              <w:jc w:val="center"/>
              <w:rPr>
                <w:rFonts w:hint="eastAsia" w:ascii="宋体" w:hAnsi="宋体" w:cs="宋体"/>
                <w:sz w:val="24"/>
              </w:rPr>
            </w:pPr>
            <w:r>
              <w:rPr>
                <w:rFonts w:hint="eastAsia" w:ascii="宋体" w:hAnsi="宋体" w:cs="宋体"/>
                <w:sz w:val="24"/>
              </w:rPr>
              <w:t>8.56</w:t>
            </w:r>
          </w:p>
        </w:tc>
        <w:tc>
          <w:tcPr>
            <w:tcW w:w="1080" w:type="dxa"/>
            <w:shd w:val="clear" w:color="auto" w:fill="9999FF"/>
          </w:tcPr>
          <w:p>
            <w:pPr>
              <w:spacing w:line="360" w:lineRule="auto"/>
              <w:jc w:val="center"/>
              <w:rPr>
                <w:rFonts w:hint="eastAsia" w:ascii="宋体" w:hAnsi="宋体" w:cs="宋体"/>
                <w:sz w:val="24"/>
              </w:rPr>
            </w:pPr>
            <w:r>
              <w:rPr>
                <w:rFonts w:hint="eastAsia" w:ascii="宋体" w:hAnsi="宋体" w:cs="宋体"/>
                <w:sz w:val="24"/>
              </w:rPr>
              <w:t>11.59</w:t>
            </w:r>
          </w:p>
        </w:tc>
        <w:tc>
          <w:tcPr>
            <w:tcW w:w="1080" w:type="dxa"/>
            <w:shd w:val="clear" w:color="auto" w:fill="9999FF"/>
          </w:tcPr>
          <w:p>
            <w:pPr>
              <w:spacing w:line="360" w:lineRule="auto"/>
              <w:jc w:val="center"/>
              <w:rPr>
                <w:rFonts w:hint="eastAsia" w:ascii="宋体" w:hAnsi="宋体" w:cs="宋体"/>
                <w:sz w:val="24"/>
              </w:rPr>
            </w:pPr>
            <w:r>
              <w:rPr>
                <w:rFonts w:hint="eastAsia" w:ascii="宋体" w:hAnsi="宋体" w:cs="宋体"/>
                <w:sz w:val="24"/>
              </w:rPr>
              <w:t>15.09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tcPr>
          <w:p>
            <w:pPr>
              <w:spacing w:line="360" w:lineRule="auto"/>
              <w:jc w:val="center"/>
              <w:rPr>
                <w:rFonts w:ascii="??_GB2312" w:eastAsia="Times New Roman"/>
                <w:sz w:val="24"/>
              </w:rPr>
            </w:pPr>
            <w:r>
              <w:rPr>
                <w:rFonts w:ascii="??_GB2312" w:hAnsi="宋体" w:eastAsia="Times New Roman"/>
                <w:sz w:val="24"/>
              </w:rPr>
              <w:t>文化、体育和娱乐业</w:t>
            </w:r>
          </w:p>
        </w:tc>
        <w:tc>
          <w:tcPr>
            <w:tcW w:w="1080" w:type="dxa"/>
            <w:shd w:val="clear" w:color="auto" w:fill="9999FF"/>
          </w:tcPr>
          <w:p>
            <w:pPr>
              <w:spacing w:line="360" w:lineRule="auto"/>
              <w:jc w:val="center"/>
              <w:rPr>
                <w:rFonts w:hint="eastAsia" w:ascii="宋体" w:hAnsi="宋体" w:eastAsia="宋体" w:cs="宋体"/>
                <w:sz w:val="24"/>
              </w:rPr>
            </w:pPr>
            <w:r>
              <w:rPr>
                <w:rFonts w:hint="eastAsia" w:ascii="宋体" w:hAnsi="宋体" w:eastAsia="宋体" w:cs="宋体"/>
                <w:sz w:val="24"/>
              </w:rPr>
              <w:t>8.52</w:t>
            </w:r>
          </w:p>
        </w:tc>
        <w:tc>
          <w:tcPr>
            <w:tcW w:w="1080" w:type="dxa"/>
          </w:tcPr>
          <w:p>
            <w:pPr>
              <w:spacing w:line="360" w:lineRule="auto"/>
              <w:jc w:val="center"/>
              <w:rPr>
                <w:rFonts w:hint="eastAsia" w:ascii="宋体" w:hAnsi="宋体" w:eastAsia="宋体" w:cs="宋体"/>
                <w:sz w:val="24"/>
              </w:rPr>
            </w:pPr>
            <w:r>
              <w:rPr>
                <w:rFonts w:hint="eastAsia" w:ascii="宋体" w:hAnsi="宋体" w:eastAsia="宋体" w:cs="宋体"/>
                <w:sz w:val="24"/>
              </w:rPr>
              <w:t>5.75</w:t>
            </w:r>
          </w:p>
        </w:tc>
        <w:tc>
          <w:tcPr>
            <w:tcW w:w="1080" w:type="dxa"/>
          </w:tcPr>
          <w:p>
            <w:pPr>
              <w:spacing w:line="360" w:lineRule="auto"/>
              <w:jc w:val="center"/>
              <w:rPr>
                <w:rFonts w:hint="eastAsia" w:ascii="宋体" w:hAnsi="宋体" w:cs="宋体"/>
                <w:sz w:val="24"/>
              </w:rPr>
            </w:pPr>
            <w:r>
              <w:rPr>
                <w:rFonts w:hint="eastAsia" w:ascii="宋体" w:hAnsi="宋体" w:cs="宋体"/>
                <w:sz w:val="24"/>
              </w:rPr>
              <w:t>6.73</w:t>
            </w:r>
          </w:p>
        </w:tc>
        <w:tc>
          <w:tcPr>
            <w:tcW w:w="1080" w:type="dxa"/>
          </w:tcPr>
          <w:p>
            <w:pPr>
              <w:spacing w:line="360" w:lineRule="auto"/>
              <w:jc w:val="center"/>
              <w:rPr>
                <w:rFonts w:hint="eastAsia" w:ascii="宋体" w:hAnsi="宋体" w:cs="宋体"/>
                <w:sz w:val="24"/>
              </w:rPr>
            </w:pPr>
            <w:r>
              <w:rPr>
                <w:rFonts w:hint="eastAsia" w:ascii="宋体" w:hAnsi="宋体" w:cs="宋体"/>
                <w:sz w:val="24"/>
              </w:rPr>
              <w:t>4.28</w:t>
            </w:r>
          </w:p>
        </w:tc>
        <w:tc>
          <w:tcPr>
            <w:tcW w:w="1080" w:type="dxa"/>
          </w:tcPr>
          <w:p>
            <w:pPr>
              <w:spacing w:line="360" w:lineRule="auto"/>
              <w:jc w:val="center"/>
              <w:rPr>
                <w:rFonts w:hint="eastAsia" w:ascii="宋体" w:hAnsi="宋体" w:cs="宋体"/>
                <w:sz w:val="24"/>
              </w:rPr>
            </w:pPr>
            <w:r>
              <w:rPr>
                <w:rFonts w:hint="eastAsia" w:ascii="宋体" w:hAnsi="宋体" w:cs="宋体"/>
                <w:sz w:val="24"/>
              </w:rPr>
              <w:t>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信息传输、软件和信息技术服务业</w:t>
            </w:r>
          </w:p>
        </w:tc>
        <w:tc>
          <w:tcPr>
            <w:tcW w:w="1080" w:type="dxa"/>
            <w:shd w:val="clear" w:color="auto" w:fill="9999FF"/>
            <w:vAlign w:val="center"/>
          </w:tcPr>
          <w:p>
            <w:pPr>
              <w:jc w:val="center"/>
              <w:rPr>
                <w:rFonts w:hint="eastAsia" w:ascii="宋体" w:hAnsi="宋体" w:eastAsia="宋体" w:cs="宋体"/>
                <w:sz w:val="24"/>
              </w:rPr>
            </w:pPr>
            <w:r>
              <w:rPr>
                <w:rFonts w:hint="eastAsia" w:ascii="宋体" w:hAnsi="宋体" w:eastAsia="宋体" w:cs="宋体"/>
                <w:sz w:val="24"/>
              </w:rPr>
              <w:t>8.35</w:t>
            </w:r>
          </w:p>
        </w:tc>
        <w:tc>
          <w:tcPr>
            <w:tcW w:w="1080" w:type="dxa"/>
            <w:shd w:val="clear" w:color="auto" w:fill="9999FF"/>
            <w:vAlign w:val="center"/>
          </w:tcPr>
          <w:p>
            <w:pPr>
              <w:jc w:val="center"/>
              <w:rPr>
                <w:rFonts w:hint="eastAsia" w:ascii="宋体" w:hAnsi="宋体" w:eastAsia="宋体" w:cs="宋体"/>
                <w:sz w:val="24"/>
              </w:rPr>
            </w:pPr>
            <w:r>
              <w:rPr>
                <w:rFonts w:hint="eastAsia" w:ascii="宋体" w:hAnsi="宋体" w:eastAsia="宋体" w:cs="宋体"/>
                <w:sz w:val="24"/>
              </w:rPr>
              <w:t>9.23</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10</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9.64</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教育行业</w:t>
            </w:r>
          </w:p>
        </w:tc>
        <w:tc>
          <w:tcPr>
            <w:tcW w:w="1080" w:type="dxa"/>
            <w:shd w:val="clear" w:color="auto" w:fill="9999FF"/>
            <w:vAlign w:val="center"/>
          </w:tcPr>
          <w:p>
            <w:pPr>
              <w:jc w:val="center"/>
              <w:rPr>
                <w:rFonts w:hint="eastAsia" w:ascii="宋体" w:hAnsi="宋体" w:eastAsia="宋体" w:cs="宋体"/>
                <w:sz w:val="24"/>
              </w:rPr>
            </w:pPr>
            <w:r>
              <w:rPr>
                <w:rFonts w:hint="eastAsia" w:ascii="宋体" w:hAnsi="宋体" w:eastAsia="宋体" w:cs="宋体"/>
                <w:sz w:val="24"/>
              </w:rPr>
              <w:t>8.35</w:t>
            </w:r>
          </w:p>
        </w:tc>
        <w:tc>
          <w:tcPr>
            <w:tcW w:w="1080" w:type="dxa"/>
            <w:shd w:val="clear" w:color="auto" w:fill="9999FF"/>
            <w:vAlign w:val="center"/>
          </w:tcPr>
          <w:p>
            <w:pPr>
              <w:jc w:val="center"/>
              <w:rPr>
                <w:rFonts w:hint="eastAsia" w:ascii="宋体" w:hAnsi="宋体" w:eastAsia="宋体" w:cs="宋体"/>
                <w:sz w:val="24"/>
              </w:rPr>
            </w:pPr>
            <w:r>
              <w:rPr>
                <w:rFonts w:hint="eastAsia" w:ascii="宋体" w:hAnsi="宋体" w:eastAsia="宋体" w:cs="宋体"/>
                <w:sz w:val="24"/>
              </w:rPr>
              <w:t>9.37</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9.02</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9.70</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居民服务、修理和其他服务业</w:t>
            </w:r>
          </w:p>
        </w:tc>
        <w:tc>
          <w:tcPr>
            <w:tcW w:w="1080" w:type="dxa"/>
            <w:shd w:val="clear" w:color="auto" w:fill="9999FF"/>
            <w:vAlign w:val="center"/>
          </w:tcPr>
          <w:p>
            <w:pPr>
              <w:jc w:val="center"/>
              <w:rPr>
                <w:rFonts w:hint="eastAsia" w:ascii="宋体" w:hAnsi="宋体" w:eastAsia="宋体" w:cs="宋体"/>
                <w:sz w:val="24"/>
              </w:rPr>
            </w:pPr>
            <w:r>
              <w:rPr>
                <w:rFonts w:hint="eastAsia" w:ascii="宋体" w:hAnsi="宋体" w:eastAsia="宋体" w:cs="宋体"/>
                <w:sz w:val="24"/>
              </w:rPr>
              <w:t>7.75</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6.81</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8</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8.38</w:t>
            </w:r>
          </w:p>
        </w:tc>
        <w:tc>
          <w:tcPr>
            <w:tcW w:w="1080" w:type="dxa"/>
            <w:shd w:val="clear" w:color="auto" w:fill="FFFFFF" w:themeFill="background1"/>
            <w:vAlign w:val="center"/>
          </w:tcPr>
          <w:p>
            <w:pPr>
              <w:jc w:val="center"/>
              <w:rPr>
                <w:rFonts w:hint="eastAsia" w:ascii="宋体" w:hAnsi="宋体" w:cs="宋体"/>
                <w:color w:val="FFFFFF" w:themeColor="background1"/>
                <w:sz w:val="24"/>
                <w14:textFill>
                  <w14:solidFill>
                    <w14:schemeClr w14:val="bg1"/>
                  </w14:solidFill>
                </w14:textFill>
              </w:rPr>
            </w:pPr>
            <w:r>
              <w:rPr>
                <w:rFonts w:hint="eastAsia" w:ascii="宋体" w:hAnsi="宋体" w:cs="宋体"/>
                <w:color w:val="FFFFFF" w:themeColor="background1"/>
                <w:sz w:val="24"/>
                <w14:textFill>
                  <w14:solidFill>
                    <w14:schemeClr w14:val="bg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租赁和商务服务业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7.66</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5.96</w:t>
            </w:r>
          </w:p>
        </w:tc>
        <w:tc>
          <w:tcPr>
            <w:tcW w:w="1080" w:type="dxa"/>
            <w:vAlign w:val="center"/>
          </w:tcPr>
          <w:p>
            <w:pPr>
              <w:jc w:val="center"/>
              <w:rPr>
                <w:rFonts w:hint="eastAsia" w:ascii="宋体" w:hAnsi="宋体" w:cs="宋体"/>
                <w:sz w:val="24"/>
              </w:rPr>
            </w:pPr>
            <w:r>
              <w:rPr>
                <w:rFonts w:hint="eastAsia" w:ascii="宋体" w:hAnsi="宋体" w:cs="宋体"/>
                <w:sz w:val="24"/>
              </w:rPr>
              <w:t>7.32</w:t>
            </w:r>
          </w:p>
        </w:tc>
        <w:tc>
          <w:tcPr>
            <w:tcW w:w="1080" w:type="dxa"/>
            <w:vAlign w:val="center"/>
          </w:tcPr>
          <w:p>
            <w:pPr>
              <w:jc w:val="center"/>
              <w:rPr>
                <w:rFonts w:hint="eastAsia" w:ascii="宋体" w:hAnsi="宋体" w:cs="宋体"/>
                <w:sz w:val="24"/>
              </w:rPr>
            </w:pPr>
            <w:r>
              <w:rPr>
                <w:rFonts w:hint="eastAsia" w:ascii="宋体" w:hAnsi="宋体" w:cs="宋体"/>
                <w:sz w:val="24"/>
              </w:rPr>
              <w:t>9.07</w:t>
            </w:r>
          </w:p>
        </w:tc>
        <w:tc>
          <w:tcPr>
            <w:tcW w:w="1080" w:type="dxa"/>
            <w:shd w:val="clear" w:color="auto" w:fill="00B0F0"/>
            <w:vAlign w:val="center"/>
          </w:tcPr>
          <w:p>
            <w:pPr>
              <w:jc w:val="center"/>
              <w:rPr>
                <w:rFonts w:hint="eastAsia" w:ascii="宋体" w:hAnsi="宋体" w:cs="宋体"/>
                <w:sz w:val="24"/>
              </w:rPr>
            </w:pPr>
            <w:r>
              <w:rPr>
                <w:rFonts w:hint="eastAsia" w:ascii="宋体" w:hAnsi="宋体" w:cs="宋体"/>
                <w:sz w:val="24"/>
              </w:rPr>
              <w:t>11.72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金融业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7.01</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6.03</w:t>
            </w:r>
          </w:p>
        </w:tc>
        <w:tc>
          <w:tcPr>
            <w:tcW w:w="1080" w:type="dxa"/>
            <w:vAlign w:val="center"/>
          </w:tcPr>
          <w:p>
            <w:pPr>
              <w:jc w:val="center"/>
              <w:rPr>
                <w:rFonts w:hint="eastAsia" w:ascii="宋体" w:hAnsi="宋体" w:cs="宋体"/>
                <w:sz w:val="24"/>
              </w:rPr>
            </w:pPr>
            <w:r>
              <w:rPr>
                <w:rFonts w:hint="eastAsia" w:ascii="宋体" w:hAnsi="宋体" w:cs="宋体"/>
                <w:sz w:val="24"/>
              </w:rPr>
              <w:t>4.26</w:t>
            </w:r>
          </w:p>
        </w:tc>
        <w:tc>
          <w:tcPr>
            <w:tcW w:w="1080" w:type="dxa"/>
            <w:vAlign w:val="center"/>
          </w:tcPr>
          <w:p>
            <w:pPr>
              <w:jc w:val="center"/>
              <w:rPr>
                <w:rFonts w:hint="eastAsia" w:ascii="宋体" w:hAnsi="宋体" w:cs="宋体"/>
                <w:sz w:val="24"/>
              </w:rPr>
            </w:pPr>
            <w:r>
              <w:rPr>
                <w:rFonts w:hint="eastAsia" w:ascii="宋体" w:hAnsi="宋体" w:cs="宋体"/>
                <w:sz w:val="24"/>
              </w:rPr>
              <w:t>4.47</w:t>
            </w:r>
          </w:p>
        </w:tc>
        <w:tc>
          <w:tcPr>
            <w:tcW w:w="1080" w:type="dxa"/>
            <w:vAlign w:val="center"/>
          </w:tcPr>
          <w:p>
            <w:pPr>
              <w:jc w:val="center"/>
              <w:rPr>
                <w:rFonts w:hint="eastAsia" w:ascii="宋体" w:hAnsi="宋体" w:cs="宋体"/>
                <w:sz w:val="24"/>
              </w:rPr>
            </w:pPr>
            <w:r>
              <w:rPr>
                <w:rFonts w:hint="eastAsia" w:ascii="宋体" w:hAnsi="宋体" w:cs="宋体"/>
                <w:sz w:val="24"/>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建筑业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6.28</w:t>
            </w:r>
          </w:p>
        </w:tc>
        <w:tc>
          <w:tcPr>
            <w:tcW w:w="1080" w:type="dxa"/>
            <w:shd w:val="clear" w:color="auto" w:fill="9999FF"/>
            <w:vAlign w:val="center"/>
          </w:tcPr>
          <w:p>
            <w:pPr>
              <w:jc w:val="center"/>
              <w:rPr>
                <w:rFonts w:hint="eastAsia" w:ascii="宋体" w:hAnsi="宋体" w:eastAsia="宋体" w:cs="宋体"/>
                <w:sz w:val="24"/>
              </w:rPr>
            </w:pPr>
            <w:r>
              <w:rPr>
                <w:rFonts w:hint="eastAsia" w:ascii="宋体" w:hAnsi="宋体" w:eastAsia="宋体" w:cs="宋体"/>
                <w:sz w:val="24"/>
              </w:rPr>
              <w:t>7.67</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10.4</w:t>
            </w:r>
          </w:p>
        </w:tc>
        <w:tc>
          <w:tcPr>
            <w:tcW w:w="1080" w:type="dxa"/>
            <w:shd w:val="clear" w:color="auto" w:fill="9999FF"/>
            <w:vAlign w:val="center"/>
          </w:tcPr>
          <w:p>
            <w:pPr>
              <w:jc w:val="center"/>
              <w:rPr>
                <w:rFonts w:hint="eastAsia" w:ascii="宋体" w:hAnsi="宋体" w:cs="宋体"/>
                <w:sz w:val="24"/>
              </w:rPr>
            </w:pPr>
            <w:r>
              <w:rPr>
                <w:rFonts w:hint="eastAsia" w:ascii="宋体" w:hAnsi="宋体" w:cs="宋体"/>
                <w:sz w:val="24"/>
              </w:rPr>
              <w:t>10.84</w:t>
            </w:r>
          </w:p>
        </w:tc>
        <w:tc>
          <w:tcPr>
            <w:tcW w:w="1080" w:type="dxa"/>
            <w:shd w:val="clear" w:color="auto" w:fill="00B0F0"/>
            <w:vAlign w:val="center"/>
          </w:tcPr>
          <w:p>
            <w:pPr>
              <w:jc w:val="center"/>
              <w:rPr>
                <w:rFonts w:hint="eastAsia" w:ascii="宋体" w:hAnsi="宋体" w:cs="宋体"/>
                <w:sz w:val="24"/>
              </w:rPr>
            </w:pPr>
            <w:r>
              <w:rPr>
                <w:rFonts w:hint="eastAsia" w:ascii="宋体" w:hAnsi="宋体" w:cs="宋体"/>
                <w:sz w:val="24"/>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公共管理、社会保障和社会组织</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5.68</w:t>
            </w:r>
          </w:p>
        </w:tc>
        <w:tc>
          <w:tcPr>
            <w:tcW w:w="1080" w:type="dxa"/>
            <w:shd w:val="clear" w:color="auto" w:fill="9999FF"/>
            <w:vAlign w:val="center"/>
          </w:tcPr>
          <w:p>
            <w:pPr>
              <w:jc w:val="center"/>
              <w:rPr>
                <w:rFonts w:hint="eastAsia" w:ascii="宋体" w:hAnsi="宋体" w:eastAsia="宋体" w:cs="宋体"/>
                <w:sz w:val="24"/>
              </w:rPr>
            </w:pPr>
            <w:r>
              <w:rPr>
                <w:rFonts w:hint="eastAsia" w:ascii="宋体" w:hAnsi="宋体" w:eastAsia="宋体" w:cs="宋体"/>
                <w:sz w:val="24"/>
              </w:rPr>
              <w:t>7.45</w:t>
            </w:r>
          </w:p>
        </w:tc>
        <w:tc>
          <w:tcPr>
            <w:tcW w:w="1080" w:type="dxa"/>
            <w:vAlign w:val="center"/>
          </w:tcPr>
          <w:p>
            <w:pPr>
              <w:jc w:val="center"/>
              <w:rPr>
                <w:rFonts w:hint="eastAsia" w:ascii="宋体" w:hAnsi="宋体" w:cs="宋体"/>
                <w:sz w:val="24"/>
              </w:rPr>
            </w:pPr>
            <w:r>
              <w:rPr>
                <w:rFonts w:hint="eastAsia" w:ascii="宋体" w:hAnsi="宋体" w:cs="宋体"/>
                <w:sz w:val="24"/>
              </w:rPr>
              <w:t>6.26</w:t>
            </w:r>
          </w:p>
        </w:tc>
        <w:tc>
          <w:tcPr>
            <w:tcW w:w="1080" w:type="dxa"/>
            <w:vAlign w:val="center"/>
          </w:tcPr>
          <w:p>
            <w:pPr>
              <w:jc w:val="center"/>
              <w:rPr>
                <w:rFonts w:hint="eastAsia" w:ascii="宋体" w:hAnsi="宋体" w:cs="宋体"/>
                <w:sz w:val="24"/>
              </w:rPr>
            </w:pPr>
            <w:r>
              <w:rPr>
                <w:rFonts w:hint="eastAsia" w:ascii="宋体" w:hAnsi="宋体" w:cs="宋体"/>
                <w:sz w:val="24"/>
              </w:rPr>
              <w:t>6.26</w:t>
            </w:r>
          </w:p>
        </w:tc>
        <w:tc>
          <w:tcPr>
            <w:tcW w:w="1080" w:type="dxa"/>
            <w:vAlign w:val="center"/>
          </w:tcPr>
          <w:p>
            <w:pPr>
              <w:jc w:val="center"/>
              <w:rPr>
                <w:rFonts w:hint="eastAsia" w:ascii="宋体" w:hAnsi="宋体" w:cs="宋体"/>
                <w:sz w:val="24"/>
              </w:rPr>
            </w:pPr>
            <w:r>
              <w:rPr>
                <w:rFonts w:hint="eastAsia" w:ascii="宋体" w:hAnsi="宋体" w:cs="宋体"/>
                <w:sz w:val="24"/>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制造业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4.3</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3.41</w:t>
            </w:r>
          </w:p>
        </w:tc>
        <w:tc>
          <w:tcPr>
            <w:tcW w:w="1080" w:type="dxa"/>
            <w:vAlign w:val="center"/>
          </w:tcPr>
          <w:p>
            <w:pPr>
              <w:jc w:val="center"/>
              <w:rPr>
                <w:rFonts w:hint="eastAsia" w:ascii="宋体" w:hAnsi="宋体" w:cs="宋体"/>
                <w:sz w:val="24"/>
              </w:rPr>
            </w:pPr>
            <w:r>
              <w:rPr>
                <w:rFonts w:hint="eastAsia" w:ascii="宋体" w:hAnsi="宋体" w:cs="宋体"/>
                <w:sz w:val="24"/>
              </w:rPr>
              <w:t>4.4</w:t>
            </w:r>
          </w:p>
        </w:tc>
        <w:tc>
          <w:tcPr>
            <w:tcW w:w="1080" w:type="dxa"/>
            <w:vAlign w:val="center"/>
          </w:tcPr>
          <w:p>
            <w:pPr>
              <w:jc w:val="center"/>
              <w:rPr>
                <w:rFonts w:hint="eastAsia" w:ascii="宋体" w:hAnsi="宋体" w:cs="宋体"/>
                <w:sz w:val="24"/>
              </w:rPr>
            </w:pPr>
            <w:r>
              <w:rPr>
                <w:rFonts w:hint="eastAsia" w:ascii="宋体" w:hAnsi="宋体" w:cs="宋体"/>
                <w:sz w:val="24"/>
              </w:rPr>
              <w:t>5.99</w:t>
            </w:r>
          </w:p>
        </w:tc>
        <w:tc>
          <w:tcPr>
            <w:tcW w:w="1080" w:type="dxa"/>
            <w:vAlign w:val="center"/>
          </w:tcPr>
          <w:p>
            <w:pPr>
              <w:jc w:val="center"/>
              <w:rPr>
                <w:rFonts w:hint="eastAsia" w:ascii="宋体" w:hAnsi="宋体" w:cs="宋体"/>
                <w:sz w:val="24"/>
              </w:rPr>
            </w:pPr>
            <w:r>
              <w:rPr>
                <w:rFonts w:hint="eastAsia" w:ascii="宋体" w:hAnsi="宋体" w:cs="宋体"/>
                <w:sz w:val="24"/>
              </w:rPr>
              <w:t>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交通运输、仓储和邮政业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3.53</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3.9</w:t>
            </w:r>
          </w:p>
        </w:tc>
        <w:tc>
          <w:tcPr>
            <w:tcW w:w="1080" w:type="dxa"/>
            <w:vAlign w:val="center"/>
          </w:tcPr>
          <w:p>
            <w:pPr>
              <w:jc w:val="center"/>
              <w:rPr>
                <w:rFonts w:hint="eastAsia" w:ascii="宋体" w:hAnsi="宋体" w:cs="宋体"/>
                <w:sz w:val="24"/>
              </w:rPr>
            </w:pPr>
            <w:r>
              <w:rPr>
                <w:rFonts w:hint="eastAsia" w:ascii="宋体" w:hAnsi="宋体" w:cs="宋体"/>
                <w:sz w:val="24"/>
              </w:rPr>
              <w:t>3.26</w:t>
            </w:r>
          </w:p>
        </w:tc>
        <w:tc>
          <w:tcPr>
            <w:tcW w:w="1080" w:type="dxa"/>
            <w:vAlign w:val="center"/>
          </w:tcPr>
          <w:p>
            <w:pPr>
              <w:jc w:val="center"/>
              <w:rPr>
                <w:rFonts w:hint="eastAsia" w:ascii="宋体" w:hAnsi="宋体" w:cs="宋体"/>
                <w:sz w:val="24"/>
              </w:rPr>
            </w:pPr>
            <w:r>
              <w:rPr>
                <w:rFonts w:hint="eastAsia" w:ascii="宋体" w:hAnsi="宋体" w:cs="宋体"/>
                <w:sz w:val="24"/>
              </w:rPr>
              <w:t>4.10</w:t>
            </w:r>
          </w:p>
        </w:tc>
        <w:tc>
          <w:tcPr>
            <w:tcW w:w="1080" w:type="dxa"/>
            <w:vAlign w:val="center"/>
          </w:tcPr>
          <w:p>
            <w:pPr>
              <w:jc w:val="center"/>
              <w:rPr>
                <w:rFonts w:hint="eastAsia" w:ascii="宋体" w:hAnsi="宋体" w:cs="宋体"/>
                <w:sz w:val="24"/>
              </w:rPr>
            </w:pPr>
            <w:r>
              <w:rPr>
                <w:rFonts w:hint="eastAsia" w:ascii="宋体" w:hAnsi="宋体" w:cs="宋体"/>
                <w:sz w:val="24"/>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农、林、牧、渔业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3.44</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2.77</w:t>
            </w:r>
          </w:p>
        </w:tc>
        <w:tc>
          <w:tcPr>
            <w:tcW w:w="1080" w:type="dxa"/>
            <w:vAlign w:val="center"/>
          </w:tcPr>
          <w:p>
            <w:pPr>
              <w:jc w:val="center"/>
              <w:rPr>
                <w:rFonts w:hint="eastAsia" w:ascii="宋体" w:hAnsi="宋体" w:cs="宋体"/>
                <w:sz w:val="24"/>
              </w:rPr>
            </w:pPr>
            <w:r>
              <w:rPr>
                <w:rFonts w:hint="eastAsia" w:ascii="宋体" w:hAnsi="宋体" w:cs="宋体"/>
                <w:sz w:val="24"/>
              </w:rPr>
              <w:t>3.33</w:t>
            </w:r>
          </w:p>
        </w:tc>
        <w:tc>
          <w:tcPr>
            <w:tcW w:w="1080" w:type="dxa"/>
            <w:vAlign w:val="center"/>
          </w:tcPr>
          <w:p>
            <w:pPr>
              <w:jc w:val="center"/>
              <w:rPr>
                <w:rFonts w:hint="eastAsia" w:ascii="宋体" w:hAnsi="宋体" w:cs="宋体"/>
                <w:sz w:val="24"/>
              </w:rPr>
            </w:pPr>
            <w:r>
              <w:rPr>
                <w:rFonts w:hint="eastAsia" w:ascii="宋体" w:hAnsi="宋体" w:cs="宋体"/>
                <w:sz w:val="24"/>
              </w:rPr>
              <w:t>3.02</w:t>
            </w:r>
          </w:p>
        </w:tc>
        <w:tc>
          <w:tcPr>
            <w:tcW w:w="1080" w:type="dxa"/>
            <w:vAlign w:val="center"/>
          </w:tcPr>
          <w:p>
            <w:pPr>
              <w:jc w:val="center"/>
              <w:rPr>
                <w:rFonts w:hint="eastAsia" w:ascii="宋体" w:hAnsi="宋体" w:cs="宋体"/>
                <w:sz w:val="24"/>
              </w:rPr>
            </w:pPr>
            <w:r>
              <w:rPr>
                <w:rFonts w:hint="eastAsia" w:ascii="宋体" w:hAnsi="宋体" w:cs="宋体"/>
                <w:sz w:val="24"/>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电力、热力、燃气及水生产和供应</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3.36</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4.76</w:t>
            </w:r>
          </w:p>
        </w:tc>
        <w:tc>
          <w:tcPr>
            <w:tcW w:w="1080" w:type="dxa"/>
            <w:vAlign w:val="center"/>
          </w:tcPr>
          <w:p>
            <w:pPr>
              <w:jc w:val="center"/>
              <w:rPr>
                <w:rFonts w:hint="eastAsia" w:ascii="宋体" w:hAnsi="宋体" w:cs="宋体"/>
                <w:sz w:val="24"/>
              </w:rPr>
            </w:pPr>
            <w:r>
              <w:rPr>
                <w:rFonts w:hint="eastAsia" w:ascii="宋体" w:hAnsi="宋体" w:cs="宋体"/>
                <w:sz w:val="24"/>
              </w:rPr>
              <w:t>4.6</w:t>
            </w:r>
          </w:p>
        </w:tc>
        <w:tc>
          <w:tcPr>
            <w:tcW w:w="1080" w:type="dxa"/>
            <w:vAlign w:val="center"/>
          </w:tcPr>
          <w:p>
            <w:pPr>
              <w:jc w:val="center"/>
              <w:rPr>
                <w:rFonts w:hint="eastAsia" w:ascii="宋体" w:hAnsi="宋体" w:cs="宋体"/>
                <w:sz w:val="24"/>
              </w:rPr>
            </w:pPr>
            <w:r>
              <w:rPr>
                <w:rFonts w:hint="eastAsia" w:ascii="宋体" w:hAnsi="宋体" w:cs="宋体"/>
                <w:sz w:val="24"/>
              </w:rPr>
              <w:t>3.90</w:t>
            </w:r>
          </w:p>
        </w:tc>
        <w:tc>
          <w:tcPr>
            <w:tcW w:w="1080" w:type="dxa"/>
            <w:vAlign w:val="center"/>
          </w:tcPr>
          <w:p>
            <w:pPr>
              <w:jc w:val="center"/>
              <w:rPr>
                <w:rFonts w:hint="eastAsia" w:ascii="宋体" w:hAnsi="宋体" w:cs="宋体"/>
                <w:sz w:val="24"/>
              </w:rPr>
            </w:pPr>
            <w:r>
              <w:rPr>
                <w:rFonts w:hint="eastAsia" w:ascii="宋体" w:hAnsi="宋体" w:cs="宋体"/>
                <w:sz w:val="24"/>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房地产业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3.27</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2.7</w:t>
            </w:r>
          </w:p>
        </w:tc>
        <w:tc>
          <w:tcPr>
            <w:tcW w:w="1080" w:type="dxa"/>
            <w:vAlign w:val="center"/>
          </w:tcPr>
          <w:p>
            <w:pPr>
              <w:jc w:val="center"/>
              <w:rPr>
                <w:rFonts w:hint="eastAsia" w:ascii="宋体" w:hAnsi="宋体" w:cs="宋体"/>
                <w:sz w:val="24"/>
              </w:rPr>
            </w:pPr>
            <w:r>
              <w:rPr>
                <w:rFonts w:hint="eastAsia" w:ascii="宋体" w:hAnsi="宋体" w:cs="宋体"/>
                <w:sz w:val="24"/>
              </w:rPr>
              <w:t>2.33</w:t>
            </w:r>
          </w:p>
        </w:tc>
        <w:tc>
          <w:tcPr>
            <w:tcW w:w="1080" w:type="dxa"/>
            <w:vAlign w:val="center"/>
          </w:tcPr>
          <w:p>
            <w:pPr>
              <w:jc w:val="center"/>
              <w:rPr>
                <w:rFonts w:hint="eastAsia" w:ascii="宋体" w:hAnsi="宋体" w:cs="宋体"/>
                <w:sz w:val="24"/>
              </w:rPr>
            </w:pPr>
            <w:r>
              <w:rPr>
                <w:rFonts w:hint="eastAsia" w:ascii="宋体" w:hAnsi="宋体" w:cs="宋体"/>
                <w:sz w:val="24"/>
              </w:rPr>
              <w:t>2.46</w:t>
            </w:r>
          </w:p>
        </w:tc>
        <w:tc>
          <w:tcPr>
            <w:tcW w:w="1080" w:type="dxa"/>
            <w:vAlign w:val="center"/>
          </w:tcPr>
          <w:p>
            <w:pPr>
              <w:jc w:val="center"/>
              <w:rPr>
                <w:rFonts w:hint="eastAsia" w:ascii="宋体" w:hAnsi="宋体" w:cs="宋体"/>
                <w:sz w:val="24"/>
              </w:rPr>
            </w:pPr>
            <w:r>
              <w:rPr>
                <w:rFonts w:hint="eastAsia" w:ascii="宋体" w:hAnsi="宋体" w:cs="宋体"/>
                <w:sz w:val="24"/>
              </w:rPr>
              <w:t>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采矿业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2.93</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1.92</w:t>
            </w:r>
          </w:p>
        </w:tc>
        <w:tc>
          <w:tcPr>
            <w:tcW w:w="1080" w:type="dxa"/>
            <w:vAlign w:val="center"/>
          </w:tcPr>
          <w:p>
            <w:pPr>
              <w:jc w:val="center"/>
              <w:rPr>
                <w:rFonts w:hint="eastAsia" w:ascii="宋体" w:hAnsi="宋体" w:cs="宋体"/>
                <w:sz w:val="24"/>
              </w:rPr>
            </w:pPr>
            <w:r>
              <w:rPr>
                <w:rFonts w:hint="eastAsia" w:ascii="宋体" w:hAnsi="宋体" w:cs="宋体"/>
                <w:sz w:val="24"/>
              </w:rPr>
              <w:t>2.07</w:t>
            </w:r>
          </w:p>
        </w:tc>
        <w:tc>
          <w:tcPr>
            <w:tcW w:w="1080" w:type="dxa"/>
            <w:vAlign w:val="center"/>
          </w:tcPr>
          <w:p>
            <w:pPr>
              <w:jc w:val="center"/>
              <w:rPr>
                <w:rFonts w:hint="eastAsia" w:ascii="宋体" w:hAnsi="宋体" w:cs="宋体"/>
                <w:sz w:val="24"/>
              </w:rPr>
            </w:pPr>
            <w:r>
              <w:rPr>
                <w:rFonts w:hint="eastAsia" w:ascii="宋体" w:hAnsi="宋体" w:cs="宋体"/>
                <w:sz w:val="24"/>
              </w:rPr>
              <w:t>2.14</w:t>
            </w:r>
          </w:p>
        </w:tc>
        <w:tc>
          <w:tcPr>
            <w:tcW w:w="1080" w:type="dxa"/>
            <w:vAlign w:val="center"/>
          </w:tcPr>
          <w:p>
            <w:pPr>
              <w:jc w:val="center"/>
              <w:rPr>
                <w:rFonts w:hint="eastAsia" w:ascii="宋体" w:hAnsi="宋体" w:cs="宋体"/>
                <w:sz w:val="24"/>
              </w:rPr>
            </w:pPr>
            <w:r>
              <w:rPr>
                <w:rFonts w:hint="eastAsia" w:ascii="宋体" w:hAnsi="宋体" w:cs="宋体"/>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水利、环境和公共设施管理业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2.5</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2.48</w:t>
            </w:r>
          </w:p>
        </w:tc>
        <w:tc>
          <w:tcPr>
            <w:tcW w:w="1080" w:type="dxa"/>
            <w:vAlign w:val="center"/>
          </w:tcPr>
          <w:p>
            <w:pPr>
              <w:jc w:val="center"/>
              <w:rPr>
                <w:rFonts w:hint="eastAsia" w:ascii="宋体" w:hAnsi="宋体" w:cs="宋体"/>
                <w:sz w:val="24"/>
              </w:rPr>
            </w:pPr>
            <w:r>
              <w:rPr>
                <w:rFonts w:hint="eastAsia" w:ascii="宋体" w:hAnsi="宋体" w:cs="宋体"/>
                <w:sz w:val="24"/>
              </w:rPr>
              <w:t>1.6</w:t>
            </w:r>
          </w:p>
        </w:tc>
        <w:tc>
          <w:tcPr>
            <w:tcW w:w="1080" w:type="dxa"/>
            <w:vAlign w:val="center"/>
          </w:tcPr>
          <w:p>
            <w:pPr>
              <w:jc w:val="center"/>
              <w:rPr>
                <w:rFonts w:hint="eastAsia" w:ascii="宋体" w:hAnsi="宋体" w:cs="宋体"/>
                <w:sz w:val="24"/>
              </w:rPr>
            </w:pPr>
            <w:r>
              <w:rPr>
                <w:rFonts w:hint="eastAsia" w:ascii="宋体" w:hAnsi="宋体" w:cs="宋体"/>
                <w:sz w:val="24"/>
              </w:rPr>
              <w:t>1.76</w:t>
            </w:r>
          </w:p>
        </w:tc>
        <w:tc>
          <w:tcPr>
            <w:tcW w:w="1080" w:type="dxa"/>
            <w:vAlign w:val="center"/>
          </w:tcPr>
          <w:p>
            <w:pPr>
              <w:jc w:val="center"/>
              <w:rPr>
                <w:rFonts w:hint="eastAsia" w:ascii="宋体" w:hAnsi="宋体" w:cs="宋体"/>
                <w:sz w:val="24"/>
              </w:rPr>
            </w:pPr>
            <w:r>
              <w:rPr>
                <w:rFonts w:hint="eastAsia" w:ascii="宋体" w:hAnsi="宋体" w:cs="宋体"/>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科学研究和技术服务业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2.41</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2.2</w:t>
            </w:r>
          </w:p>
        </w:tc>
        <w:tc>
          <w:tcPr>
            <w:tcW w:w="1080" w:type="dxa"/>
            <w:vAlign w:val="center"/>
          </w:tcPr>
          <w:p>
            <w:pPr>
              <w:jc w:val="center"/>
              <w:rPr>
                <w:rFonts w:hint="eastAsia" w:ascii="宋体" w:hAnsi="宋体" w:cs="宋体"/>
                <w:sz w:val="24"/>
              </w:rPr>
            </w:pPr>
            <w:r>
              <w:rPr>
                <w:rFonts w:hint="eastAsia" w:ascii="宋体" w:hAnsi="宋体" w:cs="宋体"/>
                <w:sz w:val="24"/>
              </w:rPr>
              <w:t>1.47</w:t>
            </w:r>
          </w:p>
        </w:tc>
        <w:tc>
          <w:tcPr>
            <w:tcW w:w="1080" w:type="dxa"/>
            <w:vAlign w:val="center"/>
          </w:tcPr>
          <w:p>
            <w:pPr>
              <w:jc w:val="center"/>
              <w:rPr>
                <w:rFonts w:hint="eastAsia" w:ascii="宋体" w:hAnsi="宋体" w:cs="宋体"/>
                <w:sz w:val="24"/>
              </w:rPr>
            </w:pPr>
            <w:r>
              <w:rPr>
                <w:rFonts w:hint="eastAsia" w:ascii="宋体" w:hAnsi="宋体" w:cs="宋体"/>
                <w:sz w:val="24"/>
              </w:rPr>
              <w:t>2.58</w:t>
            </w:r>
          </w:p>
        </w:tc>
        <w:tc>
          <w:tcPr>
            <w:tcW w:w="1080" w:type="dxa"/>
            <w:vAlign w:val="center"/>
          </w:tcPr>
          <w:p>
            <w:pPr>
              <w:jc w:val="center"/>
              <w:rPr>
                <w:rFonts w:hint="eastAsia" w:ascii="宋体" w:hAnsi="宋体" w:cs="宋体"/>
                <w:sz w:val="24"/>
              </w:rPr>
            </w:pPr>
            <w:r>
              <w:rPr>
                <w:rFonts w:hint="eastAsia" w:ascii="宋体" w:hAnsi="宋体" w:cs="宋体"/>
                <w:sz w:val="24"/>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卫生和社会工作</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1.89</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1.49</w:t>
            </w:r>
          </w:p>
        </w:tc>
        <w:tc>
          <w:tcPr>
            <w:tcW w:w="1080" w:type="dxa"/>
            <w:vAlign w:val="center"/>
          </w:tcPr>
          <w:p>
            <w:pPr>
              <w:jc w:val="center"/>
              <w:rPr>
                <w:rFonts w:hint="eastAsia" w:ascii="宋体" w:hAnsi="宋体" w:cs="宋体"/>
                <w:sz w:val="24"/>
              </w:rPr>
            </w:pPr>
            <w:r>
              <w:rPr>
                <w:rFonts w:hint="eastAsia" w:ascii="宋体" w:hAnsi="宋体" w:cs="宋体"/>
                <w:sz w:val="24"/>
              </w:rPr>
              <w:t>2.2</w:t>
            </w:r>
          </w:p>
        </w:tc>
        <w:tc>
          <w:tcPr>
            <w:tcW w:w="1080" w:type="dxa"/>
            <w:vAlign w:val="center"/>
          </w:tcPr>
          <w:p>
            <w:pPr>
              <w:jc w:val="center"/>
              <w:rPr>
                <w:rFonts w:hint="eastAsia" w:ascii="宋体" w:hAnsi="宋体" w:cs="宋体"/>
                <w:sz w:val="24"/>
              </w:rPr>
            </w:pPr>
            <w:r>
              <w:rPr>
                <w:rFonts w:hint="eastAsia" w:ascii="宋体" w:hAnsi="宋体" w:cs="宋体"/>
                <w:sz w:val="24"/>
              </w:rPr>
              <w:t>2.14</w:t>
            </w:r>
          </w:p>
        </w:tc>
        <w:tc>
          <w:tcPr>
            <w:tcW w:w="1080" w:type="dxa"/>
            <w:vAlign w:val="center"/>
          </w:tcPr>
          <w:p>
            <w:pPr>
              <w:jc w:val="center"/>
              <w:rPr>
                <w:rFonts w:hint="eastAsia" w:ascii="宋体" w:hAnsi="宋体" w:cs="宋体"/>
                <w:sz w:val="24"/>
              </w:rPr>
            </w:pPr>
            <w:r>
              <w:rPr>
                <w:rFonts w:hint="eastAsia" w:ascii="宋体" w:hAnsi="宋体" w:cs="宋体"/>
                <w:sz w:val="24"/>
              </w:rPr>
              <w:t>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795" w:type="dxa"/>
            <w:vAlign w:val="center"/>
          </w:tcPr>
          <w:p>
            <w:pPr>
              <w:jc w:val="center"/>
              <w:rPr>
                <w:rFonts w:ascii="??_GB2312" w:eastAsia="Times New Roman"/>
                <w:sz w:val="24"/>
              </w:rPr>
            </w:pPr>
            <w:r>
              <w:rPr>
                <w:rFonts w:ascii="??_GB2312" w:hAnsi="宋体" w:eastAsia="Times New Roman"/>
                <w:sz w:val="24"/>
              </w:rPr>
              <w:t>住宿和餐饮业</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1.72</w:t>
            </w:r>
          </w:p>
        </w:tc>
        <w:tc>
          <w:tcPr>
            <w:tcW w:w="1080" w:type="dxa"/>
            <w:vAlign w:val="center"/>
          </w:tcPr>
          <w:p>
            <w:pPr>
              <w:jc w:val="center"/>
              <w:rPr>
                <w:rFonts w:hint="eastAsia" w:ascii="宋体" w:hAnsi="宋体" w:eastAsia="宋体" w:cs="宋体"/>
                <w:sz w:val="24"/>
              </w:rPr>
            </w:pPr>
            <w:r>
              <w:rPr>
                <w:rFonts w:hint="eastAsia" w:ascii="宋体" w:hAnsi="宋体" w:eastAsia="宋体" w:cs="宋体"/>
                <w:sz w:val="24"/>
              </w:rPr>
              <w:t>2.48</w:t>
            </w:r>
          </w:p>
        </w:tc>
        <w:tc>
          <w:tcPr>
            <w:tcW w:w="1080" w:type="dxa"/>
            <w:vAlign w:val="center"/>
          </w:tcPr>
          <w:p>
            <w:pPr>
              <w:jc w:val="center"/>
              <w:rPr>
                <w:rFonts w:hint="eastAsia" w:ascii="宋体" w:hAnsi="宋体" w:cs="宋体"/>
                <w:sz w:val="24"/>
              </w:rPr>
            </w:pPr>
            <w:r>
              <w:rPr>
                <w:rFonts w:hint="eastAsia" w:ascii="宋体" w:hAnsi="宋体" w:cs="宋体"/>
                <w:sz w:val="24"/>
              </w:rPr>
              <w:t>2.53</w:t>
            </w:r>
          </w:p>
        </w:tc>
        <w:tc>
          <w:tcPr>
            <w:tcW w:w="1080" w:type="dxa"/>
            <w:vAlign w:val="center"/>
          </w:tcPr>
          <w:p>
            <w:pPr>
              <w:jc w:val="center"/>
              <w:rPr>
                <w:rFonts w:hint="eastAsia" w:ascii="宋体" w:hAnsi="宋体" w:cs="宋体"/>
                <w:sz w:val="24"/>
              </w:rPr>
            </w:pPr>
            <w:r>
              <w:rPr>
                <w:rFonts w:hint="eastAsia" w:ascii="宋体" w:hAnsi="宋体" w:cs="宋体"/>
                <w:sz w:val="24"/>
              </w:rPr>
              <w:t>2.39</w:t>
            </w:r>
          </w:p>
        </w:tc>
        <w:tc>
          <w:tcPr>
            <w:tcW w:w="1080" w:type="dxa"/>
            <w:vAlign w:val="center"/>
          </w:tcPr>
          <w:p>
            <w:pPr>
              <w:jc w:val="center"/>
              <w:rPr>
                <w:rFonts w:hint="eastAsia" w:ascii="宋体" w:hAnsi="宋体" w:cs="宋体"/>
                <w:sz w:val="24"/>
              </w:rPr>
            </w:pPr>
            <w:r>
              <w:rPr>
                <w:rFonts w:hint="eastAsia" w:ascii="宋体" w:hAnsi="宋体" w:cs="宋体"/>
                <w:sz w:val="24"/>
              </w:rPr>
              <w:t>2.18</w:t>
            </w:r>
          </w:p>
        </w:tc>
      </w:tr>
    </w:tbl>
    <w:p>
      <w:pPr>
        <w:rPr>
          <w:rFonts w:ascii="??_GB2312" w:eastAsia="Times New Roman"/>
          <w:szCs w:val="21"/>
        </w:rPr>
      </w:pPr>
      <w:r>
        <w:rPr>
          <w:rFonts w:ascii="??_GB2312" w:eastAsia="Times New Roman"/>
          <w:szCs w:val="21"/>
        </w:rPr>
        <w:t>注：标注出的数据为当年前五名行业分布占比</w:t>
      </w:r>
    </w:p>
    <w:p>
      <w:pPr>
        <w:rPr>
          <w:rFonts w:ascii="??_GB2312" w:eastAsia="Times New Roman"/>
          <w:sz w:val="24"/>
          <w:szCs w:val="24"/>
        </w:rPr>
      </w:pPr>
    </w:p>
    <w:p>
      <w:pPr>
        <w:numPr>
          <w:ilvl w:val="0"/>
          <w:numId w:val="13"/>
        </w:numPr>
        <w:tabs>
          <w:tab w:val="left" w:pos="540"/>
        </w:tabs>
        <w:rPr>
          <w:b/>
          <w:sz w:val="28"/>
          <w:szCs w:val="28"/>
        </w:rPr>
      </w:pPr>
      <w:r>
        <w:rPr>
          <w:rFonts w:hint="eastAsia"/>
          <w:b/>
          <w:sz w:val="28"/>
          <w:szCs w:val="28"/>
        </w:rPr>
        <w:t>就业地域变化趋势</w:t>
      </w:r>
    </w:p>
    <w:p>
      <w:pPr>
        <w:spacing w:line="360" w:lineRule="auto"/>
        <w:ind w:firstLine="480" w:firstLineChars="200"/>
        <w:rPr>
          <w:rFonts w:ascii="??_GB2312" w:eastAsia="Times New Roman"/>
          <w:bCs/>
          <w:sz w:val="24"/>
        </w:rPr>
      </w:pPr>
      <w:r>
        <w:rPr>
          <w:rFonts w:hint="eastAsia" w:ascii="宋体" w:hAnsi="宋体" w:eastAsia="宋体" w:cs="宋体"/>
          <w:bCs/>
          <w:sz w:val="24"/>
        </w:rPr>
        <w:t>近</w:t>
      </w:r>
      <w:r>
        <w:rPr>
          <w:rFonts w:hint="eastAsia" w:ascii="宋体" w:hAnsi="宋体" w:cs="宋体"/>
          <w:bCs/>
          <w:sz w:val="24"/>
        </w:rPr>
        <w:t>四</w:t>
      </w:r>
      <w:r>
        <w:rPr>
          <w:rFonts w:hint="eastAsia" w:ascii="宋体" w:hAnsi="宋体" w:eastAsia="宋体" w:cs="宋体"/>
          <w:bCs/>
          <w:sz w:val="24"/>
        </w:rPr>
        <w:t>年我院毕业生就业地域变化不大，就业区域分布仍然较为不均衡，绝大部分毕业生仍然留在内蒙古区内就业，并且就业地域前五名仍然是呼包鄂地区、巴彦淖尔市和乌兰察布市。具体的占比方面，乌兰察布市和巴彦淖尔市占比基本没有变化，鄂尔多斯市逐年减少，包头市</w:t>
      </w:r>
      <w:r>
        <w:rPr>
          <w:rFonts w:hint="eastAsia" w:ascii="宋体" w:hAnsi="宋体" w:cs="宋体"/>
          <w:bCs/>
          <w:sz w:val="24"/>
        </w:rPr>
        <w:t>较去年有所减少，</w:t>
      </w:r>
      <w:r>
        <w:rPr>
          <w:rFonts w:hint="eastAsia" w:ascii="宋体" w:hAnsi="宋体" w:eastAsia="宋体" w:cs="宋体"/>
          <w:bCs/>
          <w:sz w:val="24"/>
        </w:rPr>
        <w:t>在</w:t>
      </w:r>
      <w:r>
        <w:rPr>
          <w:rFonts w:hint="eastAsia" w:ascii="宋体" w:hAnsi="宋体" w:cs="宋体"/>
          <w:bCs/>
          <w:sz w:val="24"/>
        </w:rPr>
        <w:t>呼和浩特</w:t>
      </w:r>
      <w:r>
        <w:rPr>
          <w:rFonts w:hint="eastAsia" w:ascii="宋体" w:hAnsi="宋体" w:eastAsia="宋体" w:cs="宋体"/>
          <w:bCs/>
          <w:sz w:val="24"/>
        </w:rPr>
        <w:t>市和区外就业的毕业生逐年增加，值得注意的是呼包鄂地区占比已经从2016年的74.37%下降至68.93%，表明我院毕业生就业地域呈现出更加均衡的趋势。</w:t>
      </w:r>
    </w:p>
    <w:p>
      <w:pPr>
        <w:spacing w:line="360" w:lineRule="auto"/>
        <w:ind w:firstLine="482" w:firstLineChars="200"/>
        <w:jc w:val="center"/>
        <w:rPr>
          <w:rFonts w:hint="eastAsia" w:ascii="宋体" w:hAnsi="宋体" w:cs="宋体"/>
          <w:b/>
          <w:sz w:val="24"/>
        </w:rPr>
      </w:pPr>
    </w:p>
    <w:p>
      <w:pPr>
        <w:spacing w:line="360" w:lineRule="auto"/>
        <w:ind w:firstLine="482" w:firstLineChars="200"/>
        <w:jc w:val="center"/>
        <w:rPr>
          <w:rFonts w:hint="eastAsia" w:ascii="宋体" w:hAnsi="宋体" w:cs="宋体"/>
          <w:b/>
          <w:sz w:val="24"/>
        </w:rPr>
      </w:pPr>
    </w:p>
    <w:p>
      <w:pPr>
        <w:spacing w:line="360" w:lineRule="auto"/>
        <w:ind w:firstLine="482" w:firstLineChars="200"/>
        <w:jc w:val="center"/>
        <w:rPr>
          <w:rFonts w:hint="eastAsia" w:ascii="宋体" w:hAnsi="宋体" w:cs="宋体"/>
          <w:b/>
          <w:sz w:val="24"/>
        </w:rPr>
      </w:pPr>
    </w:p>
    <w:p>
      <w:pPr>
        <w:spacing w:line="360" w:lineRule="auto"/>
        <w:ind w:firstLine="482" w:firstLineChars="200"/>
        <w:jc w:val="center"/>
        <w:rPr>
          <w:rFonts w:ascii="??_GB2312" w:eastAsia="Times New Roman"/>
          <w:bCs/>
          <w:sz w:val="24"/>
        </w:rPr>
      </w:pPr>
      <w:r>
        <w:rPr>
          <w:rFonts w:hint="eastAsia" w:ascii="宋体" w:hAnsi="宋体" w:cs="宋体"/>
          <w:b/>
          <w:sz w:val="24"/>
        </w:rPr>
        <w:t>表4.7:近</w:t>
      </w:r>
      <w:r>
        <w:rPr>
          <w:rFonts w:hint="eastAsia" w:ascii="宋体" w:hAnsi="宋体" w:cs="宋体"/>
          <w:b/>
          <w:sz w:val="24"/>
          <w:lang w:val="en-US" w:eastAsia="zh-Hans"/>
        </w:rPr>
        <w:t>四</w:t>
      </w:r>
      <w:r>
        <w:rPr>
          <w:rFonts w:hint="eastAsia" w:ascii="宋体" w:hAnsi="宋体" w:cs="宋体"/>
          <w:b/>
          <w:sz w:val="24"/>
        </w:rPr>
        <w:t>年就业地区分布变化</w:t>
      </w:r>
    </w:p>
    <w:tbl>
      <w:tblPr>
        <w:tblStyle w:val="20"/>
        <w:tblpPr w:leftFromText="180" w:rightFromText="180" w:vertAnchor="text" w:horzAnchor="page" w:tblpX="1399" w:tblpY="482"/>
        <w:tblOverlap w:val="never"/>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537"/>
        <w:gridCol w:w="1345"/>
        <w:gridCol w:w="1345"/>
        <w:gridCol w:w="1345"/>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181" w:type="dxa"/>
            <w:shd w:val="clear" w:color="auto" w:fill="9999FF"/>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工作单位所在地</w:t>
            </w:r>
          </w:p>
        </w:tc>
        <w:tc>
          <w:tcPr>
            <w:tcW w:w="1537" w:type="dxa"/>
            <w:shd w:val="clear" w:color="auto" w:fill="9999FF"/>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2016年（%）</w:t>
            </w:r>
          </w:p>
        </w:tc>
        <w:tc>
          <w:tcPr>
            <w:tcW w:w="1345" w:type="dxa"/>
            <w:shd w:val="clear" w:color="auto" w:fill="9999FF"/>
            <w:vAlign w:val="center"/>
          </w:tcPr>
          <w:p>
            <w:pPr>
              <w:spacing w:line="360" w:lineRule="auto"/>
              <w:jc w:val="center"/>
              <w:rPr>
                <w:rFonts w:hint="eastAsia" w:ascii="宋体" w:hAnsi="宋体" w:eastAsia="宋体" w:cs="宋体"/>
                <w:b/>
                <w:sz w:val="24"/>
              </w:rPr>
            </w:pPr>
            <w:r>
              <w:rPr>
                <w:rFonts w:hint="eastAsia" w:ascii="宋体" w:hAnsi="宋体" w:eastAsia="宋体" w:cs="宋体"/>
                <w:b/>
                <w:sz w:val="24"/>
              </w:rPr>
              <w:t>2017年（%）</w:t>
            </w:r>
          </w:p>
        </w:tc>
        <w:tc>
          <w:tcPr>
            <w:tcW w:w="1345" w:type="dxa"/>
            <w:shd w:val="clear" w:color="auto" w:fill="9999FF"/>
            <w:vAlign w:val="center"/>
          </w:tcPr>
          <w:p>
            <w:pPr>
              <w:spacing w:line="360" w:lineRule="auto"/>
              <w:jc w:val="center"/>
              <w:rPr>
                <w:rFonts w:hint="eastAsia" w:ascii="宋体" w:hAnsi="宋体" w:eastAsia="宋体" w:cs="宋体"/>
                <w:b/>
                <w:sz w:val="24"/>
              </w:rPr>
            </w:pPr>
            <w:r>
              <w:rPr>
                <w:rFonts w:hint="eastAsia" w:ascii="宋体" w:hAnsi="宋体" w:cs="宋体"/>
                <w:b/>
                <w:sz w:val="24"/>
              </w:rPr>
              <w:t>2018</w:t>
            </w:r>
            <w:r>
              <w:rPr>
                <w:rFonts w:hint="eastAsia" w:ascii="宋体" w:hAnsi="宋体" w:eastAsia="宋体" w:cs="宋体"/>
                <w:b/>
                <w:sz w:val="24"/>
              </w:rPr>
              <w:t>年（%）</w:t>
            </w:r>
          </w:p>
        </w:tc>
        <w:tc>
          <w:tcPr>
            <w:tcW w:w="1345" w:type="dxa"/>
            <w:shd w:val="clear" w:color="auto" w:fill="9999FF"/>
            <w:vAlign w:val="center"/>
          </w:tcPr>
          <w:p>
            <w:pPr>
              <w:spacing w:line="360" w:lineRule="auto"/>
              <w:jc w:val="center"/>
              <w:rPr>
                <w:rFonts w:hint="eastAsia" w:ascii="宋体" w:hAnsi="宋体" w:cs="宋体"/>
                <w:b/>
                <w:sz w:val="24"/>
              </w:rPr>
            </w:pPr>
            <w:r>
              <w:rPr>
                <w:rFonts w:hint="eastAsia" w:ascii="宋体" w:hAnsi="宋体" w:cs="宋体"/>
                <w:b/>
                <w:sz w:val="24"/>
              </w:rPr>
              <w:t>2019</w:t>
            </w:r>
            <w:r>
              <w:rPr>
                <w:rFonts w:hint="eastAsia" w:ascii="宋体" w:hAnsi="宋体" w:eastAsia="宋体" w:cs="宋体"/>
                <w:b/>
                <w:sz w:val="24"/>
              </w:rPr>
              <w:t>年（%）</w:t>
            </w:r>
          </w:p>
        </w:tc>
        <w:tc>
          <w:tcPr>
            <w:tcW w:w="1345" w:type="dxa"/>
            <w:shd w:val="clear" w:color="auto" w:fill="9999FF"/>
            <w:vAlign w:val="center"/>
          </w:tcPr>
          <w:p>
            <w:pPr>
              <w:spacing w:line="360" w:lineRule="auto"/>
              <w:jc w:val="center"/>
              <w:rPr>
                <w:rFonts w:hint="eastAsia" w:ascii="宋体" w:hAnsi="宋体" w:cs="宋体"/>
                <w:b/>
                <w:sz w:val="24"/>
              </w:rPr>
            </w:pPr>
            <w:r>
              <w:rPr>
                <w:rFonts w:hint="eastAsia" w:ascii="宋体" w:hAnsi="宋体" w:cs="宋体"/>
                <w:b/>
                <w:sz w:val="24"/>
              </w:rPr>
              <w:t>2020</w:t>
            </w:r>
            <w:r>
              <w:rPr>
                <w:rFonts w:hint="eastAsia" w:ascii="宋体" w:hAnsi="宋体" w:eastAsia="宋体" w:cs="宋体"/>
                <w:b/>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181" w:type="dxa"/>
            <w:vAlign w:val="center"/>
          </w:tcPr>
          <w:p>
            <w:pPr>
              <w:jc w:val="center"/>
              <w:rPr>
                <w:rFonts w:hint="eastAsia" w:ascii="宋体" w:hAnsi="宋体" w:eastAsia="宋体" w:cs="宋体"/>
                <w:sz w:val="24"/>
              </w:rPr>
            </w:pPr>
            <w:r>
              <w:rPr>
                <w:rFonts w:hint="eastAsia" w:ascii="宋体" w:hAnsi="宋体" w:eastAsia="宋体" w:cs="宋体"/>
                <w:sz w:val="24"/>
              </w:rPr>
              <w:t>呼和浩特市</w:t>
            </w:r>
          </w:p>
        </w:tc>
        <w:tc>
          <w:tcPr>
            <w:tcW w:w="1537" w:type="dxa"/>
            <w:vAlign w:val="center"/>
          </w:tcPr>
          <w:p>
            <w:pPr>
              <w:jc w:val="center"/>
              <w:rPr>
                <w:rFonts w:hint="eastAsia" w:ascii="宋体" w:hAnsi="宋体" w:eastAsia="宋体" w:cs="宋体"/>
                <w:sz w:val="24"/>
              </w:rPr>
            </w:pPr>
            <w:r>
              <w:rPr>
                <w:rFonts w:hint="eastAsia" w:ascii="宋体" w:hAnsi="宋体" w:eastAsia="宋体" w:cs="宋体"/>
                <w:sz w:val="24"/>
              </w:rPr>
              <w:t>41.22</w:t>
            </w:r>
          </w:p>
        </w:tc>
        <w:tc>
          <w:tcPr>
            <w:tcW w:w="1345" w:type="dxa"/>
            <w:vAlign w:val="center"/>
          </w:tcPr>
          <w:p>
            <w:pPr>
              <w:jc w:val="center"/>
              <w:rPr>
                <w:rFonts w:hint="eastAsia" w:ascii="宋体" w:hAnsi="宋体" w:eastAsia="宋体" w:cs="宋体"/>
                <w:sz w:val="24"/>
              </w:rPr>
            </w:pPr>
            <w:r>
              <w:rPr>
                <w:rFonts w:hint="eastAsia" w:ascii="宋体" w:hAnsi="宋体" w:eastAsia="宋体" w:cs="宋体"/>
                <w:sz w:val="24"/>
              </w:rPr>
              <w:t>39.53</w:t>
            </w:r>
          </w:p>
        </w:tc>
        <w:tc>
          <w:tcPr>
            <w:tcW w:w="1345" w:type="dxa"/>
            <w:vAlign w:val="center"/>
          </w:tcPr>
          <w:p>
            <w:pPr>
              <w:jc w:val="center"/>
              <w:rPr>
                <w:rFonts w:hint="eastAsia" w:ascii="宋体" w:hAnsi="宋体" w:cs="宋体"/>
                <w:sz w:val="24"/>
              </w:rPr>
            </w:pPr>
            <w:r>
              <w:rPr>
                <w:rFonts w:hint="eastAsia" w:ascii="宋体" w:hAnsi="宋体" w:cs="宋体"/>
                <w:sz w:val="24"/>
              </w:rPr>
              <w:t>45.1</w:t>
            </w:r>
          </w:p>
        </w:tc>
        <w:tc>
          <w:tcPr>
            <w:tcW w:w="1345" w:type="dxa"/>
            <w:vAlign w:val="center"/>
          </w:tcPr>
          <w:p>
            <w:pPr>
              <w:jc w:val="center"/>
              <w:rPr>
                <w:rFonts w:hint="eastAsia" w:ascii="宋体" w:hAnsi="宋体" w:cs="宋体"/>
                <w:sz w:val="24"/>
              </w:rPr>
            </w:pPr>
            <w:r>
              <w:rPr>
                <w:rFonts w:hint="eastAsia" w:ascii="宋体" w:hAnsi="宋体" w:cs="宋体"/>
                <w:sz w:val="24"/>
              </w:rPr>
              <w:t>45.37</w:t>
            </w:r>
          </w:p>
        </w:tc>
        <w:tc>
          <w:tcPr>
            <w:tcW w:w="1345" w:type="dxa"/>
            <w:vAlign w:val="center"/>
          </w:tcPr>
          <w:p>
            <w:pPr>
              <w:jc w:val="center"/>
              <w:rPr>
                <w:rFonts w:hint="eastAsia" w:ascii="宋体" w:hAnsi="宋体" w:cs="宋体"/>
                <w:sz w:val="24"/>
              </w:rPr>
            </w:pPr>
            <w:r>
              <w:rPr>
                <w:rFonts w:hint="eastAsia" w:ascii="宋体" w:hAnsi="宋体" w:cs="宋体"/>
                <w:sz w:val="24"/>
              </w:rPr>
              <w:t>41.90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181" w:type="dxa"/>
            <w:vAlign w:val="center"/>
          </w:tcPr>
          <w:p>
            <w:pPr>
              <w:jc w:val="center"/>
              <w:rPr>
                <w:rFonts w:hint="eastAsia" w:ascii="宋体" w:hAnsi="宋体" w:eastAsia="宋体" w:cs="宋体"/>
                <w:sz w:val="24"/>
              </w:rPr>
            </w:pPr>
            <w:r>
              <w:rPr>
                <w:rFonts w:hint="eastAsia" w:ascii="宋体" w:hAnsi="宋体" w:eastAsia="宋体" w:cs="宋体"/>
                <w:sz w:val="24"/>
              </w:rPr>
              <w:t>鄂尔多斯市</w:t>
            </w:r>
          </w:p>
        </w:tc>
        <w:tc>
          <w:tcPr>
            <w:tcW w:w="1537" w:type="dxa"/>
            <w:vAlign w:val="center"/>
          </w:tcPr>
          <w:p>
            <w:pPr>
              <w:jc w:val="center"/>
              <w:rPr>
                <w:rFonts w:hint="eastAsia" w:ascii="宋体" w:hAnsi="宋体" w:eastAsia="宋体" w:cs="宋体"/>
                <w:sz w:val="24"/>
              </w:rPr>
            </w:pPr>
            <w:r>
              <w:rPr>
                <w:rFonts w:hint="eastAsia" w:ascii="宋体" w:hAnsi="宋体" w:eastAsia="宋体" w:cs="宋体"/>
                <w:sz w:val="24"/>
              </w:rPr>
              <w:t>25.4</w:t>
            </w:r>
          </w:p>
        </w:tc>
        <w:tc>
          <w:tcPr>
            <w:tcW w:w="1345" w:type="dxa"/>
            <w:vAlign w:val="center"/>
          </w:tcPr>
          <w:p>
            <w:pPr>
              <w:jc w:val="center"/>
              <w:rPr>
                <w:rFonts w:hint="eastAsia" w:ascii="宋体" w:hAnsi="宋体" w:eastAsia="宋体" w:cs="宋体"/>
                <w:sz w:val="24"/>
              </w:rPr>
            </w:pPr>
            <w:r>
              <w:rPr>
                <w:rFonts w:hint="eastAsia" w:ascii="宋体" w:hAnsi="宋体" w:eastAsia="宋体" w:cs="宋体"/>
                <w:sz w:val="24"/>
              </w:rPr>
              <w:t>18.17</w:t>
            </w:r>
          </w:p>
        </w:tc>
        <w:tc>
          <w:tcPr>
            <w:tcW w:w="1345" w:type="dxa"/>
            <w:vAlign w:val="center"/>
          </w:tcPr>
          <w:p>
            <w:pPr>
              <w:jc w:val="center"/>
              <w:rPr>
                <w:rFonts w:hint="eastAsia" w:ascii="宋体" w:hAnsi="宋体" w:cs="宋体"/>
                <w:sz w:val="24"/>
              </w:rPr>
            </w:pPr>
            <w:r>
              <w:rPr>
                <w:rFonts w:hint="eastAsia" w:ascii="宋体" w:hAnsi="宋体" w:eastAsia="宋体" w:cs="宋体"/>
                <w:sz w:val="24"/>
              </w:rPr>
              <w:t>1</w:t>
            </w:r>
            <w:r>
              <w:rPr>
                <w:rFonts w:hint="eastAsia" w:ascii="宋体" w:hAnsi="宋体" w:cs="宋体"/>
                <w:sz w:val="24"/>
              </w:rPr>
              <w:t>5.93</w:t>
            </w:r>
          </w:p>
        </w:tc>
        <w:tc>
          <w:tcPr>
            <w:tcW w:w="1345" w:type="dxa"/>
            <w:vAlign w:val="center"/>
          </w:tcPr>
          <w:p>
            <w:pPr>
              <w:jc w:val="center"/>
              <w:rPr>
                <w:rFonts w:hint="eastAsia" w:ascii="宋体" w:hAnsi="宋体" w:cs="宋体"/>
                <w:sz w:val="24"/>
              </w:rPr>
            </w:pPr>
            <w:r>
              <w:rPr>
                <w:rFonts w:hint="eastAsia" w:ascii="宋体" w:hAnsi="宋体" w:cs="宋体"/>
                <w:sz w:val="24"/>
              </w:rPr>
              <w:t>16.38</w:t>
            </w:r>
          </w:p>
        </w:tc>
        <w:tc>
          <w:tcPr>
            <w:tcW w:w="1345" w:type="dxa"/>
            <w:vAlign w:val="center"/>
          </w:tcPr>
          <w:p>
            <w:pPr>
              <w:jc w:val="center"/>
              <w:rPr>
                <w:rFonts w:hint="eastAsia" w:ascii="宋体" w:hAnsi="宋体" w:cs="宋体"/>
                <w:sz w:val="24"/>
              </w:rPr>
            </w:pPr>
            <w:r>
              <w:rPr>
                <w:rFonts w:hint="eastAsia" w:ascii="宋体" w:hAnsi="宋体" w:cs="宋体"/>
                <w:sz w:val="24"/>
              </w:rPr>
              <w:t>10.89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181" w:type="dxa"/>
            <w:vAlign w:val="center"/>
          </w:tcPr>
          <w:p>
            <w:pPr>
              <w:jc w:val="center"/>
              <w:rPr>
                <w:rFonts w:hint="eastAsia" w:ascii="宋体" w:hAnsi="宋体" w:eastAsia="宋体" w:cs="宋体"/>
                <w:sz w:val="24"/>
              </w:rPr>
            </w:pPr>
            <w:r>
              <w:rPr>
                <w:rFonts w:hint="eastAsia" w:ascii="宋体" w:hAnsi="宋体" w:eastAsia="宋体" w:cs="宋体"/>
                <w:sz w:val="24"/>
              </w:rPr>
              <w:t>包头市</w:t>
            </w:r>
          </w:p>
        </w:tc>
        <w:tc>
          <w:tcPr>
            <w:tcW w:w="1537" w:type="dxa"/>
            <w:vAlign w:val="center"/>
          </w:tcPr>
          <w:p>
            <w:pPr>
              <w:jc w:val="center"/>
              <w:rPr>
                <w:rFonts w:hint="eastAsia" w:ascii="宋体" w:hAnsi="宋体" w:eastAsia="宋体" w:cs="宋体"/>
                <w:sz w:val="24"/>
              </w:rPr>
            </w:pPr>
            <w:r>
              <w:rPr>
                <w:rFonts w:hint="eastAsia" w:ascii="宋体" w:hAnsi="宋体" w:eastAsia="宋体" w:cs="宋体"/>
                <w:sz w:val="24"/>
              </w:rPr>
              <w:t>7.75</w:t>
            </w:r>
          </w:p>
        </w:tc>
        <w:tc>
          <w:tcPr>
            <w:tcW w:w="1345" w:type="dxa"/>
            <w:vAlign w:val="center"/>
          </w:tcPr>
          <w:p>
            <w:pPr>
              <w:jc w:val="center"/>
              <w:rPr>
                <w:rFonts w:hint="eastAsia" w:ascii="宋体" w:hAnsi="宋体" w:eastAsia="宋体" w:cs="宋体"/>
                <w:sz w:val="24"/>
              </w:rPr>
            </w:pPr>
            <w:r>
              <w:rPr>
                <w:rFonts w:hint="eastAsia" w:ascii="宋体" w:hAnsi="宋体" w:eastAsia="宋体" w:cs="宋体"/>
                <w:sz w:val="24"/>
              </w:rPr>
              <w:t>10.22</w:t>
            </w:r>
          </w:p>
        </w:tc>
        <w:tc>
          <w:tcPr>
            <w:tcW w:w="1345" w:type="dxa"/>
            <w:vAlign w:val="center"/>
          </w:tcPr>
          <w:p>
            <w:pPr>
              <w:jc w:val="center"/>
              <w:rPr>
                <w:rFonts w:hint="eastAsia" w:ascii="宋体" w:hAnsi="宋体" w:cs="宋体"/>
                <w:sz w:val="24"/>
              </w:rPr>
            </w:pPr>
            <w:r>
              <w:rPr>
                <w:rFonts w:hint="eastAsia" w:ascii="宋体" w:hAnsi="宋体" w:cs="宋体"/>
                <w:sz w:val="24"/>
              </w:rPr>
              <w:t>7.9</w:t>
            </w:r>
          </w:p>
        </w:tc>
        <w:tc>
          <w:tcPr>
            <w:tcW w:w="1345" w:type="dxa"/>
            <w:vAlign w:val="center"/>
          </w:tcPr>
          <w:p>
            <w:pPr>
              <w:jc w:val="center"/>
              <w:rPr>
                <w:rFonts w:hint="eastAsia" w:ascii="宋体" w:hAnsi="宋体" w:cs="宋体"/>
                <w:sz w:val="24"/>
              </w:rPr>
            </w:pPr>
            <w:r>
              <w:rPr>
                <w:rFonts w:hint="eastAsia" w:ascii="宋体" w:hAnsi="宋体" w:cs="宋体"/>
                <w:sz w:val="24"/>
              </w:rPr>
              <w:t>16.26</w:t>
            </w:r>
          </w:p>
        </w:tc>
        <w:tc>
          <w:tcPr>
            <w:tcW w:w="1345" w:type="dxa"/>
            <w:vAlign w:val="center"/>
          </w:tcPr>
          <w:p>
            <w:pPr>
              <w:jc w:val="center"/>
              <w:rPr>
                <w:rFonts w:hint="eastAsia" w:ascii="宋体" w:hAnsi="宋体" w:cs="宋体"/>
                <w:sz w:val="24"/>
              </w:rPr>
            </w:pPr>
            <w:r>
              <w:rPr>
                <w:rFonts w:hint="eastAsia" w:ascii="宋体" w:hAnsi="宋体" w:cs="宋体"/>
                <w:sz w:val="24"/>
              </w:rPr>
              <w:t>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181" w:type="dxa"/>
            <w:vAlign w:val="center"/>
          </w:tcPr>
          <w:p>
            <w:pPr>
              <w:jc w:val="center"/>
              <w:rPr>
                <w:rFonts w:hint="eastAsia" w:ascii="宋体" w:hAnsi="宋体" w:eastAsia="宋体" w:cs="宋体"/>
                <w:sz w:val="24"/>
              </w:rPr>
            </w:pPr>
            <w:r>
              <w:rPr>
                <w:rFonts w:hint="eastAsia" w:ascii="宋体" w:hAnsi="宋体" w:eastAsia="宋体" w:cs="宋体"/>
                <w:sz w:val="24"/>
              </w:rPr>
              <w:t>巴彦淖尔市</w:t>
            </w:r>
          </w:p>
        </w:tc>
        <w:tc>
          <w:tcPr>
            <w:tcW w:w="1537" w:type="dxa"/>
            <w:vAlign w:val="center"/>
          </w:tcPr>
          <w:p>
            <w:pPr>
              <w:jc w:val="center"/>
              <w:rPr>
                <w:rFonts w:hint="eastAsia" w:ascii="宋体" w:hAnsi="宋体" w:eastAsia="宋体" w:cs="宋体"/>
                <w:sz w:val="24"/>
              </w:rPr>
            </w:pPr>
            <w:r>
              <w:rPr>
                <w:rFonts w:hint="eastAsia" w:ascii="宋体" w:hAnsi="宋体" w:eastAsia="宋体" w:cs="宋体"/>
                <w:sz w:val="24"/>
              </w:rPr>
              <w:t>4.13</w:t>
            </w:r>
          </w:p>
        </w:tc>
        <w:tc>
          <w:tcPr>
            <w:tcW w:w="1345" w:type="dxa"/>
            <w:vAlign w:val="center"/>
          </w:tcPr>
          <w:p>
            <w:pPr>
              <w:jc w:val="center"/>
              <w:rPr>
                <w:rFonts w:hint="eastAsia" w:ascii="宋体" w:hAnsi="宋体" w:eastAsia="宋体" w:cs="宋体"/>
                <w:sz w:val="24"/>
              </w:rPr>
            </w:pPr>
            <w:r>
              <w:rPr>
                <w:rFonts w:hint="eastAsia" w:ascii="宋体" w:hAnsi="宋体" w:eastAsia="宋体" w:cs="宋体"/>
                <w:sz w:val="24"/>
              </w:rPr>
              <w:t>5.61</w:t>
            </w:r>
          </w:p>
        </w:tc>
        <w:tc>
          <w:tcPr>
            <w:tcW w:w="1345" w:type="dxa"/>
            <w:vAlign w:val="center"/>
          </w:tcPr>
          <w:p>
            <w:pPr>
              <w:jc w:val="center"/>
              <w:rPr>
                <w:rFonts w:hint="eastAsia" w:ascii="宋体" w:hAnsi="宋体" w:cs="宋体"/>
                <w:sz w:val="24"/>
              </w:rPr>
            </w:pPr>
            <w:r>
              <w:rPr>
                <w:rFonts w:hint="eastAsia" w:ascii="宋体" w:hAnsi="宋体" w:cs="宋体"/>
                <w:sz w:val="24"/>
              </w:rPr>
              <w:t>5.2</w:t>
            </w:r>
          </w:p>
        </w:tc>
        <w:tc>
          <w:tcPr>
            <w:tcW w:w="1345" w:type="dxa"/>
            <w:vAlign w:val="center"/>
          </w:tcPr>
          <w:p>
            <w:pPr>
              <w:jc w:val="center"/>
              <w:rPr>
                <w:rFonts w:hint="eastAsia" w:ascii="宋体" w:hAnsi="宋体" w:cs="宋体"/>
                <w:sz w:val="24"/>
              </w:rPr>
            </w:pPr>
            <w:r>
              <w:rPr>
                <w:rFonts w:hint="eastAsia" w:ascii="宋体" w:hAnsi="宋体" w:cs="宋体"/>
                <w:sz w:val="24"/>
              </w:rPr>
              <w:t>6.43</w:t>
            </w:r>
          </w:p>
        </w:tc>
        <w:tc>
          <w:tcPr>
            <w:tcW w:w="1345" w:type="dxa"/>
            <w:vAlign w:val="center"/>
          </w:tcPr>
          <w:p>
            <w:pPr>
              <w:jc w:val="center"/>
              <w:rPr>
                <w:rFonts w:hint="eastAsia" w:ascii="宋体" w:hAnsi="宋体" w:cs="宋体"/>
                <w:sz w:val="24"/>
              </w:rPr>
            </w:pPr>
            <w:r>
              <w:rPr>
                <w:rFonts w:hint="eastAsia" w:ascii="宋体" w:hAnsi="宋体" w:cs="宋体"/>
                <w:sz w:val="24"/>
              </w:rPr>
              <w:t>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181" w:type="dxa"/>
            <w:vAlign w:val="center"/>
          </w:tcPr>
          <w:p>
            <w:pPr>
              <w:jc w:val="center"/>
              <w:rPr>
                <w:rFonts w:hint="eastAsia" w:ascii="宋体" w:hAnsi="宋体" w:eastAsia="宋体" w:cs="宋体"/>
                <w:sz w:val="24"/>
              </w:rPr>
            </w:pPr>
            <w:r>
              <w:rPr>
                <w:rFonts w:hint="eastAsia" w:ascii="宋体" w:hAnsi="宋体" w:eastAsia="宋体" w:cs="宋体"/>
                <w:sz w:val="24"/>
              </w:rPr>
              <w:t>乌兰察布市</w:t>
            </w:r>
          </w:p>
        </w:tc>
        <w:tc>
          <w:tcPr>
            <w:tcW w:w="1537" w:type="dxa"/>
            <w:vAlign w:val="center"/>
          </w:tcPr>
          <w:p>
            <w:pPr>
              <w:jc w:val="center"/>
              <w:rPr>
                <w:rFonts w:hint="eastAsia" w:ascii="宋体" w:hAnsi="宋体" w:eastAsia="宋体" w:cs="宋体"/>
                <w:sz w:val="24"/>
              </w:rPr>
            </w:pPr>
            <w:r>
              <w:rPr>
                <w:rFonts w:hint="eastAsia" w:ascii="宋体" w:hAnsi="宋体" w:eastAsia="宋体" w:cs="宋体"/>
                <w:sz w:val="24"/>
              </w:rPr>
              <w:t>3.96</w:t>
            </w:r>
          </w:p>
        </w:tc>
        <w:tc>
          <w:tcPr>
            <w:tcW w:w="1345" w:type="dxa"/>
            <w:vAlign w:val="center"/>
          </w:tcPr>
          <w:p>
            <w:pPr>
              <w:jc w:val="center"/>
              <w:rPr>
                <w:rFonts w:hint="eastAsia" w:ascii="宋体" w:hAnsi="宋体" w:eastAsia="宋体" w:cs="宋体"/>
                <w:sz w:val="24"/>
              </w:rPr>
            </w:pPr>
            <w:r>
              <w:rPr>
                <w:rFonts w:hint="eastAsia" w:ascii="宋体" w:hAnsi="宋体" w:eastAsia="宋体" w:cs="宋体"/>
                <w:sz w:val="24"/>
              </w:rPr>
              <w:t>5.46</w:t>
            </w:r>
          </w:p>
        </w:tc>
        <w:tc>
          <w:tcPr>
            <w:tcW w:w="1345" w:type="dxa"/>
            <w:vAlign w:val="center"/>
          </w:tcPr>
          <w:p>
            <w:pPr>
              <w:jc w:val="center"/>
              <w:rPr>
                <w:rFonts w:hint="eastAsia" w:ascii="宋体" w:hAnsi="宋体" w:cs="宋体"/>
                <w:sz w:val="24"/>
              </w:rPr>
            </w:pPr>
            <w:r>
              <w:rPr>
                <w:rFonts w:hint="eastAsia" w:ascii="宋体" w:hAnsi="宋体" w:cs="宋体"/>
                <w:sz w:val="24"/>
              </w:rPr>
              <w:t>5.27</w:t>
            </w:r>
          </w:p>
        </w:tc>
        <w:tc>
          <w:tcPr>
            <w:tcW w:w="1345" w:type="dxa"/>
            <w:vAlign w:val="center"/>
          </w:tcPr>
          <w:p>
            <w:pPr>
              <w:jc w:val="center"/>
              <w:rPr>
                <w:rFonts w:hint="eastAsia" w:ascii="宋体" w:hAnsi="宋体" w:cs="宋体"/>
                <w:sz w:val="24"/>
              </w:rPr>
            </w:pPr>
            <w:r>
              <w:rPr>
                <w:rFonts w:hint="eastAsia" w:ascii="宋体" w:hAnsi="宋体" w:cs="宋体"/>
                <w:sz w:val="24"/>
              </w:rPr>
              <w:t>6.30</w:t>
            </w:r>
          </w:p>
        </w:tc>
        <w:tc>
          <w:tcPr>
            <w:tcW w:w="1345" w:type="dxa"/>
            <w:vAlign w:val="center"/>
          </w:tcPr>
          <w:p>
            <w:pPr>
              <w:jc w:val="center"/>
              <w:rPr>
                <w:rFonts w:hint="eastAsia" w:ascii="宋体" w:hAnsi="宋体" w:cs="宋体"/>
                <w:sz w:val="24"/>
              </w:rPr>
            </w:pPr>
            <w:r>
              <w:rPr>
                <w:rFonts w:hint="eastAsia" w:ascii="宋体" w:hAnsi="宋体" w:cs="宋体"/>
                <w:sz w:val="24"/>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181" w:type="dxa"/>
            <w:vAlign w:val="center"/>
          </w:tcPr>
          <w:p>
            <w:pPr>
              <w:jc w:val="center"/>
              <w:rPr>
                <w:rFonts w:hint="eastAsia" w:ascii="宋体" w:hAnsi="宋体" w:eastAsia="宋体" w:cs="宋体"/>
                <w:sz w:val="24"/>
              </w:rPr>
            </w:pPr>
            <w:r>
              <w:rPr>
                <w:rFonts w:hint="eastAsia" w:ascii="宋体" w:hAnsi="宋体" w:eastAsia="宋体" w:cs="宋体"/>
                <w:sz w:val="24"/>
              </w:rPr>
              <w:t>区外</w:t>
            </w:r>
          </w:p>
        </w:tc>
        <w:tc>
          <w:tcPr>
            <w:tcW w:w="1537" w:type="dxa"/>
            <w:vAlign w:val="center"/>
          </w:tcPr>
          <w:p>
            <w:pPr>
              <w:jc w:val="center"/>
              <w:rPr>
                <w:rFonts w:hint="eastAsia" w:ascii="宋体" w:hAnsi="宋体" w:eastAsia="宋体" w:cs="宋体"/>
                <w:sz w:val="24"/>
              </w:rPr>
            </w:pPr>
            <w:r>
              <w:rPr>
                <w:rFonts w:hint="eastAsia" w:ascii="宋体" w:hAnsi="宋体" w:eastAsia="宋体" w:cs="宋体"/>
                <w:sz w:val="24"/>
              </w:rPr>
              <w:t>6.8</w:t>
            </w:r>
          </w:p>
        </w:tc>
        <w:tc>
          <w:tcPr>
            <w:tcW w:w="1345" w:type="dxa"/>
            <w:vAlign w:val="center"/>
          </w:tcPr>
          <w:p>
            <w:pPr>
              <w:jc w:val="center"/>
              <w:rPr>
                <w:rFonts w:hint="eastAsia" w:ascii="宋体" w:hAnsi="宋体" w:eastAsia="宋体" w:cs="宋体"/>
                <w:sz w:val="24"/>
              </w:rPr>
            </w:pPr>
            <w:r>
              <w:rPr>
                <w:rFonts w:hint="eastAsia" w:ascii="宋体" w:hAnsi="宋体" w:eastAsia="宋体" w:cs="宋体"/>
                <w:sz w:val="24"/>
              </w:rPr>
              <w:t>7.03</w:t>
            </w:r>
          </w:p>
        </w:tc>
        <w:tc>
          <w:tcPr>
            <w:tcW w:w="1345" w:type="dxa"/>
            <w:vAlign w:val="center"/>
          </w:tcPr>
          <w:p>
            <w:pPr>
              <w:jc w:val="center"/>
              <w:rPr>
                <w:rFonts w:hint="eastAsia" w:ascii="宋体" w:hAnsi="宋体" w:cs="宋体"/>
                <w:sz w:val="24"/>
              </w:rPr>
            </w:pPr>
            <w:r>
              <w:rPr>
                <w:rFonts w:hint="eastAsia" w:ascii="宋体" w:hAnsi="宋体" w:cs="宋体"/>
                <w:sz w:val="24"/>
              </w:rPr>
              <w:t>7.86</w:t>
            </w:r>
          </w:p>
        </w:tc>
        <w:tc>
          <w:tcPr>
            <w:tcW w:w="1345" w:type="dxa"/>
            <w:vAlign w:val="center"/>
          </w:tcPr>
          <w:p>
            <w:pPr>
              <w:jc w:val="center"/>
              <w:rPr>
                <w:rFonts w:hint="eastAsia" w:ascii="宋体" w:hAnsi="宋体" w:cs="宋体"/>
                <w:sz w:val="24"/>
              </w:rPr>
            </w:pPr>
            <w:r>
              <w:rPr>
                <w:rFonts w:hint="eastAsia" w:ascii="宋体" w:hAnsi="宋体" w:cs="宋体"/>
                <w:sz w:val="24"/>
              </w:rPr>
              <w:t>9.26</w:t>
            </w:r>
          </w:p>
        </w:tc>
        <w:tc>
          <w:tcPr>
            <w:tcW w:w="1345" w:type="dxa"/>
            <w:vAlign w:val="center"/>
          </w:tcPr>
          <w:p>
            <w:pPr>
              <w:jc w:val="center"/>
              <w:rPr>
                <w:rFonts w:hint="eastAsia" w:ascii="宋体" w:hAnsi="宋体" w:cs="宋体"/>
                <w:sz w:val="24"/>
              </w:rPr>
            </w:pPr>
            <w:r>
              <w:rPr>
                <w:rFonts w:hint="eastAsia" w:ascii="宋体" w:hAnsi="宋体" w:cs="宋体"/>
                <w:sz w:val="24"/>
              </w:rPr>
              <w:t>13.70</w:t>
            </w:r>
          </w:p>
        </w:tc>
      </w:tr>
    </w:tbl>
    <w:p/>
    <w:p/>
    <w:p>
      <w:pPr>
        <w:pStyle w:val="2"/>
        <w:numPr>
          <w:ilvl w:val="0"/>
          <w:numId w:val="4"/>
        </w:numPr>
        <w:spacing w:before="0" w:after="0" w:line="240" w:lineRule="auto"/>
        <w:jc w:val="center"/>
        <w:rPr>
          <w:rFonts w:ascii="黑体" w:eastAsia="黑体"/>
          <w:sz w:val="32"/>
          <w:szCs w:val="32"/>
        </w:rPr>
      </w:pPr>
      <w:bookmarkStart w:id="81" w:name="_Toc436645838"/>
      <w:bookmarkStart w:id="82" w:name="_Toc436646440"/>
      <w:bookmarkStart w:id="83" w:name="_Toc436646024"/>
      <w:bookmarkStart w:id="84" w:name="_Toc436748524"/>
      <w:bookmarkStart w:id="85" w:name="_Toc436746488"/>
      <w:bookmarkStart w:id="86" w:name="_Toc436646042"/>
      <w:bookmarkStart w:id="87" w:name="_Toc436646503"/>
      <w:bookmarkStart w:id="88" w:name="_Toc436645681"/>
      <w:bookmarkStart w:id="89" w:name="_Toc436645713"/>
      <w:bookmarkStart w:id="90" w:name="_Toc436646459"/>
      <w:bookmarkStart w:id="91" w:name="_Toc504614060"/>
      <w:r>
        <w:rPr>
          <w:rFonts w:hint="eastAsia" w:ascii="黑体" w:eastAsia="黑体"/>
          <w:sz w:val="32"/>
          <w:szCs w:val="32"/>
        </w:rPr>
        <w:t>：</w:t>
      </w:r>
      <w:bookmarkEnd w:id="81"/>
      <w:bookmarkEnd w:id="82"/>
      <w:bookmarkEnd w:id="83"/>
      <w:bookmarkEnd w:id="84"/>
      <w:bookmarkEnd w:id="85"/>
      <w:bookmarkEnd w:id="86"/>
      <w:bookmarkEnd w:id="87"/>
      <w:bookmarkEnd w:id="88"/>
      <w:bookmarkEnd w:id="89"/>
      <w:bookmarkEnd w:id="90"/>
      <w:r>
        <w:rPr>
          <w:rFonts w:hint="eastAsia" w:ascii="黑体" w:eastAsia="黑体"/>
          <w:sz w:val="32"/>
          <w:szCs w:val="32"/>
        </w:rPr>
        <w:t>对教育教学的反馈</w:t>
      </w:r>
      <w:bookmarkEnd w:id="91"/>
    </w:p>
    <w:p>
      <w:pPr>
        <w:tabs>
          <w:tab w:val="left" w:pos="360"/>
        </w:tabs>
        <w:spacing w:after="312" w:afterLines="100" w:line="360" w:lineRule="auto"/>
        <w:ind w:firstLine="540" w:firstLineChars="225"/>
        <w:rPr>
          <w:rFonts w:ascii="??_GB2312" w:hAnsi="宋体" w:eastAsia="Times New Roman"/>
          <w:sz w:val="24"/>
        </w:rPr>
      </w:pPr>
      <w:r>
        <w:rPr>
          <w:rFonts w:hint="eastAsia" w:ascii="宋体" w:hAnsi="宋体" w:eastAsia="宋体" w:cs="宋体"/>
          <w:sz w:val="24"/>
        </w:rPr>
        <w:t>学院以提高人才培养质量和服务自治区经济社会发展为着眼点，按照“以文化创意产业、现代传媒产业等新兴产业群不断生成的市场需求为导向，以与之相关的学科建设为重点，辅以理学、工学、经济管理类专业类的学科建设，形成贴近市场，多学科协调发展、合理布局的学科专业结构”的学生培养思路。学院主动实施专业结构调整，重视就业状况对人才培养模式的“试金石”作用，实现招生-培养-就业一体化的联动机制，即一方面按照各专业就业率及就业质量等数据，对社会需求较小、就业率偏低、竞争力较弱的专业进行调整，削枝强干，提升质量；一方面根据就业状况进行人才培养模式改革，加强开放办学，争取实现教育教学质量和就业质量的双提</w:t>
      </w:r>
      <w:r>
        <w:rPr>
          <w:rFonts w:ascii="??_GB2312" w:hAnsi="宋体" w:eastAsia="Times New Roman"/>
          <w:sz w:val="24"/>
        </w:rPr>
        <w:t>升</w:t>
      </w:r>
    </w:p>
    <w:p>
      <w:pPr>
        <w:pStyle w:val="3"/>
        <w:numPr>
          <w:ilvl w:val="0"/>
          <w:numId w:val="14"/>
        </w:numPr>
        <w:tabs>
          <w:tab w:val="left" w:pos="900"/>
          <w:tab w:val="clear" w:pos="1140"/>
        </w:tabs>
        <w:spacing w:line="360" w:lineRule="auto"/>
        <w:ind w:hanging="960"/>
        <w:rPr>
          <w:rFonts w:ascii="宋体" w:hAnsi="宋体" w:eastAsia="宋体"/>
          <w:sz w:val="30"/>
          <w:szCs w:val="30"/>
        </w:rPr>
      </w:pPr>
      <w:bookmarkStart w:id="92" w:name="_Toc504614062"/>
      <w:bookmarkStart w:id="93" w:name="_Toc436748550"/>
      <w:r>
        <w:rPr>
          <w:rFonts w:hint="eastAsia" w:ascii="宋体" w:hAnsi="宋体" w:eastAsia="宋体"/>
          <w:sz w:val="30"/>
          <w:szCs w:val="30"/>
        </w:rPr>
        <w:t>优化人才培养模式与体系</w:t>
      </w:r>
      <w:bookmarkEnd w:id="92"/>
      <w:bookmarkEnd w:id="93"/>
    </w:p>
    <w:p>
      <w:pPr>
        <w:spacing w:line="360" w:lineRule="auto"/>
        <w:ind w:firstLine="480" w:firstLineChars="200"/>
        <w:rPr>
          <w:rFonts w:hint="eastAsia" w:ascii="宋体" w:hAnsi="宋体" w:eastAsia="宋体" w:cs="宋体"/>
          <w:sz w:val="24"/>
        </w:rPr>
      </w:pPr>
      <w:r>
        <w:rPr>
          <w:rFonts w:hint="eastAsia" w:ascii="宋体" w:hAnsi="宋体" w:eastAsia="宋体" w:cs="宋体"/>
          <w:bCs/>
          <w:sz w:val="24"/>
        </w:rPr>
        <w:t>学院以培养“应用型”、“开放型”、“复合型”、“学术型”、“创新型”人才为目标，</w:t>
      </w:r>
      <w:r>
        <w:rPr>
          <w:rFonts w:hint="eastAsia" w:ascii="宋体" w:hAnsi="宋体" w:eastAsia="宋体" w:cs="宋体"/>
          <w:sz w:val="24"/>
        </w:rPr>
        <w:t>本着对学生、家长、社会负责的态度，坚持育人为本，把人才培养质量作为学院的生命线，不断深化教育改革。建立了由分管院长负责领导、各</w:t>
      </w:r>
      <w:r>
        <w:rPr>
          <w:rFonts w:hint="eastAsia" w:ascii="宋体" w:hAnsi="宋体" w:cs="宋体"/>
          <w:sz w:val="24"/>
        </w:rPr>
        <w:t>二级学院</w:t>
      </w:r>
      <w:r>
        <w:rPr>
          <w:rFonts w:hint="eastAsia" w:ascii="宋体" w:hAnsi="宋体" w:eastAsia="宋体" w:cs="宋体"/>
          <w:sz w:val="24"/>
        </w:rPr>
        <w:t>党总支书记、</w:t>
      </w:r>
      <w:r>
        <w:rPr>
          <w:rFonts w:hint="eastAsia" w:ascii="宋体" w:hAnsi="宋体" w:cs="宋体"/>
          <w:sz w:val="24"/>
        </w:rPr>
        <w:t>招生与就业服务中心</w:t>
      </w:r>
      <w:r>
        <w:rPr>
          <w:rFonts w:hint="eastAsia" w:ascii="宋体" w:hAnsi="宋体" w:eastAsia="宋体" w:cs="宋体"/>
          <w:sz w:val="24"/>
        </w:rPr>
        <w:t>为主的领导小组，每年召开就业专题会议，形成就业工作对学科建设、人才培养的反馈机制，不断建立和完善就业与人才培养模式、培养方案、学科建设、课程设置、教学方法的联动机制。</w:t>
      </w:r>
    </w:p>
    <w:p>
      <w:pPr>
        <w:spacing w:line="360" w:lineRule="auto"/>
        <w:jc w:val="center"/>
        <w:rPr>
          <w:rFonts w:hint="eastAsia" w:ascii="宋体" w:hAnsi="宋体" w:cs="宋体"/>
          <w:b/>
          <w:sz w:val="24"/>
        </w:rPr>
      </w:pPr>
    </w:p>
    <w:p>
      <w:pPr>
        <w:spacing w:line="360" w:lineRule="auto"/>
        <w:jc w:val="center"/>
        <w:rPr>
          <w:rFonts w:hint="eastAsia" w:ascii="宋体" w:hAnsi="宋体" w:cs="宋体"/>
          <w:b/>
          <w:sz w:val="24"/>
        </w:rPr>
      </w:pPr>
      <w:r>
        <w:rPr>
          <w:rFonts w:hint="eastAsia" w:ascii="宋体" w:hAnsi="宋体" w:cs="宋体"/>
          <w:b/>
          <w:sz w:val="24"/>
        </w:rPr>
        <w:t>表5.1：用人单位对我院人才培养评价（1）</w:t>
      </w:r>
    </w:p>
    <w:p>
      <w:pPr>
        <w:spacing w:after="312" w:afterLines="100" w:line="360" w:lineRule="auto"/>
        <w:ind w:firstLine="480" w:firstLineChars="200"/>
        <w:rPr>
          <w:rFonts w:ascii="??_GB2312" w:hAnsi="宋体" w:eastAsia="Times New Roman"/>
          <w:bCs/>
          <w:sz w:val="24"/>
        </w:rPr>
      </w:pPr>
      <w:r>
        <w:rPr>
          <w:rFonts w:ascii="??_GB2312" w:hAnsi="宋体" w:eastAsia="Times New Roman"/>
          <w:sz w:val="24"/>
          <w:bdr w:val="single" w:color="auto" w:sz="4" w:space="0"/>
        </w:rPr>
        <w:object>
          <v:shape id="_x0000_i1038" o:spt="75" alt="oleimage" type="#_x0000_t75" style="height:251.65pt;width:381.7pt;" o:ole="t" filled="f" o:preferrelative="t" stroked="f" coordsize="21600,21600">
            <v:path/>
            <v:fill on="f" focussize="0,0"/>
            <v:stroke on="f"/>
            <v:imagedata r:id="rId63" cropleft="-9137f" croptop="-10248f" cropright="-10147f" cropbottom="-3303f" o:title=""/>
            <o:lock v:ext="edit" aspectratio="f"/>
            <w10:wrap type="none"/>
            <w10:anchorlock/>
          </v:shape>
          <o:OLEObject Type="Embed" ProgID="Excel.Sheet.8" ShapeID="_x0000_i1038" DrawAspect="Content" ObjectID="_1468075738" r:id="rId62">
            <o:LockedField>false</o:LockedField>
          </o:OLEObject>
        </w:object>
      </w:r>
    </w:p>
    <w:p>
      <w:pPr>
        <w:jc w:val="center"/>
        <w:rPr>
          <w:rFonts w:hint="eastAsia" w:ascii="宋体" w:hAnsi="宋体" w:cs="宋体"/>
          <w:b/>
          <w:sz w:val="24"/>
        </w:rPr>
      </w:pPr>
      <w:r>
        <w:rPr>
          <w:rFonts w:hint="eastAsia" w:ascii="宋体" w:hAnsi="宋体" w:cs="宋体"/>
          <w:b/>
          <w:sz w:val="24"/>
        </w:rPr>
        <w:t>表5.2：用人单位对我院人才培养评价（2）</w:t>
      </w:r>
    </w:p>
    <w:p>
      <w:pPr>
        <w:spacing w:after="312" w:afterLines="100" w:line="360" w:lineRule="auto"/>
        <w:ind w:firstLine="480" w:firstLineChars="200"/>
        <w:rPr>
          <w:rFonts w:ascii="??_GB2312" w:hAnsi="宋体" w:eastAsia="Times New Roman"/>
          <w:bCs/>
          <w:sz w:val="24"/>
        </w:rPr>
      </w:pPr>
      <w:r>
        <w:rPr>
          <w:rFonts w:ascii="??_GB2312" w:hAnsi="宋体" w:eastAsia="Times New Roman"/>
          <w:sz w:val="24"/>
          <w:bdr w:val="single" w:color="auto" w:sz="4" w:space="0"/>
        </w:rPr>
        <w:object>
          <v:shape id="_x0000_i1039" o:spt="75" type="#_x0000_t75" style="height:195.9pt;width:375.9pt;" o:ole="t" filled="f" o:preferrelative="t" stroked="f" coordsize="21600,21600">
            <v:path/>
            <v:fill on="f" focussize="0,0"/>
            <v:stroke on="f" joinstyle="miter"/>
            <v:imagedata r:id="rId65" cropleft="-5465f" croptop="-4740f" cropright="-1883f" cropbottom="-2965f" o:title=""/>
            <o:lock v:ext="edit" aspectratio="f"/>
            <w10:wrap type="none"/>
            <w10:anchorlock/>
          </v:shape>
          <o:OLEObject Type="Embed" ProgID="Excel.Sheet.8" ShapeID="_x0000_i1039" DrawAspect="Content" ObjectID="_1468075739" r:id="rId64">
            <o:LockedField>false</o:LockedField>
          </o:OLEObject>
        </w:object>
      </w:r>
    </w:p>
    <w:p>
      <w:pPr>
        <w:ind w:firstLine="480" w:firstLineChars="200"/>
        <w:rPr>
          <w:rFonts w:ascii="??_GB2312" w:hAnsi="宋体" w:eastAsia="Times New Roman"/>
          <w:sz w:val="24"/>
        </w:rPr>
      </w:pPr>
      <w:r>
        <w:rPr>
          <w:rFonts w:ascii="??_GB2312" w:hAnsi="宋体" w:eastAsia="Times New Roman"/>
          <w:sz w:val="24"/>
        </w:rPr>
        <w:t>在实地走访调研过程中，我们对毕业生的人才培养评价进行了汇总调查，情况如下：</w:t>
      </w:r>
    </w:p>
    <w:p>
      <w:pPr>
        <w:ind w:firstLine="480" w:firstLineChars="200"/>
        <w:rPr>
          <w:rFonts w:ascii="??_GB2312" w:hAnsi="宋体" w:eastAsia="Times New Roman"/>
          <w:sz w:val="24"/>
        </w:rPr>
      </w:pPr>
    </w:p>
    <w:p>
      <w:pPr>
        <w:jc w:val="center"/>
        <w:rPr>
          <w:rFonts w:hint="eastAsia" w:ascii="宋体" w:hAnsi="宋体" w:cs="宋体"/>
          <w:b/>
          <w:sz w:val="24"/>
        </w:rPr>
      </w:pPr>
      <w:r>
        <w:rPr>
          <w:rFonts w:hint="eastAsia" w:ascii="宋体" w:hAnsi="宋体" w:cs="宋体"/>
          <w:b/>
          <w:sz w:val="24"/>
        </w:rPr>
        <w:t>表5.3：辅修双学位对应聘工作是否有帮助？</w:t>
      </w:r>
      <w:r>
        <w:rPr>
          <w:rFonts w:hint="eastAsia" w:ascii="宋体" w:hAnsi="宋体" w:cs="宋体"/>
          <w:color w:val="000000"/>
        </w:rPr>
        <w:t xml:space="preserve"> </w:t>
      </w:r>
      <w:r>
        <w:rPr>
          <w:rFonts w:hint="eastAsia" w:ascii="宋体" w:hAnsi="宋体" w:cs="宋体"/>
          <w:color w:val="0066FF"/>
        </w:rPr>
        <w:t>[单选题]</w:t>
      </w:r>
    </w:p>
    <w:p>
      <w:pPr>
        <w:rPr>
          <w:color w:val="0066FF"/>
        </w:rPr>
      </w:pPr>
    </w:p>
    <w:tbl>
      <w:tblPr>
        <w:tblStyle w:val="20"/>
        <w:tblW w:w="7021" w:type="dxa"/>
        <w:tblInd w:w="648"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2161"/>
        <w:gridCol w:w="1333"/>
        <w:gridCol w:w="352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2161" w:type="dxa"/>
            <w:shd w:val="clear" w:color="auto" w:fill="E0E0E0"/>
            <w:vAlign w:val="center"/>
          </w:tcPr>
          <w:p>
            <w:pPr>
              <w:jc w:val="center"/>
            </w:pPr>
            <w:r>
              <w:rPr>
                <w:rFonts w:hint="eastAsia"/>
              </w:rPr>
              <w:t>选项</w:t>
            </w:r>
          </w:p>
        </w:tc>
        <w:tc>
          <w:tcPr>
            <w:tcW w:w="1333" w:type="dxa"/>
            <w:shd w:val="clear" w:color="auto" w:fill="E0E0E0"/>
            <w:vAlign w:val="center"/>
          </w:tcPr>
          <w:p>
            <w:pPr>
              <w:jc w:val="center"/>
            </w:pPr>
            <w:r>
              <w:rPr>
                <w:rFonts w:hint="eastAsia"/>
              </w:rPr>
              <w:t>小计</w:t>
            </w:r>
          </w:p>
        </w:tc>
        <w:tc>
          <w:tcPr>
            <w:tcW w:w="3527" w:type="dxa"/>
            <w:shd w:val="clear" w:color="auto" w:fill="E0E0E0"/>
            <w:vAlign w:val="center"/>
          </w:tcPr>
          <w:p>
            <w:pPr>
              <w:jc w:val="center"/>
            </w:pPr>
            <w:r>
              <w:rPr>
                <w:rFonts w:hint="eastAsia"/>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tcW w:w="2161" w:type="dxa"/>
            <w:shd w:val="clear" w:color="auto" w:fill="FFFFFF"/>
            <w:vAlign w:val="center"/>
          </w:tcPr>
          <w:p>
            <w:r>
              <w:rPr>
                <w:rFonts w:hint="eastAsia"/>
              </w:rPr>
              <w:t>是</w:t>
            </w:r>
          </w:p>
        </w:tc>
        <w:tc>
          <w:tcPr>
            <w:tcW w:w="1333" w:type="dxa"/>
            <w:shd w:val="clear" w:color="auto" w:fill="FFFFFF"/>
            <w:vAlign w:val="center"/>
          </w:tcPr>
          <w:p>
            <w:pPr>
              <w:jc w:val="center"/>
            </w:pPr>
            <w:r>
              <w:t>18</w:t>
            </w:r>
          </w:p>
        </w:tc>
        <w:tc>
          <w:tcPr>
            <w:tcW w:w="3527" w:type="dxa"/>
            <w:shd w:val="clear" w:color="auto" w:fill="FFFFFF"/>
            <w:vAlign w:val="center"/>
          </w:tcPr>
          <w:p>
            <w:r>
              <w:drawing>
                <wp:inline distT="0" distB="0" distL="0" distR="0">
                  <wp:extent cx="975995" cy="114300"/>
                  <wp:effectExtent l="0" t="0" r="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66">
                            <a:extLst>
                              <a:ext uri="{28A0092B-C50C-407E-A947-70E740481C1C}">
                                <a14:useLocalDpi xmlns:a14="http://schemas.microsoft.com/office/drawing/2010/main" val="0"/>
                              </a:ext>
                            </a:extLst>
                          </a:blip>
                          <a:srcRect/>
                          <a:stretch>
                            <a:fillRect/>
                          </a:stretch>
                        </pic:blipFill>
                        <pic:spPr>
                          <a:xfrm>
                            <a:off x="0" y="0"/>
                            <a:ext cx="975995" cy="114300"/>
                          </a:xfrm>
                          <a:prstGeom prst="rect">
                            <a:avLst/>
                          </a:prstGeom>
                          <a:noFill/>
                          <a:ln>
                            <a:noFill/>
                          </a:ln>
                        </pic:spPr>
                      </pic:pic>
                    </a:graphicData>
                  </a:graphic>
                </wp:inline>
              </w:drawing>
            </w:r>
            <w:r>
              <w:drawing>
                <wp:inline distT="0" distB="0" distL="0" distR="0">
                  <wp:extent cx="377825" cy="114300"/>
                  <wp:effectExtent l="0" t="0" r="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67">
                            <a:extLst>
                              <a:ext uri="{28A0092B-C50C-407E-A947-70E740481C1C}">
                                <a14:useLocalDpi xmlns:a14="http://schemas.microsoft.com/office/drawing/2010/main" val="0"/>
                              </a:ext>
                            </a:extLst>
                          </a:blip>
                          <a:srcRect/>
                          <a:stretch>
                            <a:fillRect/>
                          </a:stretch>
                        </pic:blipFill>
                        <pic:spPr>
                          <a:xfrm>
                            <a:off x="0" y="0"/>
                            <a:ext cx="377825" cy="114300"/>
                          </a:xfrm>
                          <a:prstGeom prst="rect">
                            <a:avLst/>
                          </a:prstGeom>
                          <a:noFill/>
                          <a:ln>
                            <a:noFill/>
                          </a:ln>
                        </pic:spPr>
                      </pic:pic>
                    </a:graphicData>
                  </a:graphic>
                </wp:inline>
              </w:drawing>
            </w:r>
            <w:r>
              <w:t>72%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161" w:type="dxa"/>
            <w:shd w:val="clear" w:color="auto" w:fill="F9F9F9"/>
            <w:vAlign w:val="center"/>
          </w:tcPr>
          <w:p>
            <w:r>
              <w:rPr>
                <w:rFonts w:hint="eastAsia"/>
              </w:rPr>
              <w:t>否</w:t>
            </w:r>
          </w:p>
        </w:tc>
        <w:tc>
          <w:tcPr>
            <w:tcW w:w="1333" w:type="dxa"/>
            <w:shd w:val="clear" w:color="auto" w:fill="F9F9F9"/>
            <w:vAlign w:val="center"/>
          </w:tcPr>
          <w:p>
            <w:pPr>
              <w:jc w:val="center"/>
            </w:pPr>
            <w:r>
              <w:t>1</w:t>
            </w:r>
          </w:p>
        </w:tc>
        <w:tc>
          <w:tcPr>
            <w:tcW w:w="3527" w:type="dxa"/>
            <w:shd w:val="clear" w:color="auto" w:fill="F9F9F9"/>
            <w:vAlign w:val="center"/>
          </w:tcPr>
          <w:p>
            <w:r>
              <w:drawing>
                <wp:inline distT="0" distB="0" distL="0" distR="0">
                  <wp:extent cx="52705" cy="11430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68">
                            <a:extLst>
                              <a:ext uri="{28A0092B-C50C-407E-A947-70E740481C1C}">
                                <a14:useLocalDpi xmlns:a14="http://schemas.microsoft.com/office/drawing/2010/main" val="0"/>
                              </a:ext>
                            </a:extLst>
                          </a:blip>
                          <a:srcRect/>
                          <a:stretch>
                            <a:fillRect/>
                          </a:stretch>
                        </pic:blipFill>
                        <pic:spPr>
                          <a:xfrm>
                            <a:off x="0" y="0"/>
                            <a:ext cx="52705" cy="114300"/>
                          </a:xfrm>
                          <a:prstGeom prst="rect">
                            <a:avLst/>
                          </a:prstGeom>
                          <a:noFill/>
                          <a:ln>
                            <a:noFill/>
                          </a:ln>
                        </pic:spPr>
                      </pic:pic>
                    </a:graphicData>
                  </a:graphic>
                </wp:inline>
              </w:drawing>
            </w:r>
            <w:r>
              <w:drawing>
                <wp:inline distT="0" distB="0" distL="0" distR="0">
                  <wp:extent cx="1310005" cy="114300"/>
                  <wp:effectExtent l="0" t="0" r="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69">
                            <a:extLst>
                              <a:ext uri="{28A0092B-C50C-407E-A947-70E740481C1C}">
                                <a14:useLocalDpi xmlns:a14="http://schemas.microsoft.com/office/drawing/2010/main" val="0"/>
                              </a:ext>
                            </a:extLst>
                          </a:blip>
                          <a:srcRect/>
                          <a:stretch>
                            <a:fillRect/>
                          </a:stretch>
                        </pic:blipFill>
                        <pic:spPr>
                          <a:xfrm>
                            <a:off x="0" y="0"/>
                            <a:ext cx="1310005" cy="114300"/>
                          </a:xfrm>
                          <a:prstGeom prst="rect">
                            <a:avLst/>
                          </a:prstGeom>
                          <a:noFill/>
                          <a:ln>
                            <a:noFill/>
                          </a:ln>
                        </pic:spPr>
                      </pic:pic>
                    </a:graphicData>
                  </a:graphic>
                </wp:inline>
              </w:drawing>
            </w:r>
            <w:r>
              <w:t>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161" w:type="dxa"/>
            <w:shd w:val="clear" w:color="auto" w:fill="FFFFFF"/>
            <w:vAlign w:val="center"/>
          </w:tcPr>
          <w:p>
            <w:r>
              <w:rPr>
                <w:rFonts w:hint="eastAsia"/>
              </w:rPr>
              <w:t>未修</w:t>
            </w:r>
          </w:p>
        </w:tc>
        <w:tc>
          <w:tcPr>
            <w:tcW w:w="1333" w:type="dxa"/>
            <w:shd w:val="clear" w:color="auto" w:fill="FFFFFF"/>
            <w:vAlign w:val="center"/>
          </w:tcPr>
          <w:p>
            <w:pPr>
              <w:jc w:val="center"/>
            </w:pPr>
            <w:r>
              <w:t>6</w:t>
            </w:r>
          </w:p>
        </w:tc>
        <w:tc>
          <w:tcPr>
            <w:tcW w:w="3527" w:type="dxa"/>
            <w:shd w:val="clear" w:color="auto" w:fill="FFFFFF"/>
            <w:vAlign w:val="center"/>
          </w:tcPr>
          <w:p>
            <w:r>
              <w:drawing>
                <wp:inline distT="0" distB="0" distL="0" distR="0">
                  <wp:extent cx="334010" cy="114300"/>
                  <wp:effectExtent l="0" t="0" r="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70">
                            <a:extLst>
                              <a:ext uri="{28A0092B-C50C-407E-A947-70E740481C1C}">
                                <a14:useLocalDpi xmlns:a14="http://schemas.microsoft.com/office/drawing/2010/main" val="0"/>
                              </a:ext>
                            </a:extLst>
                          </a:blip>
                          <a:srcRect/>
                          <a:stretch>
                            <a:fillRect/>
                          </a:stretch>
                        </pic:blipFill>
                        <pic:spPr>
                          <a:xfrm>
                            <a:off x="0" y="0"/>
                            <a:ext cx="334010" cy="114300"/>
                          </a:xfrm>
                          <a:prstGeom prst="rect">
                            <a:avLst/>
                          </a:prstGeom>
                          <a:noFill/>
                          <a:ln>
                            <a:noFill/>
                          </a:ln>
                        </pic:spPr>
                      </pic:pic>
                    </a:graphicData>
                  </a:graphic>
                </wp:inline>
              </w:drawing>
            </w:r>
            <w:r>
              <w:drawing>
                <wp:inline distT="0" distB="0" distL="0" distR="0">
                  <wp:extent cx="1028700" cy="114300"/>
                  <wp:effectExtent l="0" t="0" r="0" b="0"/>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71">
                            <a:extLst>
                              <a:ext uri="{28A0092B-C50C-407E-A947-70E740481C1C}">
                                <a14:useLocalDpi xmlns:a14="http://schemas.microsoft.com/office/drawing/2010/main" val="0"/>
                              </a:ext>
                            </a:extLst>
                          </a:blip>
                          <a:srcRect/>
                          <a:stretch>
                            <a:fillRect/>
                          </a:stretch>
                        </pic:blipFill>
                        <pic:spPr>
                          <a:xfrm>
                            <a:off x="0" y="0"/>
                            <a:ext cx="1028700" cy="114300"/>
                          </a:xfrm>
                          <a:prstGeom prst="rect">
                            <a:avLst/>
                          </a:prstGeom>
                          <a:noFill/>
                          <a:ln>
                            <a:noFill/>
                          </a:ln>
                        </pic:spPr>
                      </pic:pic>
                    </a:graphicData>
                  </a:graphic>
                </wp:inline>
              </w:drawing>
            </w:r>
            <w:r>
              <w:t>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161" w:type="dxa"/>
            <w:shd w:val="clear" w:color="auto" w:fill="E0E0E0"/>
            <w:vAlign w:val="center"/>
          </w:tcPr>
          <w:p>
            <w:r>
              <w:rPr>
                <w:rFonts w:hint="eastAsia"/>
              </w:rPr>
              <w:t>本题有效填写人次</w:t>
            </w:r>
          </w:p>
        </w:tc>
        <w:tc>
          <w:tcPr>
            <w:tcW w:w="1333" w:type="dxa"/>
            <w:shd w:val="clear" w:color="auto" w:fill="E0E0E0"/>
            <w:vAlign w:val="center"/>
          </w:tcPr>
          <w:p>
            <w:pPr>
              <w:jc w:val="center"/>
            </w:pPr>
            <w:r>
              <w:t>25</w:t>
            </w:r>
          </w:p>
        </w:tc>
        <w:tc>
          <w:tcPr>
            <w:tcW w:w="3527" w:type="dxa"/>
            <w:shd w:val="clear" w:color="auto" w:fill="E0E0E0"/>
            <w:vAlign w:val="center"/>
          </w:tcPr>
          <w:p/>
        </w:tc>
      </w:tr>
    </w:tbl>
    <w:p>
      <w:pPr>
        <w:rPr>
          <w:color w:val="000000"/>
        </w:rPr>
      </w:pPr>
    </w:p>
    <w:p>
      <w:pPr>
        <w:rPr>
          <w:rFonts w:hint="eastAsia" w:ascii="宋体" w:hAnsi="宋体" w:cs="宋体"/>
          <w:color w:val="000000"/>
        </w:rPr>
      </w:pPr>
    </w:p>
    <w:p>
      <w:pPr>
        <w:jc w:val="center"/>
        <w:rPr>
          <w:rFonts w:hint="eastAsia" w:ascii="宋体" w:hAnsi="宋体" w:cs="宋体"/>
        </w:rPr>
      </w:pPr>
      <w:r>
        <w:rPr>
          <w:rFonts w:hint="eastAsia" w:ascii="宋体" w:hAnsi="宋体" w:cs="宋体"/>
          <w:b/>
          <w:sz w:val="24"/>
        </w:rPr>
        <w:t xml:space="preserve">    表5.4.实践实习需要在哪些方面有所改进?   </w:t>
      </w:r>
      <w:r>
        <w:rPr>
          <w:rFonts w:hint="eastAsia" w:ascii="宋体" w:hAnsi="宋体" w:cs="宋体"/>
          <w:color w:val="0066FF"/>
        </w:rPr>
        <w:t>[单选题]</w:t>
      </w:r>
    </w:p>
    <w:p>
      <w:pPr>
        <w:rPr>
          <w:color w:val="0066FF"/>
        </w:rPr>
      </w:pPr>
    </w:p>
    <w:tbl>
      <w:tblPr>
        <w:tblStyle w:val="20"/>
        <w:tblW w:w="7021" w:type="dxa"/>
        <w:tblInd w:w="648"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2160"/>
        <w:gridCol w:w="1334"/>
        <w:gridCol w:w="352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160" w:type="dxa"/>
            <w:shd w:val="clear" w:color="auto" w:fill="E0E0E0"/>
            <w:vAlign w:val="center"/>
          </w:tcPr>
          <w:p>
            <w:pPr>
              <w:jc w:val="center"/>
            </w:pPr>
            <w:r>
              <w:rPr>
                <w:rFonts w:hint="eastAsia"/>
              </w:rPr>
              <w:t>选项</w:t>
            </w:r>
          </w:p>
        </w:tc>
        <w:tc>
          <w:tcPr>
            <w:tcW w:w="1334" w:type="dxa"/>
            <w:shd w:val="clear" w:color="auto" w:fill="E0E0E0"/>
            <w:vAlign w:val="center"/>
          </w:tcPr>
          <w:p>
            <w:pPr>
              <w:jc w:val="center"/>
            </w:pPr>
            <w:r>
              <w:rPr>
                <w:rFonts w:hint="eastAsia"/>
              </w:rPr>
              <w:t>小计</w:t>
            </w:r>
          </w:p>
        </w:tc>
        <w:tc>
          <w:tcPr>
            <w:tcW w:w="3527" w:type="dxa"/>
            <w:shd w:val="clear" w:color="auto" w:fill="E0E0E0"/>
            <w:vAlign w:val="center"/>
          </w:tcPr>
          <w:p>
            <w:pPr>
              <w:jc w:val="center"/>
            </w:pPr>
            <w:r>
              <w:rPr>
                <w:rFonts w:hint="eastAsia"/>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160" w:type="dxa"/>
            <w:shd w:val="clear" w:color="auto" w:fill="FFFFFF"/>
            <w:vAlign w:val="center"/>
          </w:tcPr>
          <w:p>
            <w:r>
              <w:rPr>
                <w:rFonts w:hint="eastAsia"/>
              </w:rPr>
              <w:t>增加实习时间</w:t>
            </w:r>
          </w:p>
        </w:tc>
        <w:tc>
          <w:tcPr>
            <w:tcW w:w="1334" w:type="dxa"/>
            <w:shd w:val="clear" w:color="auto" w:fill="FFFFFF"/>
            <w:vAlign w:val="center"/>
          </w:tcPr>
          <w:p>
            <w:pPr>
              <w:jc w:val="center"/>
            </w:pPr>
            <w:r>
              <w:t>7</w:t>
            </w:r>
          </w:p>
        </w:tc>
        <w:tc>
          <w:tcPr>
            <w:tcW w:w="3527" w:type="dxa"/>
            <w:shd w:val="clear" w:color="auto" w:fill="FFFFFF"/>
            <w:vAlign w:val="center"/>
          </w:tcPr>
          <w:p>
            <w:r>
              <w:drawing>
                <wp:inline distT="0" distB="0" distL="0" distR="0">
                  <wp:extent cx="369570" cy="114300"/>
                  <wp:effectExtent l="0" t="0" r="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72">
                            <a:extLst>
                              <a:ext uri="{28A0092B-C50C-407E-A947-70E740481C1C}">
                                <a14:useLocalDpi xmlns:a14="http://schemas.microsoft.com/office/drawing/2010/main" val="0"/>
                              </a:ext>
                            </a:extLst>
                          </a:blip>
                          <a:srcRect/>
                          <a:stretch>
                            <a:fillRect/>
                          </a:stretch>
                        </pic:blipFill>
                        <pic:spPr>
                          <a:xfrm>
                            <a:off x="0" y="0"/>
                            <a:ext cx="369570" cy="114300"/>
                          </a:xfrm>
                          <a:prstGeom prst="rect">
                            <a:avLst/>
                          </a:prstGeom>
                          <a:noFill/>
                          <a:ln>
                            <a:noFill/>
                          </a:ln>
                        </pic:spPr>
                      </pic:pic>
                    </a:graphicData>
                  </a:graphic>
                </wp:inline>
              </w:drawing>
            </w:r>
            <w:r>
              <w:drawing>
                <wp:inline distT="0" distB="0" distL="0" distR="0">
                  <wp:extent cx="975995" cy="114300"/>
                  <wp:effectExtent l="0" t="0" r="0" b="0"/>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73">
                            <a:extLst>
                              <a:ext uri="{28A0092B-C50C-407E-A947-70E740481C1C}">
                                <a14:useLocalDpi xmlns:a14="http://schemas.microsoft.com/office/drawing/2010/main" val="0"/>
                              </a:ext>
                            </a:extLst>
                          </a:blip>
                          <a:srcRect/>
                          <a:stretch>
                            <a:fillRect/>
                          </a:stretch>
                        </pic:blipFill>
                        <pic:spPr>
                          <a:xfrm>
                            <a:off x="0" y="0"/>
                            <a:ext cx="975995" cy="114300"/>
                          </a:xfrm>
                          <a:prstGeom prst="rect">
                            <a:avLst/>
                          </a:prstGeom>
                          <a:noFill/>
                          <a:ln>
                            <a:noFill/>
                          </a:ln>
                        </pic:spPr>
                      </pic:pic>
                    </a:graphicData>
                  </a:graphic>
                </wp:inline>
              </w:drawing>
            </w:r>
            <w:r>
              <w:t>28%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160" w:type="dxa"/>
            <w:shd w:val="clear" w:color="auto" w:fill="F9F9F9"/>
            <w:vAlign w:val="center"/>
          </w:tcPr>
          <w:p>
            <w:r>
              <w:rPr>
                <w:rFonts w:hint="eastAsia"/>
              </w:rPr>
              <w:t>增加实习单位</w:t>
            </w:r>
          </w:p>
        </w:tc>
        <w:tc>
          <w:tcPr>
            <w:tcW w:w="1334" w:type="dxa"/>
            <w:shd w:val="clear" w:color="auto" w:fill="F9F9F9"/>
            <w:vAlign w:val="center"/>
          </w:tcPr>
          <w:p>
            <w:pPr>
              <w:jc w:val="center"/>
            </w:pPr>
            <w:r>
              <w:t>18</w:t>
            </w:r>
          </w:p>
        </w:tc>
        <w:tc>
          <w:tcPr>
            <w:tcW w:w="3527" w:type="dxa"/>
            <w:shd w:val="clear" w:color="auto" w:fill="F9F9F9"/>
            <w:vAlign w:val="center"/>
          </w:tcPr>
          <w:p>
            <w:r>
              <w:drawing>
                <wp:inline distT="0" distB="0" distL="0" distR="0">
                  <wp:extent cx="975995" cy="114300"/>
                  <wp:effectExtent l="0" t="0" r="0" b="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66">
                            <a:extLst>
                              <a:ext uri="{28A0092B-C50C-407E-A947-70E740481C1C}">
                                <a14:useLocalDpi xmlns:a14="http://schemas.microsoft.com/office/drawing/2010/main" val="0"/>
                              </a:ext>
                            </a:extLst>
                          </a:blip>
                          <a:srcRect/>
                          <a:stretch>
                            <a:fillRect/>
                          </a:stretch>
                        </pic:blipFill>
                        <pic:spPr>
                          <a:xfrm>
                            <a:off x="0" y="0"/>
                            <a:ext cx="975995" cy="114300"/>
                          </a:xfrm>
                          <a:prstGeom prst="rect">
                            <a:avLst/>
                          </a:prstGeom>
                          <a:noFill/>
                          <a:ln>
                            <a:noFill/>
                          </a:ln>
                        </pic:spPr>
                      </pic:pic>
                    </a:graphicData>
                  </a:graphic>
                </wp:inline>
              </w:drawing>
            </w:r>
            <w:r>
              <w:drawing>
                <wp:inline distT="0" distB="0" distL="0" distR="0">
                  <wp:extent cx="377825" cy="114300"/>
                  <wp:effectExtent l="0" t="0" r="0"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67">
                            <a:extLst>
                              <a:ext uri="{28A0092B-C50C-407E-A947-70E740481C1C}">
                                <a14:useLocalDpi xmlns:a14="http://schemas.microsoft.com/office/drawing/2010/main" val="0"/>
                              </a:ext>
                            </a:extLst>
                          </a:blip>
                          <a:srcRect/>
                          <a:stretch>
                            <a:fillRect/>
                          </a:stretch>
                        </pic:blipFill>
                        <pic:spPr>
                          <a:xfrm>
                            <a:off x="0" y="0"/>
                            <a:ext cx="377825" cy="114300"/>
                          </a:xfrm>
                          <a:prstGeom prst="rect">
                            <a:avLst/>
                          </a:prstGeom>
                          <a:noFill/>
                          <a:ln>
                            <a:noFill/>
                          </a:ln>
                        </pic:spPr>
                      </pic:pic>
                    </a:graphicData>
                  </a:graphic>
                </wp:inline>
              </w:drawing>
            </w:r>
            <w:r>
              <w:t>72%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2160" w:type="dxa"/>
            <w:shd w:val="clear" w:color="auto" w:fill="E0E0E0"/>
            <w:vAlign w:val="center"/>
          </w:tcPr>
          <w:p>
            <w:r>
              <w:rPr>
                <w:rFonts w:hint="eastAsia"/>
              </w:rPr>
              <w:t>本题有效填写人次</w:t>
            </w:r>
          </w:p>
        </w:tc>
        <w:tc>
          <w:tcPr>
            <w:tcW w:w="1334" w:type="dxa"/>
            <w:shd w:val="clear" w:color="auto" w:fill="E0E0E0"/>
            <w:vAlign w:val="center"/>
          </w:tcPr>
          <w:p>
            <w:pPr>
              <w:jc w:val="center"/>
            </w:pPr>
            <w:r>
              <w:t>25</w:t>
            </w:r>
          </w:p>
        </w:tc>
        <w:tc>
          <w:tcPr>
            <w:tcW w:w="3527" w:type="dxa"/>
            <w:shd w:val="clear" w:color="auto" w:fill="E0E0E0"/>
            <w:vAlign w:val="center"/>
          </w:tcPr>
          <w:p/>
        </w:tc>
      </w:tr>
    </w:tbl>
    <w:p>
      <w:pPr>
        <w:spacing w:after="312" w:afterLines="100" w:line="360" w:lineRule="auto"/>
        <w:rPr>
          <w:rFonts w:ascii="??_GB2312" w:hAnsi="宋体" w:eastAsia="Times New Roman"/>
          <w:bCs/>
          <w:sz w:val="24"/>
        </w:rPr>
      </w:pPr>
    </w:p>
    <w:p>
      <w:pPr>
        <w:spacing w:after="312" w:afterLines="100" w:line="360" w:lineRule="auto"/>
        <w:ind w:firstLine="480" w:firstLineChars="200"/>
        <w:rPr>
          <w:rFonts w:hint="eastAsia" w:ascii="宋体" w:hAnsi="宋体" w:eastAsia="宋体" w:cs="宋体"/>
          <w:bCs/>
          <w:sz w:val="24"/>
        </w:rPr>
      </w:pPr>
      <w:r>
        <w:rPr>
          <w:rFonts w:hint="eastAsia" w:ascii="宋体" w:hAnsi="宋体" w:eastAsia="宋体" w:cs="宋体"/>
          <w:bCs/>
          <w:sz w:val="24"/>
        </w:rPr>
        <w:t>综合来看，用人单位对我院毕业生满意度较高，达到了92%。根据调研，学院将继续深化人才培养改革，注重学生自主学习能力、吃苦耐劳等品质的培养；强化校企协同，引入企业资源，建立学校和企业联动交叉型人才培养模式，增加毕业生在校期间的社会实践经验,提升毕业生的专业应用能力。</w:t>
      </w:r>
      <w:bookmarkStart w:id="94" w:name="_Toc436645840"/>
      <w:bookmarkStart w:id="95" w:name="_Toc436646461"/>
      <w:bookmarkStart w:id="96" w:name="_Toc436646505"/>
      <w:bookmarkStart w:id="97" w:name="_Toc436645683"/>
      <w:bookmarkStart w:id="98" w:name="_Toc436646442"/>
      <w:bookmarkStart w:id="99" w:name="_Toc436646026"/>
      <w:bookmarkStart w:id="100" w:name="_Toc436746490"/>
      <w:bookmarkStart w:id="101" w:name="_Toc436748548"/>
      <w:bookmarkStart w:id="102" w:name="_Toc436645715"/>
      <w:bookmarkStart w:id="103" w:name="_Toc436646044"/>
    </w:p>
    <w:p>
      <w:pPr>
        <w:spacing w:after="312" w:afterLines="100" w:line="360" w:lineRule="auto"/>
        <w:ind w:firstLine="480" w:firstLineChars="200"/>
        <w:rPr>
          <w:rFonts w:ascii="??_GB2312" w:hAnsi="宋体" w:eastAsia="Times New Roman"/>
          <w:bCs/>
          <w:sz w:val="24"/>
        </w:rPr>
      </w:pPr>
    </w:p>
    <w:p>
      <w:pPr>
        <w:spacing w:after="312" w:afterLines="100" w:line="360" w:lineRule="auto"/>
        <w:ind w:firstLine="480" w:firstLineChars="200"/>
        <w:rPr>
          <w:rFonts w:ascii="??_GB2312" w:hAnsi="宋体" w:eastAsia="Times New Roman"/>
          <w:bCs/>
          <w:sz w:val="24"/>
        </w:rPr>
      </w:pPr>
    </w:p>
    <w:p>
      <w:pPr>
        <w:spacing w:after="312" w:afterLines="100" w:line="360" w:lineRule="auto"/>
        <w:ind w:firstLine="480" w:firstLineChars="200"/>
        <w:rPr>
          <w:rFonts w:ascii="??_GB2312" w:hAnsi="宋体" w:eastAsia="Times New Roman"/>
          <w:bCs/>
          <w:sz w:val="24"/>
        </w:rPr>
      </w:pPr>
    </w:p>
    <w:p>
      <w:pPr>
        <w:spacing w:after="312" w:afterLines="100" w:line="360" w:lineRule="auto"/>
        <w:rPr>
          <w:rFonts w:ascii="??_GB2312" w:hAnsi="宋体" w:eastAsia="Times New Roman"/>
          <w:bCs/>
          <w:sz w:val="24"/>
        </w:rPr>
      </w:pPr>
    </w:p>
    <w:p>
      <w:pPr>
        <w:pStyle w:val="2"/>
        <w:numPr>
          <w:ilvl w:val="0"/>
          <w:numId w:val="4"/>
        </w:numPr>
        <w:jc w:val="center"/>
        <w:rPr>
          <w:rFonts w:ascii="黑体" w:eastAsia="黑体"/>
          <w:color w:val="000000"/>
          <w:sz w:val="32"/>
          <w:szCs w:val="32"/>
        </w:rPr>
      </w:pPr>
      <w:bookmarkStart w:id="104" w:name="_Toc504614063"/>
      <w:r>
        <w:rPr>
          <w:rFonts w:hint="eastAsia" w:ascii="黑体" w:eastAsia="黑体"/>
          <w:color w:val="000000"/>
          <w:sz w:val="32"/>
          <w:szCs w:val="32"/>
        </w:rPr>
        <w:t>：</w:t>
      </w:r>
      <w:bookmarkEnd w:id="94"/>
      <w:bookmarkEnd w:id="95"/>
      <w:bookmarkEnd w:id="96"/>
      <w:bookmarkEnd w:id="97"/>
      <w:bookmarkEnd w:id="98"/>
      <w:bookmarkEnd w:id="99"/>
      <w:bookmarkEnd w:id="100"/>
      <w:bookmarkEnd w:id="101"/>
      <w:bookmarkEnd w:id="102"/>
      <w:bookmarkEnd w:id="103"/>
      <w:r>
        <w:rPr>
          <w:rFonts w:ascii="黑体" w:eastAsia="黑体"/>
          <w:color w:val="000000"/>
          <w:sz w:val="32"/>
          <w:szCs w:val="32"/>
        </w:rPr>
        <w:t>2020</w:t>
      </w:r>
      <w:r>
        <w:rPr>
          <w:rFonts w:hint="eastAsia" w:ascii="黑体" w:eastAsia="黑体"/>
          <w:color w:val="000000"/>
          <w:sz w:val="32"/>
          <w:szCs w:val="32"/>
        </w:rPr>
        <w:t>年毕业生就业工作内容</w:t>
      </w:r>
      <w:bookmarkEnd w:id="104"/>
    </w:p>
    <w:p>
      <w:pPr>
        <w:spacing w:before="312" w:beforeLines="100" w:line="360" w:lineRule="auto"/>
        <w:ind w:firstLine="480" w:firstLineChars="200"/>
        <w:rPr>
          <w:rFonts w:hint="eastAsia" w:ascii="宋体" w:hAnsi="宋体" w:eastAsia="宋体" w:cs="宋体"/>
          <w:bCs/>
          <w:sz w:val="24"/>
        </w:rPr>
      </w:pPr>
      <w:r>
        <w:rPr>
          <w:rFonts w:hint="eastAsia" w:ascii="宋体" w:hAnsi="宋体" w:cs="宋体"/>
          <w:bCs/>
          <w:sz w:val="24"/>
        </w:rPr>
        <w:t>2020</w:t>
      </w:r>
      <w:r>
        <w:rPr>
          <w:rFonts w:hint="eastAsia" w:ascii="宋体" w:hAnsi="宋体" w:eastAsia="宋体" w:cs="宋体"/>
          <w:bCs/>
          <w:sz w:val="24"/>
        </w:rPr>
        <w:t>年学院高度重视毕业生就业工作，认真贯彻执行教育部、自治区有关政策，落实“一把手工程”，以“</w:t>
      </w:r>
      <w:r>
        <w:rPr>
          <w:rFonts w:hint="eastAsia" w:ascii="宋体" w:hAnsi="宋体" w:eastAsia="宋体" w:cs="宋体"/>
          <w:bCs/>
          <w:kern w:val="0"/>
          <w:sz w:val="24"/>
        </w:rPr>
        <w:t>提高毕业生就业意识、拓展毕业生就业市场</w:t>
      </w:r>
      <w:r>
        <w:rPr>
          <w:rFonts w:hint="eastAsia" w:ascii="宋体" w:hAnsi="宋体" w:eastAsia="宋体" w:cs="宋体"/>
          <w:bCs/>
          <w:sz w:val="24"/>
        </w:rPr>
        <w:t>”为总目标，总结学生就业工作的“一五”得失，落实“二五规划”，完善条件保障建设，深入开展就业信息的网络体系建设，高质量完成了</w:t>
      </w:r>
      <w:r>
        <w:rPr>
          <w:rFonts w:hint="eastAsia" w:ascii="宋体" w:hAnsi="宋体" w:cs="宋体"/>
          <w:bCs/>
          <w:sz w:val="24"/>
        </w:rPr>
        <w:t>2020</w:t>
      </w:r>
      <w:r>
        <w:rPr>
          <w:rFonts w:hint="eastAsia" w:ascii="宋体" w:hAnsi="宋体" w:eastAsia="宋体" w:cs="宋体"/>
          <w:bCs/>
          <w:sz w:val="24"/>
        </w:rPr>
        <w:t>届毕业生就业工作。</w:t>
      </w:r>
    </w:p>
    <w:p>
      <w:pPr>
        <w:pStyle w:val="3"/>
        <w:numPr>
          <w:ilvl w:val="0"/>
          <w:numId w:val="15"/>
        </w:numPr>
        <w:tabs>
          <w:tab w:val="left" w:pos="900"/>
          <w:tab w:val="clear" w:pos="1106"/>
        </w:tabs>
        <w:spacing w:line="360" w:lineRule="auto"/>
        <w:ind w:hanging="926"/>
        <w:rPr>
          <w:rFonts w:ascii="宋体" w:hAnsi="宋体" w:eastAsia="宋体"/>
          <w:sz w:val="30"/>
          <w:szCs w:val="30"/>
        </w:rPr>
      </w:pPr>
      <w:bookmarkStart w:id="105" w:name="_Toc504614064"/>
      <w:r>
        <w:rPr>
          <w:rFonts w:hint="eastAsia" w:ascii="宋体" w:hAnsi="宋体" w:eastAsia="宋体"/>
          <w:sz w:val="30"/>
          <w:szCs w:val="30"/>
        </w:rPr>
        <w:t>坚持进一步深化机制、制度建设</w:t>
      </w:r>
      <w:bookmarkEnd w:id="105"/>
    </w:p>
    <w:p>
      <w:pPr>
        <w:numPr>
          <w:ilvl w:val="0"/>
          <w:numId w:val="16"/>
        </w:numPr>
        <w:tabs>
          <w:tab w:val="left" w:pos="720"/>
          <w:tab w:val="clear" w:pos="1320"/>
        </w:tabs>
        <w:ind w:hanging="960"/>
        <w:rPr>
          <w:b/>
          <w:sz w:val="28"/>
          <w:szCs w:val="28"/>
        </w:rPr>
      </w:pPr>
      <w:r>
        <w:rPr>
          <w:rFonts w:hint="eastAsia"/>
          <w:b/>
          <w:sz w:val="28"/>
          <w:szCs w:val="28"/>
        </w:rPr>
        <w:t>完善就业组织体系，层层落实责任</w:t>
      </w:r>
    </w:p>
    <w:p>
      <w:pPr>
        <w:spacing w:before="312" w:beforeLines="100" w:line="360" w:lineRule="auto"/>
        <w:ind w:firstLine="480" w:firstLineChars="200"/>
        <w:rPr>
          <w:rFonts w:ascii="??_GB2312" w:hAnsi="宋体" w:eastAsia="Times New Roman"/>
          <w:bCs/>
          <w:sz w:val="24"/>
        </w:rPr>
      </w:pPr>
      <w:r>
        <w:rPr>
          <w:rFonts w:hint="eastAsia" w:ascii="宋体" w:hAnsi="宋体" w:eastAsia="宋体" w:cs="宋体"/>
          <w:bCs/>
          <w:sz w:val="24"/>
          <w:szCs w:val="22"/>
        </w:rPr>
        <w:t>学院建立了就业工作全员化机制。学院成立了学生就业工作领导小组，由院长担任组长，分管学生工作、教学工作的院领导担任副组长，</w:t>
      </w:r>
      <w:r>
        <w:rPr>
          <w:rFonts w:hint="eastAsia" w:ascii="宋体" w:hAnsi="宋体" w:cs="宋体"/>
          <w:bCs/>
          <w:sz w:val="24"/>
          <w:szCs w:val="22"/>
        </w:rPr>
        <w:t>招生与就业服务中心</w:t>
      </w:r>
      <w:r>
        <w:rPr>
          <w:rFonts w:hint="eastAsia" w:ascii="宋体" w:hAnsi="宋体" w:eastAsia="宋体" w:cs="宋体"/>
          <w:bCs/>
          <w:sz w:val="24"/>
          <w:szCs w:val="22"/>
        </w:rPr>
        <w:t>成员和</w:t>
      </w:r>
      <w:r>
        <w:rPr>
          <w:rFonts w:hint="eastAsia" w:ascii="宋体" w:hAnsi="宋体" w:cs="宋体"/>
          <w:bCs/>
          <w:sz w:val="24"/>
          <w:szCs w:val="22"/>
        </w:rPr>
        <w:t>各二级学院</w:t>
      </w:r>
      <w:r>
        <w:rPr>
          <w:rFonts w:hint="eastAsia" w:ascii="宋体" w:hAnsi="宋体" w:eastAsia="宋体" w:cs="宋体"/>
          <w:bCs/>
          <w:sz w:val="24"/>
          <w:szCs w:val="22"/>
        </w:rPr>
        <w:t>主要负责人担任组员。实行“院—</w:t>
      </w:r>
      <w:r>
        <w:rPr>
          <w:rFonts w:hint="eastAsia" w:ascii="宋体" w:hAnsi="宋体" w:cs="宋体"/>
          <w:bCs/>
          <w:sz w:val="24"/>
          <w:szCs w:val="22"/>
        </w:rPr>
        <w:t>二级学院</w:t>
      </w:r>
      <w:r>
        <w:rPr>
          <w:rFonts w:hint="eastAsia" w:ascii="宋体" w:hAnsi="宋体" w:eastAsia="宋体" w:cs="宋体"/>
          <w:bCs/>
          <w:sz w:val="24"/>
          <w:szCs w:val="22"/>
        </w:rPr>
        <w:t>—班级”三级管理，院</w:t>
      </w:r>
      <w:r>
        <w:rPr>
          <w:rFonts w:hint="eastAsia" w:ascii="宋体" w:hAnsi="宋体" w:cs="宋体"/>
          <w:bCs/>
          <w:sz w:val="24"/>
          <w:szCs w:val="22"/>
        </w:rPr>
        <w:t>招生与就业服务中心</w:t>
      </w:r>
      <w:r>
        <w:rPr>
          <w:rFonts w:hint="eastAsia" w:ascii="宋体" w:hAnsi="宋体" w:eastAsia="宋体" w:cs="宋体"/>
          <w:bCs/>
          <w:sz w:val="24"/>
          <w:szCs w:val="22"/>
        </w:rPr>
        <w:t>统筹指导，各</w:t>
      </w:r>
      <w:r>
        <w:rPr>
          <w:rFonts w:hint="eastAsia" w:ascii="宋体" w:hAnsi="宋体" w:cs="宋体"/>
          <w:bCs/>
          <w:sz w:val="24"/>
          <w:szCs w:val="22"/>
        </w:rPr>
        <w:t>二级学院</w:t>
      </w:r>
      <w:r>
        <w:rPr>
          <w:rFonts w:hint="eastAsia" w:ascii="宋体" w:hAnsi="宋体" w:eastAsia="宋体" w:cs="宋体"/>
          <w:bCs/>
          <w:sz w:val="24"/>
          <w:szCs w:val="22"/>
        </w:rPr>
        <w:t>成立就业工作小组全面推动，大学生就业与职业发展协会协同工作,团总支书记、辅导员、班主任和就业委员共同参与，形成“全员化”工作格局，确保就业工作顺利开展。通过“就业创业工作推进会议”、“动员大会”制定出台了“内蒙古大学创业学院毕业生就业工作实施细则 ”、“内蒙古大学创业学院毕业生就业工作程序”、“内蒙古大学创业学院关于就业困难毕业生就业援助的实施办法”等规章制度，有效地保证了就业工作的规范科学运行。</w:t>
      </w:r>
    </w:p>
    <w:p/>
    <w:p>
      <w:pPr>
        <w:numPr>
          <w:ilvl w:val="0"/>
          <w:numId w:val="16"/>
        </w:numPr>
        <w:tabs>
          <w:tab w:val="left" w:pos="720"/>
          <w:tab w:val="clear" w:pos="1320"/>
        </w:tabs>
        <w:ind w:hanging="960"/>
        <w:rPr>
          <w:b/>
          <w:sz w:val="28"/>
          <w:szCs w:val="28"/>
        </w:rPr>
      </w:pPr>
      <w:r>
        <w:rPr>
          <w:rFonts w:hint="eastAsia"/>
          <w:b/>
          <w:sz w:val="28"/>
          <w:szCs w:val="28"/>
        </w:rPr>
        <w:t>加强就业服务条件建设</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eastAsia="宋体" w:cs="宋体"/>
          <w:bCs/>
          <w:sz w:val="24"/>
          <w:szCs w:val="22"/>
        </w:rPr>
        <w:t>为提升我院就业指导的专业化和科学化水平，加强就业信息管理服务，</w:t>
      </w:r>
      <w:r>
        <w:rPr>
          <w:rFonts w:hint="eastAsia" w:ascii="宋体" w:hAnsi="宋体" w:cs="宋体"/>
          <w:bCs/>
          <w:sz w:val="24"/>
          <w:szCs w:val="22"/>
        </w:rPr>
        <w:t>招生与就业服务中心</w:t>
      </w:r>
      <w:r>
        <w:rPr>
          <w:rFonts w:hint="eastAsia" w:ascii="宋体" w:hAnsi="宋体" w:eastAsia="宋体" w:cs="宋体"/>
          <w:bCs/>
          <w:sz w:val="24"/>
          <w:szCs w:val="22"/>
        </w:rPr>
        <w:t xml:space="preserve">一站式服务大厅与“内蒙古自治区大学网上求职超市”于2016年4月同时启用。另外学院设置了职业咨询室1间，就业信息与资料查阅室1间，面试洽谈室2间，远程面试室1间，宣讲室会议室2间。此外，学院文体训练馆、会议室、多媒体教室、报告厅均可按需使用。学院建设了一支专兼结合的就业指导队伍，专职老师有4人，兼职老师有16人，对就业工作的顺利开展形成了一系列强有力保障。 </w:t>
      </w:r>
    </w:p>
    <w:p>
      <w:pPr>
        <w:spacing w:before="312" w:beforeLines="100" w:line="240" w:lineRule="atLeast"/>
        <w:ind w:firstLine="480" w:firstLineChars="200"/>
        <w:rPr>
          <w:rFonts w:ascii="??_GB2312" w:hAnsi="宋体" w:eastAsia="Times New Roman"/>
          <w:bCs/>
          <w:sz w:val="24"/>
        </w:rPr>
      </w:pPr>
      <w:r>
        <w:rPr>
          <w:rFonts w:ascii="??_GB2312" w:hAnsi="宋体" w:eastAsia="Times New Roman"/>
          <w:sz w:val="24"/>
        </w:rPr>
        <w:drawing>
          <wp:inline distT="0" distB="0" distL="0" distR="0">
            <wp:extent cx="1943100" cy="1591310"/>
            <wp:effectExtent l="0" t="0" r="0" b="0"/>
            <wp:docPr id="54" name="图片 54" descr="1"/>
            <wp:cNvGraphicFramePr/>
            <a:graphic xmlns:a="http://schemas.openxmlformats.org/drawingml/2006/main">
              <a:graphicData uri="http://schemas.openxmlformats.org/drawingml/2006/picture">
                <pic:pic xmlns:pic="http://schemas.openxmlformats.org/drawingml/2006/picture">
                  <pic:nvPicPr>
                    <pic:cNvPr id="54" name="图片 54" descr="1"/>
                    <pic:cNvPicPr/>
                  </pic:nvPicPr>
                  <pic:blipFill>
                    <a:blip r:embed="rId74">
                      <a:extLst>
                        <a:ext uri="{28A0092B-C50C-407E-A947-70E740481C1C}">
                          <a14:useLocalDpi xmlns:a14="http://schemas.microsoft.com/office/drawing/2010/main" val="0"/>
                        </a:ext>
                      </a:extLst>
                    </a:blip>
                    <a:srcRect/>
                    <a:stretch>
                      <a:fillRect/>
                    </a:stretch>
                  </pic:blipFill>
                  <pic:spPr>
                    <a:xfrm>
                      <a:off x="0" y="0"/>
                      <a:ext cx="1943100" cy="1591310"/>
                    </a:xfrm>
                    <a:prstGeom prst="rect">
                      <a:avLst/>
                    </a:prstGeom>
                    <a:noFill/>
                    <a:ln>
                      <a:noFill/>
                    </a:ln>
                  </pic:spPr>
                </pic:pic>
              </a:graphicData>
            </a:graphic>
          </wp:inline>
        </w:drawing>
      </w:r>
      <w:r>
        <w:rPr>
          <w:rFonts w:ascii="??_GB2312" w:hAnsi="宋体" w:eastAsia="Times New Roman"/>
          <w:sz w:val="24"/>
        </w:rPr>
        <w:drawing>
          <wp:inline distT="0" distB="0" distL="0" distR="0">
            <wp:extent cx="1995805" cy="1609090"/>
            <wp:effectExtent l="0" t="0" r="0" b="0"/>
            <wp:docPr id="55" name="图片 55" descr="2"/>
            <wp:cNvGraphicFramePr/>
            <a:graphic xmlns:a="http://schemas.openxmlformats.org/drawingml/2006/main">
              <a:graphicData uri="http://schemas.openxmlformats.org/drawingml/2006/picture">
                <pic:pic xmlns:pic="http://schemas.openxmlformats.org/drawingml/2006/picture">
                  <pic:nvPicPr>
                    <pic:cNvPr id="55" name="图片 55" descr="2"/>
                    <pic:cNvPicPr/>
                  </pic:nvPicPr>
                  <pic:blipFill>
                    <a:blip r:embed="rId75">
                      <a:extLst>
                        <a:ext uri="{28A0092B-C50C-407E-A947-70E740481C1C}">
                          <a14:useLocalDpi xmlns:a14="http://schemas.microsoft.com/office/drawing/2010/main" val="0"/>
                        </a:ext>
                      </a:extLst>
                    </a:blip>
                    <a:srcRect/>
                    <a:stretch>
                      <a:fillRect/>
                    </a:stretch>
                  </pic:blipFill>
                  <pic:spPr>
                    <a:xfrm>
                      <a:off x="0" y="0"/>
                      <a:ext cx="1995805" cy="1609090"/>
                    </a:xfrm>
                    <a:prstGeom prst="rect">
                      <a:avLst/>
                    </a:prstGeom>
                    <a:noFill/>
                    <a:ln>
                      <a:noFill/>
                    </a:ln>
                  </pic:spPr>
                </pic:pic>
              </a:graphicData>
            </a:graphic>
          </wp:inline>
        </w:drawing>
      </w:r>
    </w:p>
    <w:p>
      <w:pPr>
        <w:spacing w:before="312" w:beforeLines="100" w:line="240" w:lineRule="atLeast"/>
        <w:ind w:firstLine="480" w:firstLineChars="200"/>
        <w:rPr>
          <w:rFonts w:ascii="??_GB2312" w:hAnsi="宋体" w:eastAsia="Times New Roman"/>
          <w:bCs/>
          <w:sz w:val="24"/>
        </w:rPr>
      </w:pPr>
      <w:r>
        <w:rPr>
          <w:rFonts w:ascii="??_GB2312" w:hAnsi="宋体" w:eastAsia="Times New Roman"/>
          <w:sz w:val="24"/>
        </w:rPr>
        <w:drawing>
          <wp:inline distT="0" distB="0" distL="0" distR="0">
            <wp:extent cx="1943100" cy="1609090"/>
            <wp:effectExtent l="0" t="0" r="0" b="0"/>
            <wp:docPr id="56" name="图片 56" descr="3"/>
            <wp:cNvGraphicFramePr/>
            <a:graphic xmlns:a="http://schemas.openxmlformats.org/drawingml/2006/main">
              <a:graphicData uri="http://schemas.openxmlformats.org/drawingml/2006/picture">
                <pic:pic xmlns:pic="http://schemas.openxmlformats.org/drawingml/2006/picture">
                  <pic:nvPicPr>
                    <pic:cNvPr id="56" name="图片 56" descr="3"/>
                    <pic:cNvPicPr/>
                  </pic:nvPicPr>
                  <pic:blipFill>
                    <a:blip r:embed="rId76">
                      <a:extLst>
                        <a:ext uri="{28A0092B-C50C-407E-A947-70E740481C1C}">
                          <a14:useLocalDpi xmlns:a14="http://schemas.microsoft.com/office/drawing/2010/main" val="0"/>
                        </a:ext>
                      </a:extLst>
                    </a:blip>
                    <a:srcRect/>
                    <a:stretch>
                      <a:fillRect/>
                    </a:stretch>
                  </pic:blipFill>
                  <pic:spPr>
                    <a:xfrm>
                      <a:off x="0" y="0"/>
                      <a:ext cx="1943100" cy="1609090"/>
                    </a:xfrm>
                    <a:prstGeom prst="rect">
                      <a:avLst/>
                    </a:prstGeom>
                    <a:noFill/>
                    <a:ln>
                      <a:noFill/>
                    </a:ln>
                  </pic:spPr>
                </pic:pic>
              </a:graphicData>
            </a:graphic>
          </wp:inline>
        </w:drawing>
      </w:r>
      <w:r>
        <w:rPr>
          <w:rFonts w:ascii="??_GB2312" w:hAnsi="宋体" w:eastAsia="Times New Roman"/>
          <w:sz w:val="24"/>
        </w:rPr>
        <w:drawing>
          <wp:inline distT="0" distB="0" distL="0" distR="0">
            <wp:extent cx="2066290" cy="1635125"/>
            <wp:effectExtent l="0" t="0" r="0" b="0"/>
            <wp:docPr id="57" name="图片 57" descr="4"/>
            <wp:cNvGraphicFramePr/>
            <a:graphic xmlns:a="http://schemas.openxmlformats.org/drawingml/2006/main">
              <a:graphicData uri="http://schemas.openxmlformats.org/drawingml/2006/picture">
                <pic:pic xmlns:pic="http://schemas.openxmlformats.org/drawingml/2006/picture">
                  <pic:nvPicPr>
                    <pic:cNvPr id="57" name="图片 57" descr="4"/>
                    <pic:cNvPicPr/>
                  </pic:nvPicPr>
                  <pic:blipFill>
                    <a:blip r:embed="rId77">
                      <a:extLst>
                        <a:ext uri="{28A0092B-C50C-407E-A947-70E740481C1C}">
                          <a14:useLocalDpi xmlns:a14="http://schemas.microsoft.com/office/drawing/2010/main" val="0"/>
                        </a:ext>
                      </a:extLst>
                    </a:blip>
                    <a:srcRect/>
                    <a:stretch>
                      <a:fillRect/>
                    </a:stretch>
                  </pic:blipFill>
                  <pic:spPr>
                    <a:xfrm>
                      <a:off x="0" y="0"/>
                      <a:ext cx="2066290" cy="1635125"/>
                    </a:xfrm>
                    <a:prstGeom prst="rect">
                      <a:avLst/>
                    </a:prstGeom>
                    <a:noFill/>
                    <a:ln>
                      <a:noFill/>
                    </a:ln>
                  </pic:spPr>
                </pic:pic>
              </a:graphicData>
            </a:graphic>
          </wp:inline>
        </w:drawing>
      </w:r>
    </w:p>
    <w:p>
      <w:pPr>
        <w:spacing w:before="312" w:beforeLines="100" w:line="360" w:lineRule="auto"/>
        <w:ind w:firstLine="420" w:firstLineChars="200"/>
        <w:jc w:val="center"/>
        <w:rPr>
          <w:rFonts w:ascii="??_GB2312" w:hAnsi="宋体" w:eastAsia="Times New Roman"/>
          <w:bCs/>
          <w:szCs w:val="21"/>
        </w:rPr>
      </w:pPr>
      <w:r>
        <w:rPr>
          <w:rFonts w:ascii="??_GB2312" w:hAnsi="宋体" w:eastAsia="Times New Roman"/>
          <w:bCs/>
          <w:szCs w:val="21"/>
        </w:rPr>
        <w:t>图6.1一站式服务大厅和求职超市</w:t>
      </w:r>
    </w:p>
    <w:p/>
    <w:p>
      <w:pPr>
        <w:numPr>
          <w:ilvl w:val="0"/>
          <w:numId w:val="16"/>
        </w:numPr>
        <w:tabs>
          <w:tab w:val="left" w:pos="720"/>
          <w:tab w:val="clear" w:pos="1320"/>
        </w:tabs>
        <w:ind w:hanging="960"/>
        <w:rPr>
          <w:b/>
          <w:sz w:val="28"/>
          <w:szCs w:val="28"/>
        </w:rPr>
      </w:pPr>
      <w:r>
        <w:rPr>
          <w:rFonts w:hint="eastAsia"/>
          <w:b/>
          <w:sz w:val="28"/>
          <w:szCs w:val="28"/>
        </w:rPr>
        <w:t>建立就业困难学生精准帮扶机制</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eastAsia="宋体" w:cs="宋体"/>
          <w:bCs/>
          <w:sz w:val="24"/>
          <w:szCs w:val="22"/>
        </w:rPr>
        <w:t>学院根据《教育部办公厅关于开展全国普通高校毕业生精准就业服务工作的通知》【教学厅函〔2016〕14号】要求，实施“家庭经济困难毕业生就业援助工程”，对就业困难毕业生实施动态跟踪与管理，建立精准帮扶机制。据《内蒙古大学创业学院就业困难毕业生信息台账》显示，我院</w:t>
      </w:r>
      <w:r>
        <w:rPr>
          <w:rFonts w:hint="eastAsia" w:ascii="宋体" w:hAnsi="宋体" w:cs="宋体"/>
          <w:bCs/>
          <w:sz w:val="24"/>
          <w:szCs w:val="22"/>
        </w:rPr>
        <w:t>2020</w:t>
      </w:r>
      <w:r>
        <w:rPr>
          <w:rFonts w:hint="eastAsia" w:ascii="宋体" w:hAnsi="宋体" w:eastAsia="宋体" w:cs="宋体"/>
          <w:bCs/>
          <w:sz w:val="24"/>
          <w:szCs w:val="22"/>
        </w:rPr>
        <w:t xml:space="preserve">届共有就业困难毕业生127人，由就业工作人员通过“就业困难毕业生谈话登记表”，面对面谈话，对其实行“一对一”实名动态援助。实行宣讲会签到、提供职业咨询、有针对性地重点发布招聘信息等办法，通过加强就业指导、心理疏导、优先推荐就业单位等措施对家庭经济困难、心理困难和身体困难毕业生群体开展援助工作。调查统计应届毕业生就业意向，形成数据库，通过数据分析一方面收集、统计和整理学生求职动态，了解学生求职意向和就业观念，另一方面期待从源头上关注引导毕业生的价值观以及就业道路的选择。   </w:t>
      </w:r>
    </w:p>
    <w:p>
      <w:pPr>
        <w:numPr>
          <w:ilvl w:val="0"/>
          <w:numId w:val="16"/>
        </w:numPr>
        <w:tabs>
          <w:tab w:val="left" w:pos="720"/>
          <w:tab w:val="clear" w:pos="1320"/>
        </w:tabs>
        <w:ind w:hanging="960"/>
        <w:rPr>
          <w:b/>
          <w:sz w:val="28"/>
          <w:szCs w:val="28"/>
        </w:rPr>
      </w:pPr>
      <w:r>
        <w:rPr>
          <w:rFonts w:hint="eastAsia"/>
          <w:b/>
          <w:sz w:val="28"/>
          <w:szCs w:val="28"/>
        </w:rPr>
        <w:t>加强业务培训</w:t>
      </w:r>
      <w:r>
        <w:rPr>
          <w:b/>
          <w:sz w:val="28"/>
          <w:szCs w:val="28"/>
        </w:rPr>
        <w:t>,</w:t>
      </w:r>
      <w:r>
        <w:rPr>
          <w:rFonts w:hint="eastAsia"/>
          <w:b/>
          <w:sz w:val="28"/>
          <w:szCs w:val="28"/>
        </w:rPr>
        <w:t>提升就业工作人员水平</w:t>
      </w:r>
    </w:p>
    <w:p>
      <w:pPr>
        <w:spacing w:before="312" w:beforeLines="100" w:line="360" w:lineRule="auto"/>
        <w:ind w:firstLine="480" w:firstLineChars="200"/>
        <w:rPr>
          <w:rFonts w:hint="eastAsia" w:ascii="宋体" w:hAnsi="宋体" w:cs="宋体"/>
          <w:bCs/>
          <w:sz w:val="24"/>
          <w:szCs w:val="22"/>
        </w:rPr>
      </w:pPr>
      <w:r>
        <w:rPr>
          <w:rFonts w:hint="eastAsia" w:ascii="宋体" w:hAnsi="宋体" w:eastAsia="宋体" w:cs="宋体"/>
          <w:bCs/>
          <w:sz w:val="24"/>
          <w:szCs w:val="22"/>
        </w:rPr>
        <w:t>为更好地做好毕业生就业工作，提升全体就业工作人员的服务、指导和管理能力，切实提高毕业生综合素质，学院</w:t>
      </w:r>
      <w:r>
        <w:rPr>
          <w:rFonts w:hint="eastAsia" w:ascii="宋体" w:hAnsi="宋体" w:cs="宋体"/>
          <w:bCs/>
          <w:sz w:val="24"/>
          <w:szCs w:val="22"/>
        </w:rPr>
        <w:t>招生与就业服务中心</w:t>
      </w:r>
      <w:r>
        <w:rPr>
          <w:rFonts w:hint="eastAsia" w:ascii="宋体" w:hAnsi="宋体" w:eastAsia="宋体" w:cs="宋体"/>
          <w:bCs/>
          <w:sz w:val="24"/>
          <w:szCs w:val="22"/>
        </w:rPr>
        <w:t>针对各</w:t>
      </w:r>
      <w:r>
        <w:rPr>
          <w:rFonts w:hint="eastAsia" w:ascii="宋体" w:hAnsi="宋体" w:cs="宋体"/>
          <w:bCs/>
          <w:sz w:val="24"/>
          <w:szCs w:val="22"/>
        </w:rPr>
        <w:t>二级学院</w:t>
      </w:r>
      <w:r>
        <w:rPr>
          <w:rFonts w:hint="eastAsia" w:ascii="宋体" w:hAnsi="宋体" w:eastAsia="宋体" w:cs="宋体"/>
          <w:bCs/>
          <w:sz w:val="24"/>
          <w:szCs w:val="22"/>
        </w:rPr>
        <w:t>团总支、辅导员以及毕业班班主任等就业工作人员，分别召开了就业</w:t>
      </w:r>
      <w:r>
        <w:rPr>
          <w:rFonts w:hint="eastAsia" w:ascii="宋体" w:hAnsi="宋体" w:cs="宋体"/>
          <w:bCs/>
          <w:sz w:val="24"/>
          <w:szCs w:val="22"/>
        </w:rPr>
        <w:t>推进</w:t>
      </w:r>
      <w:r>
        <w:rPr>
          <w:rFonts w:hint="eastAsia" w:ascii="宋体" w:hAnsi="宋体" w:eastAsia="宋体" w:cs="宋体"/>
          <w:bCs/>
          <w:sz w:val="24"/>
          <w:szCs w:val="22"/>
        </w:rPr>
        <w:t>会议。会议把就业进展流程分成高校毕业生就业信息工作流程、毕业生生源审核、毕业生就业手续办理、高校毕业生就业方案管理、毕业生监测系统数据管理等几个步骤，对就业工作人员进行了细化、专业化培训。业务培训有助于各就业工作人员加深对就业工作的认识，熟悉毕业生就业手续等相关内容，督促其定期与毕业生交流沟通，辅导毕业生顺利就业，从而提升毕业生就业质量。</w:t>
      </w:r>
    </w:p>
    <w:p>
      <w:pPr>
        <w:pStyle w:val="3"/>
        <w:numPr>
          <w:ilvl w:val="0"/>
          <w:numId w:val="15"/>
        </w:numPr>
        <w:spacing w:line="360" w:lineRule="auto"/>
        <w:ind w:hanging="926"/>
        <w:rPr>
          <w:rFonts w:ascii="宋体" w:hAnsi="宋体" w:eastAsia="宋体"/>
          <w:sz w:val="30"/>
          <w:szCs w:val="30"/>
        </w:rPr>
      </w:pPr>
      <w:bookmarkStart w:id="106" w:name="_Toc436748528"/>
      <w:bookmarkStart w:id="107" w:name="_Toc504614065"/>
      <w:r>
        <w:rPr>
          <w:rFonts w:hint="eastAsia" w:ascii="宋体" w:hAnsi="宋体" w:eastAsia="宋体"/>
          <w:sz w:val="30"/>
          <w:szCs w:val="30"/>
        </w:rPr>
        <w:t>坚持完善就业指导</w:t>
      </w:r>
      <w:bookmarkEnd w:id="106"/>
      <w:r>
        <w:rPr>
          <w:rFonts w:hint="eastAsia" w:ascii="宋体" w:hAnsi="宋体" w:eastAsia="宋体"/>
          <w:sz w:val="30"/>
          <w:szCs w:val="30"/>
        </w:rPr>
        <w:t>体系建设</w:t>
      </w:r>
      <w:bookmarkEnd w:id="107"/>
    </w:p>
    <w:p>
      <w:pPr>
        <w:spacing w:before="312" w:beforeLines="100" w:line="360" w:lineRule="auto"/>
        <w:ind w:firstLine="480" w:firstLineChars="200"/>
        <w:rPr>
          <w:rFonts w:hint="eastAsia" w:ascii="宋体" w:hAnsi="宋体" w:cs="宋体"/>
          <w:bCs/>
          <w:sz w:val="24"/>
          <w:szCs w:val="22"/>
        </w:rPr>
      </w:pPr>
      <w:r>
        <w:rPr>
          <w:rFonts w:hint="eastAsia" w:ascii="宋体" w:hAnsi="宋体" w:eastAsia="宋体" w:cs="宋体"/>
          <w:bCs/>
          <w:sz w:val="24"/>
          <w:szCs w:val="22"/>
        </w:rPr>
        <w:t>坚持完善以《大学生职业发展与规划》和《大学生职业发展与规划》必修课为主线，以“新生入学教育”、“大学生职业生涯规划节”等职业生涯规划活动为补充的“三位一体”就业指导体系。</w:t>
      </w:r>
    </w:p>
    <w:p>
      <w:pPr>
        <w:pStyle w:val="4"/>
        <w:numPr>
          <w:ilvl w:val="1"/>
          <w:numId w:val="15"/>
        </w:numPr>
        <w:spacing w:line="360" w:lineRule="auto"/>
        <w:rPr>
          <w:rFonts w:ascii="宋体"/>
          <w:sz w:val="28"/>
          <w:szCs w:val="28"/>
        </w:rPr>
      </w:pPr>
      <w:r>
        <w:rPr>
          <w:rFonts w:hint="eastAsia" w:ascii="宋体" w:hAnsi="宋体"/>
          <w:sz w:val="28"/>
          <w:szCs w:val="28"/>
        </w:rPr>
        <w:t>实施就业相关课程教学改革</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eastAsia="宋体" w:cs="宋体"/>
          <w:bCs/>
          <w:sz w:val="24"/>
          <w:szCs w:val="22"/>
        </w:rPr>
        <w:t>在学生就业工作的“第二个五年规划”开局之年，着手实施《大学生职业发展与规划》与《大学生职业发展与就业</w:t>
      </w:r>
      <w:r>
        <w:rPr>
          <w:rFonts w:hint="eastAsia" w:ascii="宋体" w:hAnsi="宋体" w:eastAsia="宋体" w:cs="宋体"/>
          <w:bCs/>
          <w:sz w:val="24"/>
          <w:szCs w:val="22"/>
          <w:lang w:val="en-US" w:eastAsia="zh-Hans"/>
        </w:rPr>
        <w:t>指</w:t>
      </w:r>
      <w:r>
        <w:rPr>
          <w:rFonts w:hint="eastAsia" w:ascii="宋体" w:hAnsi="宋体" w:eastAsia="宋体" w:cs="宋体"/>
          <w:bCs/>
          <w:sz w:val="24"/>
          <w:szCs w:val="22"/>
        </w:rPr>
        <w:t>导》等就业指导相关课程建设改革。实行分段式教学，其中一年级开设课《大学生职业发展与规划》，四年级开设《大学生职业发展与规划》课程。着重课程质量建设，从课程内容到教学教法，以及教师素养逐一进行提升和改善。组织教师集体备课、教学示范课，互动交流，丰富教学手段，定期参加教育部门开展的教师培训。</w:t>
      </w:r>
    </w:p>
    <w:p>
      <w:pPr>
        <w:pStyle w:val="4"/>
        <w:numPr>
          <w:ilvl w:val="1"/>
          <w:numId w:val="15"/>
        </w:numPr>
        <w:spacing w:line="360" w:lineRule="auto"/>
        <w:rPr>
          <w:rFonts w:ascii="宋体"/>
          <w:sz w:val="28"/>
          <w:szCs w:val="28"/>
        </w:rPr>
      </w:pPr>
      <w:r>
        <w:rPr>
          <w:rFonts w:hint="eastAsia" w:ascii="宋体" w:hAnsi="宋体"/>
          <w:sz w:val="28"/>
          <w:szCs w:val="28"/>
        </w:rPr>
        <w:t>打造立体化就业活动平台</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eastAsia="宋体" w:cs="宋体"/>
          <w:bCs/>
          <w:sz w:val="24"/>
          <w:szCs w:val="22"/>
        </w:rPr>
        <w:t>首先，竞赛活动全程化：从</w:t>
      </w:r>
      <w:r>
        <w:rPr>
          <w:rFonts w:hint="eastAsia" w:ascii="宋体" w:hAnsi="宋体" w:cs="宋体"/>
          <w:bCs/>
          <w:sz w:val="24"/>
          <w:szCs w:val="22"/>
        </w:rPr>
        <w:t>2019</w:t>
      </w:r>
      <w:r>
        <w:rPr>
          <w:rFonts w:hint="eastAsia" w:ascii="宋体" w:hAnsi="宋体" w:eastAsia="宋体" w:cs="宋体"/>
          <w:bCs/>
          <w:sz w:val="24"/>
          <w:szCs w:val="22"/>
        </w:rPr>
        <w:t>年3月到年底，</w:t>
      </w:r>
      <w:r>
        <w:rPr>
          <w:rFonts w:hint="eastAsia" w:ascii="宋体" w:hAnsi="宋体" w:cs="宋体"/>
          <w:bCs/>
          <w:sz w:val="24"/>
          <w:szCs w:val="22"/>
        </w:rPr>
        <w:t>招生与就业服务中心</w:t>
      </w:r>
      <w:r>
        <w:rPr>
          <w:rFonts w:hint="eastAsia" w:ascii="宋体" w:hAnsi="宋体" w:eastAsia="宋体" w:cs="宋体"/>
          <w:bCs/>
          <w:sz w:val="24"/>
          <w:szCs w:val="22"/>
        </w:rPr>
        <w:t>主办、大学生就业与职业发展学会承办了一系列活动，让毕业生乃至在校生，通过竞赛的形式了解就业与创业，让学生从实践中学，从竞赛中学。具体活动如：</w:t>
      </w:r>
      <w:r>
        <w:rPr>
          <w:rFonts w:hint="eastAsia" w:ascii="宋体" w:hAnsi="宋体" w:cs="宋体"/>
          <w:bCs/>
          <w:sz w:val="24"/>
          <w:szCs w:val="22"/>
        </w:rPr>
        <w:t>2020</w:t>
      </w:r>
      <w:r>
        <w:rPr>
          <w:rFonts w:hint="eastAsia" w:ascii="宋体" w:hAnsi="宋体" w:eastAsia="宋体" w:cs="宋体"/>
          <w:bCs/>
          <w:sz w:val="24"/>
          <w:szCs w:val="22"/>
        </w:rPr>
        <w:t>年举办就业创业类、知识类讲座，如“大学生礼仪形象讲座、大学生公务员及四六级考试讲座等；此外，成功举办了大学生创业大赛、大学生简历设计大赛、女大学生礼仪形象大赛、公务员考试大赛、模拟招聘大赛</w:t>
      </w:r>
      <w:r>
        <w:rPr>
          <w:rFonts w:hint="eastAsia" w:ascii="宋体" w:hAnsi="宋体" w:cs="宋体"/>
          <w:bCs/>
          <w:sz w:val="24"/>
          <w:szCs w:val="22"/>
        </w:rPr>
        <w:t>、就业创业法律知识普及大赛、“内蒙古农信杯”大学生职业生涯规划校赛</w:t>
      </w:r>
      <w:r>
        <w:rPr>
          <w:rFonts w:hint="eastAsia" w:ascii="宋体" w:hAnsi="宋体" w:eastAsia="宋体" w:cs="宋体"/>
          <w:bCs/>
          <w:sz w:val="24"/>
          <w:szCs w:val="22"/>
        </w:rPr>
        <w:t>等大型活动，通过举办讲座和活动，一定程度上提高了毕业生的就业意识和就业能力。</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eastAsia="宋体" w:cs="宋体"/>
          <w:bCs/>
          <w:sz w:val="24"/>
          <w:szCs w:val="22"/>
        </w:rPr>
        <w:t>其次职业生涯规划指导全程化：为进一步加强学生的职业生涯规划意识，全面提高学生的就业竞争力，结合我院学生特点，通过打造品牌职业生涯规划活动，让学生更早的树立职业意识、明确职业规划，突破职业生涯教育的时空壁垒，有效地提高毕业生就业意识和就业能力。例如以班会、</w:t>
      </w:r>
      <w:r>
        <w:rPr>
          <w:rFonts w:hint="eastAsia" w:ascii="宋体" w:hAnsi="宋体" w:cs="宋体"/>
          <w:bCs/>
          <w:sz w:val="24"/>
          <w:szCs w:val="22"/>
        </w:rPr>
        <w:t>二级学院</w:t>
      </w:r>
      <w:r>
        <w:rPr>
          <w:rFonts w:hint="eastAsia" w:ascii="宋体" w:hAnsi="宋体" w:eastAsia="宋体" w:cs="宋体"/>
          <w:bCs/>
          <w:sz w:val="24"/>
          <w:szCs w:val="22"/>
        </w:rPr>
        <w:t>会议、毕业生座谈会、设立就业服务月专题活动、邀请专家进行讲座等多种形式，帮助毕业生了解与掌握求职礼仪、面试技巧、职业技能、就业流程等就业技能。举办了“就业咨询月‘现场咨询活动’”，开展“我的未来我做主—职业生涯规划”系列讲座等校园就业文化活动。</w:t>
      </w:r>
    </w:p>
    <w:p>
      <w:pPr>
        <w:spacing w:before="312" w:beforeLines="100" w:line="360" w:lineRule="auto"/>
        <w:ind w:firstLine="480" w:firstLineChars="200"/>
        <w:rPr>
          <w:rFonts w:hint="eastAsia" w:ascii="宋体" w:hAnsi="宋体" w:cs="宋体"/>
          <w:bCs/>
          <w:sz w:val="24"/>
          <w:szCs w:val="22"/>
        </w:rPr>
      </w:pPr>
      <w:r>
        <w:rPr>
          <w:rFonts w:hint="eastAsia" w:ascii="宋体" w:hAnsi="宋体" w:cs="宋体"/>
          <w:bCs/>
          <w:sz w:val="24"/>
          <w:szCs w:val="22"/>
        </w:rPr>
        <w:t>招生与就业学</w:t>
      </w:r>
      <w:r>
        <w:rPr>
          <w:rFonts w:hint="eastAsia" w:ascii="宋体" w:hAnsi="宋体" w:eastAsia="宋体" w:cs="宋体"/>
          <w:bCs/>
          <w:sz w:val="24"/>
          <w:szCs w:val="22"/>
        </w:rPr>
        <w:t>会</w:t>
      </w:r>
      <w:r>
        <w:rPr>
          <w:rFonts w:hint="eastAsia" w:ascii="宋体" w:hAnsi="宋体" w:cs="宋体"/>
          <w:bCs/>
          <w:sz w:val="24"/>
          <w:szCs w:val="22"/>
        </w:rPr>
        <w:t>、创院青春访谈协会</w:t>
      </w:r>
      <w:r>
        <w:rPr>
          <w:rFonts w:hint="eastAsia" w:ascii="宋体" w:hAnsi="宋体" w:eastAsia="宋体" w:cs="宋体"/>
          <w:bCs/>
          <w:sz w:val="24"/>
          <w:szCs w:val="22"/>
        </w:rPr>
        <w:t>协同工作全程化：</w:t>
      </w:r>
      <w:r>
        <w:rPr>
          <w:rFonts w:hint="eastAsia" w:ascii="宋体" w:hAnsi="宋体" w:cs="宋体"/>
          <w:bCs/>
          <w:sz w:val="24"/>
          <w:szCs w:val="22"/>
        </w:rPr>
        <w:t>招生与就业学会</w:t>
      </w:r>
      <w:r>
        <w:rPr>
          <w:rFonts w:hint="eastAsia" w:ascii="宋体" w:hAnsi="宋体" w:eastAsia="宋体" w:cs="宋体"/>
          <w:bCs/>
          <w:sz w:val="24"/>
          <w:szCs w:val="22"/>
        </w:rPr>
        <w:t>是我院除了学生会以外的人数最多的学生</w:t>
      </w:r>
      <w:r>
        <w:rPr>
          <w:rFonts w:hint="eastAsia" w:ascii="宋体" w:hAnsi="宋体" w:cs="宋体"/>
          <w:bCs/>
          <w:sz w:val="24"/>
          <w:szCs w:val="22"/>
        </w:rPr>
        <w:t>组织</w:t>
      </w:r>
      <w:r>
        <w:rPr>
          <w:rFonts w:hint="eastAsia" w:ascii="宋体" w:hAnsi="宋体" w:eastAsia="宋体" w:cs="宋体"/>
          <w:bCs/>
          <w:sz w:val="24"/>
          <w:szCs w:val="22"/>
        </w:rPr>
        <w:t>，主要负责协同</w:t>
      </w:r>
      <w:r>
        <w:rPr>
          <w:rFonts w:hint="eastAsia" w:ascii="宋体" w:hAnsi="宋体" w:cs="宋体"/>
          <w:bCs/>
          <w:sz w:val="24"/>
          <w:szCs w:val="22"/>
        </w:rPr>
        <w:t>招生与就业服务中心</w:t>
      </w:r>
      <w:r>
        <w:rPr>
          <w:rFonts w:hint="eastAsia" w:ascii="宋体" w:hAnsi="宋体" w:eastAsia="宋体" w:cs="宋体"/>
          <w:bCs/>
          <w:sz w:val="24"/>
          <w:szCs w:val="22"/>
        </w:rPr>
        <w:t>老师进行就业管理、就业指导与就业市场方面的工作，协办各就业创业活动等。本年度为了进一步优化学生就业工作人员构架，更好的服务毕业生，学院就业指导中心对</w:t>
      </w:r>
      <w:r>
        <w:rPr>
          <w:rFonts w:hint="eastAsia" w:ascii="宋体" w:hAnsi="宋体" w:cs="宋体"/>
          <w:bCs/>
          <w:sz w:val="24"/>
          <w:szCs w:val="22"/>
        </w:rPr>
        <w:t>招生与就业学会</w:t>
      </w:r>
      <w:r>
        <w:rPr>
          <w:rFonts w:hint="eastAsia" w:ascii="宋体" w:hAnsi="宋体" w:eastAsia="宋体" w:cs="宋体"/>
          <w:bCs/>
          <w:sz w:val="24"/>
          <w:szCs w:val="22"/>
        </w:rPr>
        <w:t>进行了职能整合与创新，比如设立新媒体中心，负责学院就业信息平台的维护和管理；设立创新创业部，负责辅助老师创业培训报名及其他创新创业事宜</w:t>
      </w:r>
      <w:r>
        <w:rPr>
          <w:rFonts w:hint="eastAsia" w:ascii="宋体" w:hAnsi="宋体" w:cs="宋体"/>
          <w:bCs/>
          <w:sz w:val="24"/>
          <w:szCs w:val="22"/>
        </w:rPr>
        <w:t>。创院青春访谈协会</w:t>
      </w:r>
      <w:r>
        <w:rPr>
          <w:rFonts w:hint="eastAsia" w:ascii="宋体" w:hAnsi="宋体" w:eastAsia="宋体" w:cs="宋体"/>
          <w:bCs/>
          <w:sz w:val="24"/>
          <w:szCs w:val="22"/>
        </w:rPr>
        <w:t>制作拍摄品牌访谈节目，例如</w:t>
      </w:r>
      <w:r>
        <w:rPr>
          <w:rFonts w:hint="eastAsia" w:ascii="宋体" w:hAnsi="宋体" w:cs="宋体"/>
          <w:bCs/>
          <w:sz w:val="24"/>
          <w:szCs w:val="22"/>
        </w:rPr>
        <w:t>2020</w:t>
      </w:r>
      <w:r>
        <w:rPr>
          <w:rFonts w:hint="eastAsia" w:ascii="宋体" w:hAnsi="宋体" w:eastAsia="宋体" w:cs="宋体"/>
          <w:bCs/>
          <w:sz w:val="24"/>
          <w:szCs w:val="22"/>
        </w:rPr>
        <w:t>年制作的“创院青春”系列</w:t>
      </w:r>
      <w:r>
        <w:rPr>
          <w:rFonts w:hint="eastAsia" w:ascii="宋体" w:hAnsi="宋体" w:cs="宋体"/>
          <w:bCs/>
          <w:sz w:val="24"/>
          <w:szCs w:val="22"/>
        </w:rPr>
        <w:t>抖音</w:t>
      </w:r>
      <w:r>
        <w:rPr>
          <w:rFonts w:hint="eastAsia" w:ascii="宋体" w:hAnsi="宋体" w:eastAsia="宋体" w:cs="宋体"/>
          <w:bCs/>
          <w:sz w:val="24"/>
          <w:szCs w:val="22"/>
        </w:rPr>
        <w:t>，访谈范围包括了兼职学生、应征入伍毕业生、创业毕业生等各个就业渠道的毕业生。学院把就业委员重新纳入学会管理，使其发挥应有效用。</w:t>
      </w:r>
    </w:p>
    <w:p>
      <w:pPr>
        <w:pStyle w:val="4"/>
        <w:numPr>
          <w:ilvl w:val="1"/>
          <w:numId w:val="15"/>
        </w:numPr>
        <w:spacing w:line="360" w:lineRule="auto"/>
        <w:rPr>
          <w:rFonts w:ascii="宋体"/>
          <w:sz w:val="28"/>
          <w:szCs w:val="28"/>
        </w:rPr>
      </w:pPr>
      <w:r>
        <w:rPr>
          <w:rFonts w:hint="eastAsia" w:ascii="宋体"/>
          <w:sz w:val="28"/>
          <w:szCs w:val="28"/>
        </w:rPr>
        <w:t>咨询机制精细化、常态化</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eastAsia="宋体" w:cs="宋体"/>
          <w:bCs/>
          <w:sz w:val="24"/>
          <w:szCs w:val="22"/>
        </w:rPr>
        <w:t>为帮助学生更好的了解自我和职业情况，做好自己的职业生涯规划，</w:t>
      </w:r>
      <w:r>
        <w:rPr>
          <w:rFonts w:hint="eastAsia" w:ascii="宋体" w:hAnsi="宋体" w:cs="宋体"/>
          <w:bCs/>
          <w:sz w:val="24"/>
          <w:szCs w:val="22"/>
        </w:rPr>
        <w:t>招生与就业服务中心</w:t>
      </w:r>
      <w:r>
        <w:rPr>
          <w:rFonts w:hint="eastAsia" w:ascii="宋体" w:hAnsi="宋体" w:eastAsia="宋体" w:cs="宋体"/>
          <w:bCs/>
          <w:sz w:val="24"/>
          <w:szCs w:val="22"/>
        </w:rPr>
        <w:t>形成了“中心</w:t>
      </w:r>
      <w:r>
        <w:rPr>
          <w:rFonts w:hint="eastAsia" w:ascii="宋体" w:hAnsi="宋体" w:eastAsia="宋体" w:cs="宋体"/>
          <w:bCs/>
          <w:sz w:val="24"/>
          <w:szCs w:val="22"/>
        </w:rPr>
        <w:softHyphen/>
      </w:r>
      <w:r>
        <w:rPr>
          <w:rFonts w:hint="eastAsia" w:ascii="宋体" w:hAnsi="宋体" w:eastAsia="宋体" w:cs="宋体"/>
          <w:bCs/>
          <w:sz w:val="24"/>
          <w:szCs w:val="22"/>
        </w:rPr>
        <w:t>—学会”两级就业咨询体系，咨询内容包括生涯规划和职业选择、求职心态调适、就业政策与流程咨询、简历制作与面试技巧等。首先定期对大学生就业与职业发展学会成员进行培训，组织成员学习《内蒙古自治区高校毕业生就业服务手册》，了解自治区就业政策、毕业生就业流程及就业渠道，增强其业务水平与服务水平；其次设立就业与职业咨询室，针对有疑问尤其是就业困难毕业生以单独面询的形式进行解疑答惑，帮助学生更好地了解自我、了解职业，进行职业决策与行动。</w:t>
      </w:r>
    </w:p>
    <w:p>
      <w:pPr>
        <w:spacing w:line="360" w:lineRule="auto"/>
        <w:ind w:firstLine="540" w:firstLineChars="225"/>
        <w:rPr>
          <w:rFonts w:ascii="??_GB2312" w:hAnsi="宋体" w:eastAsia="Times New Roman"/>
          <w:sz w:val="24"/>
        </w:rPr>
      </w:pPr>
    </w:p>
    <w:p>
      <w:pPr>
        <w:spacing w:line="360" w:lineRule="auto"/>
        <w:ind w:left="504" w:leftChars="240" w:firstLine="480" w:firstLineChars="200"/>
        <w:rPr>
          <w:rFonts w:ascii="??_GB2312" w:hAnsi="宋体" w:eastAsia="Times New Roman"/>
          <w:sz w:val="24"/>
        </w:rPr>
      </w:pPr>
      <w:r>
        <w:rPr>
          <w:rFonts w:ascii="??_GB2312" w:hAnsi="宋体" w:eastAsia="Times New Roman"/>
          <w:sz w:val="24"/>
        </w:rPr>
        <w:drawing>
          <wp:inline distT="0" distB="0" distL="0" distR="0">
            <wp:extent cx="2214880" cy="1692910"/>
            <wp:effectExtent l="0" t="0" r="20320" b="8890"/>
            <wp:docPr id="82" name="图片 82" descr="/Users/wangxuan/Desktop/IMG_1435(20210121-202316).JPGIMG_1435(20210121-20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sers/wangxuan/Desktop/IMG_1435(20210121-202316).JPGIMG_1435(20210121-202316)"/>
                    <pic:cNvPicPr>
                      <a:picLocks noChangeAspect="1"/>
                    </pic:cNvPicPr>
                  </pic:nvPicPr>
                  <pic:blipFill>
                    <a:blip r:embed="rId78"/>
                    <a:srcRect/>
                    <a:stretch>
                      <a:fillRect/>
                    </a:stretch>
                  </pic:blipFill>
                  <pic:spPr>
                    <a:xfrm>
                      <a:off x="0" y="0"/>
                      <a:ext cx="2249019" cy="1692910"/>
                    </a:xfrm>
                    <a:prstGeom prst="rect">
                      <a:avLst/>
                    </a:prstGeom>
                  </pic:spPr>
                </pic:pic>
              </a:graphicData>
            </a:graphic>
          </wp:inline>
        </w:drawing>
      </w:r>
      <w:r>
        <w:rPr>
          <w:rFonts w:ascii="??_GB2312" w:hAnsi="宋体" w:eastAsia="Times New Roman"/>
          <w:sz w:val="24"/>
        </w:rPr>
        <w:drawing>
          <wp:inline distT="0" distB="0" distL="0" distR="0">
            <wp:extent cx="2320925" cy="1687195"/>
            <wp:effectExtent l="0" t="0" r="15875" b="14605"/>
            <wp:docPr id="59" name="图片 59" descr="/Users/wangxuan/Desktop/IMG_1436(20210121-202554).JPGIMG_1436(20210121-202554)"/>
            <wp:cNvGraphicFramePr/>
            <a:graphic xmlns:a="http://schemas.openxmlformats.org/drawingml/2006/main">
              <a:graphicData uri="http://schemas.openxmlformats.org/drawingml/2006/picture">
                <pic:pic xmlns:pic="http://schemas.openxmlformats.org/drawingml/2006/picture">
                  <pic:nvPicPr>
                    <pic:cNvPr id="59" name="图片 59" descr="/Users/wangxuan/Desktop/IMG_1436(20210121-202554).JPGIMG_1436(20210121-202554)"/>
                    <pic:cNvPicPr/>
                  </pic:nvPicPr>
                  <pic:blipFill>
                    <a:blip r:embed="rId79"/>
                    <a:srcRect/>
                    <a:stretch>
                      <a:fillRect/>
                    </a:stretch>
                  </pic:blipFill>
                  <pic:spPr>
                    <a:xfrm>
                      <a:off x="0" y="0"/>
                      <a:ext cx="2320925" cy="1687195"/>
                    </a:xfrm>
                    <a:prstGeom prst="rect">
                      <a:avLst/>
                    </a:prstGeom>
                    <a:noFill/>
                    <a:ln>
                      <a:noFill/>
                    </a:ln>
                  </pic:spPr>
                </pic:pic>
              </a:graphicData>
            </a:graphic>
          </wp:inline>
        </w:drawing>
      </w:r>
    </w:p>
    <w:p>
      <w:pPr>
        <w:spacing w:line="360" w:lineRule="auto"/>
        <w:ind w:left="504" w:leftChars="240" w:firstLine="480" w:firstLineChars="200"/>
        <w:rPr>
          <w:rFonts w:ascii="??_GB2312" w:hAnsi="宋体" w:eastAsia="Times New Roman"/>
          <w:sz w:val="24"/>
        </w:rPr>
      </w:pPr>
      <w:r>
        <w:rPr>
          <w:rFonts w:ascii="??_GB2312" w:hAnsi="宋体"/>
          <w:sz w:val="24"/>
        </w:rPr>
        <w:drawing>
          <wp:inline distT="0" distB="0" distL="0" distR="0">
            <wp:extent cx="2214880" cy="1661160"/>
            <wp:effectExtent l="0" t="0" r="0" b="254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0"/>
                    <a:stretch>
                      <a:fillRect/>
                    </a:stretch>
                  </pic:blipFill>
                  <pic:spPr>
                    <a:xfrm>
                      <a:off x="0" y="0"/>
                      <a:ext cx="2241677" cy="1681406"/>
                    </a:xfrm>
                    <a:prstGeom prst="rect">
                      <a:avLst/>
                    </a:prstGeom>
                  </pic:spPr>
                </pic:pic>
              </a:graphicData>
            </a:graphic>
          </wp:inline>
        </w:drawing>
      </w:r>
      <w:r>
        <w:rPr>
          <w:rFonts w:ascii="??_GB2312" w:hAnsi="宋体"/>
          <w:sz w:val="24"/>
        </w:rPr>
        <w:t xml:space="preserve"> </w:t>
      </w:r>
      <w:r>
        <w:rPr>
          <w:rFonts w:ascii="??_GB2312" w:hAnsi="宋体" w:eastAsia="Times New Roman"/>
          <w:sz w:val="24"/>
        </w:rPr>
        <w:drawing>
          <wp:inline distT="0" distB="0" distL="0" distR="0">
            <wp:extent cx="2241550" cy="1635760"/>
            <wp:effectExtent l="0" t="0" r="19050" b="15240"/>
            <wp:docPr id="61" name="图片 61" descr="/Users/wangxuan/Desktop/IMG_1437(20210121-202804).JPGIMG_1437(20210121-202804)"/>
            <wp:cNvGraphicFramePr/>
            <a:graphic xmlns:a="http://schemas.openxmlformats.org/drawingml/2006/main">
              <a:graphicData uri="http://schemas.openxmlformats.org/drawingml/2006/picture">
                <pic:pic xmlns:pic="http://schemas.openxmlformats.org/drawingml/2006/picture">
                  <pic:nvPicPr>
                    <pic:cNvPr id="61" name="图片 61" descr="/Users/wangxuan/Desktop/IMG_1437(20210121-202804).JPGIMG_1437(20210121-202804)"/>
                    <pic:cNvPicPr/>
                  </pic:nvPicPr>
                  <pic:blipFill>
                    <a:blip r:embed="rId81"/>
                    <a:srcRect/>
                    <a:stretch>
                      <a:fillRect/>
                    </a:stretch>
                  </pic:blipFill>
                  <pic:spPr>
                    <a:xfrm>
                      <a:off x="0" y="0"/>
                      <a:ext cx="2253697" cy="1635760"/>
                    </a:xfrm>
                    <a:prstGeom prst="rect">
                      <a:avLst/>
                    </a:prstGeom>
                    <a:noFill/>
                    <a:ln>
                      <a:noFill/>
                    </a:ln>
                  </pic:spPr>
                </pic:pic>
              </a:graphicData>
            </a:graphic>
          </wp:inline>
        </w:drawing>
      </w:r>
    </w:p>
    <w:p>
      <w:pPr>
        <w:spacing w:before="312" w:beforeLines="100" w:line="360" w:lineRule="auto"/>
        <w:ind w:left="0" w:leftChars="0" w:firstLine="480" w:firstLineChars="200"/>
        <w:rPr>
          <w:rFonts w:hint="eastAsia" w:ascii="宋体" w:hAnsi="宋体" w:eastAsia="宋体" w:cs="宋体"/>
          <w:bCs/>
          <w:sz w:val="24"/>
          <w:szCs w:val="22"/>
        </w:rPr>
      </w:pPr>
      <w:r>
        <w:rPr>
          <w:rFonts w:hint="eastAsia" w:ascii="宋体" w:hAnsi="宋体" w:eastAsia="宋体" w:cs="宋体"/>
          <w:bCs/>
          <w:sz w:val="24"/>
          <w:szCs w:val="22"/>
        </w:rPr>
        <w:t>图6.2左上</w:t>
      </w:r>
      <w:r>
        <w:rPr>
          <w:rFonts w:hint="eastAsia" w:ascii="宋体" w:hAnsi="宋体" w:cs="宋体"/>
          <w:bCs/>
          <w:sz w:val="24"/>
          <w:szCs w:val="22"/>
        </w:rPr>
        <w:t>法律知识</w:t>
      </w:r>
      <w:r>
        <w:rPr>
          <w:rFonts w:hint="eastAsia" w:ascii="宋体" w:hAnsi="宋体" w:eastAsia="宋体" w:cs="宋体"/>
          <w:bCs/>
          <w:sz w:val="24"/>
          <w:szCs w:val="22"/>
        </w:rPr>
        <w:t>大赛；右上</w:t>
      </w:r>
      <w:r>
        <w:rPr>
          <w:rFonts w:hint="eastAsia" w:ascii="宋体" w:hAnsi="宋体" w:eastAsia="宋体" w:cs="宋体"/>
          <w:bCs/>
          <w:sz w:val="24"/>
          <w:szCs w:val="22"/>
          <w:lang w:val="en-US" w:eastAsia="zh-Hans"/>
        </w:rPr>
        <w:t>职业礼仪</w:t>
      </w:r>
      <w:r>
        <w:rPr>
          <w:rFonts w:hint="eastAsia" w:ascii="宋体" w:hAnsi="宋体" w:eastAsia="宋体" w:cs="宋体"/>
          <w:bCs/>
          <w:sz w:val="24"/>
          <w:szCs w:val="22"/>
        </w:rPr>
        <w:t>大赛；左下</w:t>
      </w:r>
      <w:r>
        <w:rPr>
          <w:rFonts w:hint="eastAsia" w:ascii="宋体" w:hAnsi="宋体" w:cs="宋体"/>
          <w:bCs/>
          <w:sz w:val="24"/>
          <w:szCs w:val="22"/>
        </w:rPr>
        <w:t>创业大赛</w:t>
      </w:r>
      <w:r>
        <w:rPr>
          <w:rFonts w:hint="eastAsia" w:ascii="宋体" w:hAnsi="宋体" w:eastAsia="宋体" w:cs="宋体"/>
          <w:bCs/>
          <w:sz w:val="24"/>
          <w:szCs w:val="22"/>
        </w:rPr>
        <w:t>；右下职业生涯规划讲座。</w:t>
      </w:r>
    </w:p>
    <w:p>
      <w:pPr>
        <w:pStyle w:val="3"/>
        <w:numPr>
          <w:ilvl w:val="0"/>
          <w:numId w:val="15"/>
        </w:numPr>
        <w:tabs>
          <w:tab w:val="left" w:pos="1080"/>
          <w:tab w:val="clear" w:pos="1106"/>
        </w:tabs>
        <w:spacing w:line="360" w:lineRule="auto"/>
        <w:ind w:hanging="746"/>
        <w:rPr>
          <w:rFonts w:ascii="宋体" w:hAnsi="宋体" w:eastAsia="宋体"/>
          <w:sz w:val="30"/>
          <w:szCs w:val="30"/>
        </w:rPr>
      </w:pPr>
      <w:bookmarkStart w:id="108" w:name="_Toc504614066"/>
      <w:bookmarkStart w:id="109" w:name="_Toc436748529"/>
      <w:r>
        <w:rPr>
          <w:rFonts w:hint="eastAsia" w:ascii="宋体" w:hAnsi="宋体" w:eastAsia="宋体"/>
          <w:sz w:val="30"/>
          <w:szCs w:val="30"/>
        </w:rPr>
        <w:t>坚持深入拓展就业市场</w:t>
      </w:r>
      <w:bookmarkEnd w:id="108"/>
      <w:bookmarkEnd w:id="109"/>
    </w:p>
    <w:p>
      <w:pPr>
        <w:pStyle w:val="4"/>
        <w:numPr>
          <w:ilvl w:val="1"/>
          <w:numId w:val="15"/>
        </w:numPr>
        <w:spacing w:line="360" w:lineRule="auto"/>
        <w:rPr>
          <w:sz w:val="28"/>
        </w:rPr>
      </w:pPr>
      <w:bookmarkStart w:id="110" w:name="_Toc436748530"/>
      <w:r>
        <w:rPr>
          <w:rFonts w:hint="eastAsia"/>
          <w:sz w:val="28"/>
        </w:rPr>
        <w:t>拓展毕业生实习就业平台</w:t>
      </w:r>
      <w:bookmarkEnd w:id="110"/>
      <w:r>
        <w:rPr>
          <w:rFonts w:hint="eastAsia"/>
          <w:sz w:val="28"/>
        </w:rPr>
        <w:t>，实现校园与企业精准对接</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eastAsia="宋体" w:cs="宋体"/>
          <w:bCs/>
          <w:sz w:val="24"/>
          <w:szCs w:val="22"/>
        </w:rPr>
        <w:t>学院在巩固原有合作单位和实习基地的基础上，积极开拓新的就业市场，充分挖掘各种校内外资源，寻求潜在的需求岗位。目前我院先后与内蒙古东达蒙古王集团、北方周末报、内蒙古京意管理咨询有限公司、现代牧业（内蒙古）乳品销售有限公司、呼和浩特裕隆工业园管委会等34家企业先后签订了校企合作协议书，2014年至2015年度又与京信通信系统（中国）有限公司内蒙古分公司签订了学生学习就业基地协议书、与玉泉电子商务产业园签订了战略合作协议、与中华财险呼和浩特中心支公司建立学生实习就业基地。2016年又分别与北京方宇博业科技有限公司、宁夏亚视电子有限公司、呼和浩特市玉泉区人民政府签订了战略合作协议。2017年先后与内蒙古自由港教育科技有限公司、内蒙古软通动力信息技术有限公司签订合作协议。</w:t>
      </w:r>
      <w:r>
        <w:rPr>
          <w:rFonts w:hint="eastAsia" w:ascii="宋体" w:hAnsi="宋体" w:cs="宋体"/>
          <w:bCs/>
          <w:sz w:val="24"/>
          <w:szCs w:val="22"/>
        </w:rPr>
        <w:t>2019</w:t>
      </w:r>
      <w:r>
        <w:rPr>
          <w:rFonts w:hint="eastAsia" w:ascii="宋体" w:hAnsi="宋体" w:eastAsia="宋体" w:cs="宋体"/>
          <w:bCs/>
          <w:sz w:val="24"/>
          <w:szCs w:val="22"/>
        </w:rPr>
        <w:t>年，我院与内蒙古得一教育咨询有限公司、尚上教育培训机构、东胜区壹宏艺术培训中心、艺绘美术培训机构、呼和浩特市博航教育咨询有限公司、内蒙古琢璞教育咨询有限公司等六家由我院校友创办的企业举行了校企就业实习基地签约仪式。与浙江省湖州市吴兴区签署了《校地人才智力战略合作协议书》。此外，为给学院应届毕业生提供就业实习机会，储备学院对口专业企业，拓宽就业市场，加大就业指导覆盖面，打造校企协同就业、实习平台，招生与就业服务中心对金桥电子商务产业园、惠则恒产教科技园、玉泉区电子产业园、内蒙古戈利智业（集团）、西贝餐饮集团、内蒙古天宇人力集团、贝壳网等十几家用人单位进行了实地考察。向回访单位介绍我院近年来的发展状况，双方就人才需求、人才培养、实习、就业等方面的内容进行了深入交流，通过沟通联系，了解企业用人需求，拓宽新的就业渠道，建立长期合作关系， 形成相对稳定的毕业生实习与就业基地。深度的合作机制不仅为我院毕业生就业搭建了良好的平台，同时也为在校生提供更多了实习实践机会。</w:t>
      </w:r>
    </w:p>
    <w:p>
      <w:pPr>
        <w:pStyle w:val="4"/>
        <w:numPr>
          <w:ilvl w:val="1"/>
          <w:numId w:val="15"/>
        </w:numPr>
        <w:spacing w:line="360" w:lineRule="auto"/>
      </w:pPr>
      <w:r>
        <w:rPr>
          <w:rFonts w:hint="eastAsia"/>
          <w:sz w:val="28"/>
          <w:szCs w:val="28"/>
        </w:rPr>
        <w:t>密切联系就业市场，实现对市场动态的精准把握</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eastAsia="宋体" w:cs="宋体"/>
          <w:bCs/>
          <w:sz w:val="24"/>
          <w:szCs w:val="22"/>
        </w:rPr>
        <w:t>首先，回访用人单位。为更好地了解我院毕业生的工作动态，也为即将毕业的在校生打造就业市场，我院就业指导中心工作人员，定期对已经选聘我院毕业生的企业进行回访，力求保持长期合作关系。2014年至</w:t>
      </w:r>
      <w:r>
        <w:rPr>
          <w:rFonts w:hint="eastAsia" w:ascii="宋体" w:hAnsi="宋体" w:cs="宋体"/>
          <w:bCs/>
          <w:sz w:val="24"/>
          <w:szCs w:val="22"/>
        </w:rPr>
        <w:t>2019</w:t>
      </w:r>
      <w:r>
        <w:rPr>
          <w:rFonts w:hint="eastAsia" w:ascii="宋体" w:hAnsi="宋体" w:eastAsia="宋体" w:cs="宋体"/>
          <w:bCs/>
          <w:sz w:val="24"/>
          <w:szCs w:val="22"/>
        </w:rPr>
        <w:t>年度我中心走访了包商银行呼和浩特分行、包头市稀土高新区组织部、内蒙古（电力）集团有限责任公司、内蒙古晨报、包商银行赤峰分行等多家企事业单位。向回访单位介绍我院近年来的发展状况，双方就人才需求、人才培养、实习、就业等方面的内容进行了深入交流，通过沟通联系，形成相对稳定的毕业生实习与就业基地。</w:t>
      </w:r>
    </w:p>
    <w:p>
      <w:pPr>
        <w:bidi w:val="0"/>
        <w:spacing w:before="312" w:beforeLines="100" w:line="360" w:lineRule="auto"/>
        <w:ind w:firstLine="480" w:firstLineChars="200"/>
        <w:rPr>
          <w:rFonts w:hint="eastAsia" w:ascii="宋体" w:hAnsi="宋体" w:cs="宋体"/>
          <w:bCs/>
          <w:sz w:val="24"/>
          <w:szCs w:val="22"/>
        </w:rPr>
      </w:pPr>
      <w:r>
        <w:rPr>
          <w:rFonts w:hint="eastAsia" w:ascii="宋体" w:hAnsi="宋体" w:eastAsia="宋体" w:cs="宋体"/>
          <w:bCs/>
          <w:sz w:val="24"/>
          <w:szCs w:val="22"/>
        </w:rPr>
        <w:t>其次，参加社会大型人才洽谈会。除走访用人单位外，</w:t>
      </w:r>
      <w:r>
        <w:rPr>
          <w:rFonts w:hint="eastAsia" w:ascii="宋体" w:hAnsi="宋体" w:cs="宋体"/>
          <w:bCs/>
          <w:sz w:val="24"/>
          <w:szCs w:val="22"/>
        </w:rPr>
        <w:t>自</w:t>
      </w:r>
      <w:r>
        <w:rPr>
          <w:rFonts w:hint="eastAsia" w:ascii="宋体" w:hAnsi="宋体" w:eastAsia="宋体" w:cs="宋体"/>
          <w:bCs/>
          <w:sz w:val="24"/>
          <w:szCs w:val="22"/>
        </w:rPr>
        <w:t>2019</w:t>
      </w:r>
      <w:r>
        <w:rPr>
          <w:rFonts w:hint="eastAsia" w:ascii="宋体" w:hAnsi="宋体" w:cs="宋体"/>
          <w:bCs/>
          <w:sz w:val="24"/>
          <w:szCs w:val="22"/>
        </w:rPr>
        <w:t>年</w:t>
      </w:r>
      <w:r>
        <w:rPr>
          <w:rFonts w:hint="eastAsia" w:ascii="宋体" w:hAnsi="宋体" w:eastAsia="宋体" w:cs="宋体"/>
          <w:bCs/>
          <w:sz w:val="24"/>
          <w:szCs w:val="22"/>
        </w:rPr>
        <w:t>9</w:t>
      </w:r>
      <w:r>
        <w:rPr>
          <w:rFonts w:hint="eastAsia" w:ascii="宋体" w:hAnsi="宋体" w:cs="宋体"/>
          <w:bCs/>
          <w:sz w:val="24"/>
          <w:szCs w:val="22"/>
        </w:rPr>
        <w:t>月至</w:t>
      </w:r>
      <w:r>
        <w:rPr>
          <w:rFonts w:hint="eastAsia" w:ascii="宋体" w:hAnsi="宋体" w:eastAsia="宋体" w:cs="宋体"/>
          <w:bCs/>
          <w:sz w:val="24"/>
          <w:szCs w:val="22"/>
        </w:rPr>
        <w:t>2020</w:t>
      </w:r>
      <w:r>
        <w:rPr>
          <w:rFonts w:hint="eastAsia" w:ascii="宋体" w:hAnsi="宋体" w:cs="宋体"/>
          <w:bCs/>
          <w:sz w:val="24"/>
          <w:szCs w:val="22"/>
        </w:rPr>
        <w:t>年</w:t>
      </w:r>
      <w:r>
        <w:rPr>
          <w:rFonts w:hint="eastAsia" w:ascii="宋体" w:hAnsi="宋体" w:eastAsia="宋体" w:cs="宋体"/>
          <w:bCs/>
          <w:sz w:val="24"/>
          <w:szCs w:val="22"/>
        </w:rPr>
        <w:t>12</w:t>
      </w:r>
      <w:r>
        <w:rPr>
          <w:rFonts w:hint="eastAsia" w:ascii="宋体" w:hAnsi="宋体" w:cs="宋体"/>
          <w:bCs/>
          <w:sz w:val="24"/>
          <w:szCs w:val="22"/>
        </w:rPr>
        <w:t>月，招生与就业服务中心定期前往呼、包、鄂等地区，参加各类大型社会及高校人才招聘会。为了充分发挥校园人才市场的优势，搭建好毕业生与用人单位沟通交流平台，促进大学毕业生充分就业。我院作为2020年京津冀蒙工会跨区域促就业系列活动暨线上招聘会分会场，于2020年11月7日在内蒙古大学创业学院文体训练馆成功举办2021届毕业生就业实习双选洽谈会。共有一百家企业参加，提供近4000个工作岗位，为广大毕业生提供了良好的就业机会。</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cs="宋体"/>
          <w:bCs/>
          <w:sz w:val="24"/>
          <w:szCs w:val="22"/>
        </w:rPr>
        <w:t>同时还参加</w:t>
      </w:r>
      <w:r>
        <w:rPr>
          <w:rFonts w:hint="eastAsia" w:ascii="宋体" w:hAnsi="宋体" w:eastAsia="宋体" w:cs="宋体"/>
          <w:bCs/>
          <w:sz w:val="24"/>
          <w:szCs w:val="22"/>
        </w:rPr>
        <w:t>“</w:t>
      </w:r>
      <w:r>
        <w:rPr>
          <w:rFonts w:hint="eastAsia" w:ascii="宋体" w:hAnsi="宋体" w:cs="宋体"/>
          <w:bCs/>
          <w:sz w:val="24"/>
          <w:szCs w:val="22"/>
        </w:rPr>
        <w:t>内蒙古大学、内蒙古师范大学、内蒙古科技大学、内蒙古农业大学、内蒙古财经大学、内蒙古艺术学院毕业生就业洽谈会、实习生双选会</w:t>
      </w:r>
      <w:r>
        <w:rPr>
          <w:rFonts w:hint="eastAsia" w:ascii="宋体" w:hAnsi="宋体" w:eastAsia="宋体" w:cs="宋体"/>
          <w:bCs/>
          <w:sz w:val="24"/>
          <w:szCs w:val="22"/>
        </w:rPr>
        <w:t>”</w:t>
      </w:r>
      <w:r>
        <w:rPr>
          <w:rFonts w:hint="eastAsia" w:ascii="宋体" w:hAnsi="宋体" w:cs="宋体"/>
          <w:bCs/>
          <w:sz w:val="24"/>
          <w:szCs w:val="22"/>
        </w:rPr>
        <w:t>等多场大规模双选招聘会，在会场了解招聘单位需求，为企业提供学院毕业生推介手册，与用人单位相互了解建立联系，为我院毕业生能够提供更多的就业机会创造有利条件。</w:t>
      </w:r>
    </w:p>
    <w:p>
      <w:pPr>
        <w:bidi w:val="0"/>
        <w:spacing w:before="312" w:beforeLines="100" w:line="360" w:lineRule="auto"/>
        <w:ind w:firstLine="480" w:firstLineChars="200"/>
        <w:rPr>
          <w:rFonts w:hint="eastAsia" w:ascii="宋体" w:hAnsi="宋体" w:cs="宋体"/>
          <w:bCs/>
          <w:sz w:val="24"/>
          <w:szCs w:val="22"/>
        </w:rPr>
      </w:pPr>
      <w:r>
        <w:rPr>
          <w:rFonts w:hint="eastAsia" w:ascii="宋体" w:hAnsi="宋体" w:cs="宋体"/>
          <w:bCs/>
          <w:sz w:val="24"/>
          <w:szCs w:val="22"/>
        </w:rPr>
        <w:t>根据我院专业设置特点，招生与就业服务中心为</w:t>
      </w:r>
      <w:r>
        <w:rPr>
          <w:rFonts w:hint="eastAsia" w:ascii="宋体" w:hAnsi="宋体" w:eastAsia="宋体" w:cs="宋体"/>
          <w:bCs/>
          <w:sz w:val="24"/>
          <w:szCs w:val="22"/>
        </w:rPr>
        <w:t>2020</w:t>
      </w:r>
      <w:r>
        <w:rPr>
          <w:rFonts w:hint="eastAsia" w:ascii="宋体" w:hAnsi="宋体" w:cs="宋体"/>
          <w:bCs/>
          <w:sz w:val="24"/>
          <w:szCs w:val="22"/>
        </w:rPr>
        <w:t>届毕业生在学院内共举办专场宣讲会</w:t>
      </w:r>
      <w:r>
        <w:rPr>
          <w:rFonts w:hint="eastAsia" w:ascii="宋体" w:hAnsi="宋体" w:eastAsia="宋体" w:cs="宋体"/>
          <w:bCs/>
          <w:sz w:val="24"/>
          <w:szCs w:val="22"/>
        </w:rPr>
        <w:t>120</w:t>
      </w:r>
      <w:r>
        <w:rPr>
          <w:rFonts w:hint="eastAsia" w:ascii="宋体" w:hAnsi="宋体" w:cs="宋体"/>
          <w:bCs/>
          <w:sz w:val="24"/>
          <w:szCs w:val="22"/>
        </w:rPr>
        <w:t>余次，为学生提供文、理、艺实习、就业岗位</w:t>
      </w:r>
      <w:r>
        <w:rPr>
          <w:rFonts w:hint="eastAsia" w:ascii="宋体" w:hAnsi="宋体" w:eastAsia="宋体" w:cs="宋体"/>
          <w:bCs/>
          <w:sz w:val="24"/>
          <w:szCs w:val="22"/>
        </w:rPr>
        <w:t>3500</w:t>
      </w:r>
      <w:r>
        <w:rPr>
          <w:rFonts w:hint="eastAsia" w:ascii="宋体" w:hAnsi="宋体" w:cs="宋体"/>
          <w:bCs/>
          <w:sz w:val="24"/>
          <w:szCs w:val="22"/>
        </w:rPr>
        <w:t>余个，从而达到宽口径、大范围、立体型、全方位覆盖，其中包括：久泰能源集团、中国二冶集团、蒙戈利智集团、北京未来大世界教育集团、贝壳集团、金桥电子商务产业园、呼和浩特市环保局、玉泉区统计局、内蒙古广播电台、鄂尔多斯文体交通广播台、内蒙古果壳文化传播有限公司、内蒙古总工会、呼和浩特市工会、内蒙古大学生创业联合会等企事业单位及社会团体，努力提升专场招聘宣讲会用人单位质量，降低准入门槛，从而达到学生专业与用人岗位点对点精准匹配的目的。此外，2020年京津冀蒙跨区域促就业系列活动暨我院毕业生就业实习双选洽谈会由内蒙古自治区总工会与内蒙古大学创业学院共同主办，内蒙古启铭鑫人才科技发展有限公司协办。共有100家来自省内外优质企业参加，参会单位覆盖面广、层次丰富、类型多元，涉及餐饮、教育、影视、计算机、电子商务、市场营销、金融管理、投资理财、会计等，近2000余名求职者到场求职，共计投递4000余份简历，当日共有12家企业进行宣讲。</w:t>
      </w:r>
    </w:p>
    <w:p>
      <w:pPr>
        <w:bidi w:val="0"/>
        <w:spacing w:before="312" w:beforeLines="100" w:line="360" w:lineRule="auto"/>
        <w:ind w:firstLine="480" w:firstLineChars="200"/>
        <w:rPr>
          <w:rFonts w:hint="eastAsia" w:ascii="宋体" w:hAnsi="宋体" w:cs="宋体"/>
          <w:bCs/>
          <w:sz w:val="24"/>
          <w:szCs w:val="22"/>
        </w:rPr>
      </w:pPr>
      <w:r>
        <w:rPr>
          <w:rFonts w:hint="eastAsia" w:ascii="宋体" w:hAnsi="宋体" w:cs="宋体"/>
          <w:bCs/>
          <w:sz w:val="24"/>
          <w:szCs w:val="22"/>
        </w:rPr>
        <w:t>内蒙古自治区总工会与我院分会场全程连线直播，并与我院党委副书记张莉进行交流沟通。学院领导及老师对此次活动高度关心和支持，我院党委书记肖平、副书记张莉、招生与就业服务中心全体工作人员、各二级学院团总支书记、辅导员及毕业班班主任均到场参加。双选会有青岛啤酒股份有限公司、北京红牛饮料销售有限公司内蒙古分公司、河北君乐宝领航乳业有限公司、内蒙古正大食品有限公司、方正投资集团有限公司等多家大型公司和上市企业。企业展位前，应聘者积极与招聘人员交流，主动了解用人单位情况。为毕业生与用人单位提供更加充分的交流平台，确保实现高质量和高满意度就业。通过采访了解到，多数企业更愿意接纳踏实能干、实际操作及创新能力较强的人，他们希望九零后毕业生可以把新生的力量带入工作中，避免浮夸风尚流入。最后在对学生的采访中得知，求职者更倾向于专业对口的工作岗位，并向多家企业单位投递了简历。双选会为我院大学生和企业提供了双向选择的交流平台，为毕业生实现充分就业提供了条件。我院招生与就业服务中心本着“以学生为本”的理念，以“离校不离线、服务不间断”为主旨，切实做好毕业生就业工作，帮助毕业生搭建就业平台，争取为广大毕业生提供更多的就业机会，实现毕业生充分就业。</w:t>
      </w:r>
    </w:p>
    <w:p>
      <w:pPr>
        <w:spacing w:before="312" w:beforeLines="100" w:line="360" w:lineRule="auto"/>
        <w:ind w:firstLine="480" w:firstLineChars="200"/>
        <w:rPr>
          <w:rFonts w:hint="eastAsia" w:ascii="宋体" w:hAnsi="宋体" w:eastAsia="宋体" w:cs="宋体"/>
          <w:bCs/>
          <w:sz w:val="24"/>
          <w:szCs w:val="22"/>
        </w:rPr>
      </w:pPr>
      <w:r>
        <w:rPr>
          <w:rFonts w:hint="eastAsia" w:ascii="宋体" w:hAnsi="宋体" w:cs="宋体"/>
          <w:bCs/>
          <w:sz w:val="24"/>
          <w:szCs w:val="22"/>
        </w:rPr>
        <w:t>同时，招生与就业服务中心通过各种渠道，收集符合我院毕业生参加的招聘会信息，通知并组织毕业生参加，并</w:t>
      </w:r>
      <w:r>
        <w:rPr>
          <w:rFonts w:hint="eastAsia" w:ascii="宋体" w:hAnsi="宋体" w:eastAsia="宋体" w:cs="宋体"/>
          <w:bCs/>
          <w:sz w:val="24"/>
          <w:szCs w:val="22"/>
        </w:rPr>
        <w:t>与各高校及用人单位建立联系，发放《</w:t>
      </w:r>
      <w:r>
        <w:rPr>
          <w:rFonts w:hint="eastAsia" w:ascii="宋体" w:hAnsi="宋体" w:cs="宋体"/>
          <w:bCs/>
          <w:sz w:val="24"/>
          <w:szCs w:val="22"/>
        </w:rPr>
        <w:t>2021</w:t>
      </w:r>
      <w:r>
        <w:rPr>
          <w:rFonts w:hint="eastAsia" w:ascii="宋体" w:hAnsi="宋体" w:eastAsia="宋体" w:cs="宋体"/>
          <w:bCs/>
          <w:sz w:val="24"/>
          <w:szCs w:val="22"/>
        </w:rPr>
        <w:t xml:space="preserve">届毕业生推介》、《2021届毕业生推介》2000余册。及时了解就业市场及招聘单位需求，与用人单位建立良好关系，争取为毕业生提供更多的就业机会。 </w:t>
      </w:r>
    </w:p>
    <w:p>
      <w:pPr>
        <w:pStyle w:val="4"/>
        <w:numPr>
          <w:ilvl w:val="1"/>
          <w:numId w:val="15"/>
        </w:numPr>
        <w:spacing w:line="360" w:lineRule="auto"/>
        <w:rPr>
          <w:sz w:val="28"/>
          <w:szCs w:val="28"/>
        </w:rPr>
      </w:pPr>
      <w:bookmarkStart w:id="111" w:name="_Toc436748532"/>
      <w:r>
        <w:rPr>
          <w:rFonts w:hint="eastAsia"/>
          <w:sz w:val="28"/>
        </w:rPr>
        <w:t>深化管理用人单位数据库</w:t>
      </w:r>
      <w:bookmarkEnd w:id="111"/>
      <w:r>
        <w:rPr>
          <w:rFonts w:hint="eastAsia"/>
          <w:sz w:val="28"/>
        </w:rPr>
        <w:t>，实现对用人单位的精准分类</w:t>
      </w:r>
    </w:p>
    <w:p>
      <w:pPr>
        <w:spacing w:before="312" w:beforeLines="100" w:line="360" w:lineRule="auto"/>
        <w:ind w:firstLine="540" w:firstLineChars="225"/>
        <w:rPr>
          <w:rFonts w:hint="eastAsia" w:ascii="宋体" w:hAnsi="宋体" w:eastAsia="宋体" w:cs="宋体"/>
          <w:bCs/>
          <w:sz w:val="24"/>
          <w:szCs w:val="22"/>
        </w:rPr>
      </w:pPr>
      <w:r>
        <w:rPr>
          <w:rFonts w:hint="eastAsia" w:ascii="宋体" w:hAnsi="宋体" w:eastAsia="宋体" w:cs="宋体"/>
          <w:bCs/>
          <w:sz w:val="24"/>
          <w:szCs w:val="22"/>
        </w:rPr>
        <w:t>通过用人单位回访、校企合作、举办校园招聘会、专场宣讲会等方式，</w:t>
      </w:r>
      <w:r>
        <w:rPr>
          <w:rFonts w:hint="eastAsia" w:ascii="宋体" w:hAnsi="宋体" w:cs="宋体"/>
          <w:bCs/>
          <w:sz w:val="24"/>
          <w:szCs w:val="22"/>
        </w:rPr>
        <w:t>招生与就业服务中心</w:t>
      </w:r>
      <w:r>
        <w:rPr>
          <w:rFonts w:hint="eastAsia" w:ascii="宋体" w:hAnsi="宋体" w:eastAsia="宋体" w:cs="宋体"/>
          <w:bCs/>
          <w:sz w:val="24"/>
          <w:szCs w:val="22"/>
        </w:rPr>
        <w:t>共联系用人单位1</w:t>
      </w:r>
      <w:r>
        <w:rPr>
          <w:rFonts w:hint="eastAsia" w:ascii="宋体" w:hAnsi="宋体" w:cs="宋体"/>
          <w:bCs/>
          <w:sz w:val="24"/>
          <w:szCs w:val="22"/>
        </w:rPr>
        <w:t>7</w:t>
      </w:r>
      <w:r>
        <w:rPr>
          <w:rFonts w:hint="eastAsia" w:ascii="宋体" w:hAnsi="宋体" w:eastAsia="宋体" w:cs="宋体"/>
          <w:bCs/>
          <w:sz w:val="24"/>
          <w:szCs w:val="22"/>
        </w:rPr>
        <w:t>00余家，收集各单位招聘岗位共3</w:t>
      </w:r>
      <w:r>
        <w:rPr>
          <w:rFonts w:hint="eastAsia" w:ascii="宋体" w:hAnsi="宋体" w:cs="宋体"/>
          <w:bCs/>
          <w:sz w:val="24"/>
          <w:szCs w:val="22"/>
        </w:rPr>
        <w:t>2</w:t>
      </w:r>
      <w:r>
        <w:rPr>
          <w:rFonts w:hint="eastAsia" w:ascii="宋体" w:hAnsi="宋体" w:eastAsia="宋体" w:cs="宋体"/>
          <w:bCs/>
          <w:sz w:val="24"/>
          <w:szCs w:val="22"/>
        </w:rPr>
        <w:t>00余个，了解用人单位岗位需求与招聘方向，应各单位要求为其推荐毕业生。同时，为加强与用人单位的沟通联系，建立用人单位数据库，共收集用人单位信息1000多家，整理用人单位联系方式、通讯地址等相关资料，便于同用人单位建立长久联系。面对就业岗位供需的结构性矛盾，学院充分利用用人单位数据库，对用人单位进行分类管理，有针对性地组织专业性、行业性的招聘活动，实现就业工作的精细化管理。</w:t>
      </w:r>
      <w:bookmarkStart w:id="112" w:name="_Toc436748533"/>
    </w:p>
    <w:p>
      <w:pPr>
        <w:pStyle w:val="4"/>
        <w:numPr>
          <w:ilvl w:val="1"/>
          <w:numId w:val="15"/>
        </w:numPr>
        <w:spacing w:line="360" w:lineRule="auto"/>
        <w:rPr>
          <w:sz w:val="28"/>
        </w:rPr>
      </w:pPr>
      <w:r>
        <w:rPr>
          <w:rFonts w:hint="eastAsia"/>
          <w:sz w:val="28"/>
        </w:rPr>
        <w:t>深化网络体系建设</w:t>
      </w:r>
      <w:bookmarkEnd w:id="112"/>
      <w:r>
        <w:rPr>
          <w:rFonts w:hint="eastAsia"/>
          <w:sz w:val="28"/>
        </w:rPr>
        <w:t>，实现就业信息精准推送</w:t>
      </w:r>
    </w:p>
    <w:p>
      <w:pPr>
        <w:spacing w:before="312" w:beforeLines="100" w:line="360" w:lineRule="auto"/>
        <w:ind w:firstLine="540" w:firstLineChars="225"/>
        <w:rPr>
          <w:rFonts w:hint="eastAsia" w:ascii="宋体" w:hAnsi="宋体" w:eastAsia="宋体" w:cs="宋体"/>
          <w:bCs/>
          <w:sz w:val="24"/>
          <w:szCs w:val="22"/>
        </w:rPr>
      </w:pPr>
      <w:r>
        <w:rPr>
          <w:rFonts w:hint="eastAsia" w:ascii="宋体" w:hAnsi="宋体" w:eastAsia="宋体" w:cs="宋体"/>
          <w:bCs/>
          <w:sz w:val="24"/>
          <w:szCs w:val="22"/>
        </w:rPr>
        <w:t>学院充分利用“互联网+”技术和思维，建立实施“互联网+就业”新模式，进一步加强就业信息管理服务，依托覆盖全院毕业生的“</w:t>
      </w:r>
      <w:r>
        <w:rPr>
          <w:rFonts w:hint="eastAsia" w:ascii="宋体" w:hAnsi="宋体" w:cs="宋体"/>
          <w:bCs/>
          <w:sz w:val="24"/>
          <w:szCs w:val="22"/>
        </w:rPr>
        <w:t>2020</w:t>
      </w:r>
      <w:r>
        <w:rPr>
          <w:rFonts w:hint="eastAsia" w:ascii="宋体" w:hAnsi="宋体" w:eastAsia="宋体" w:cs="宋体"/>
          <w:bCs/>
          <w:sz w:val="24"/>
          <w:szCs w:val="22"/>
        </w:rPr>
        <w:t>届创业毕业生群”QQ群、微信、微博、人人网等招聘信息平台，进一步完善校园就业信息网各类功能，使其内容更加丰富，更新更及时。同时建立新媒体中心工作人员每天定时播报招聘会信息和招聘实况，学院就业动态、就业政策以及就业指导信息，利用各类学校多媒体招聘平台全天候为毕业生服务。目前，我院针对</w:t>
      </w:r>
      <w:r>
        <w:rPr>
          <w:rFonts w:hint="eastAsia" w:ascii="宋体" w:hAnsi="宋体" w:cs="宋体"/>
          <w:bCs/>
          <w:sz w:val="24"/>
          <w:szCs w:val="22"/>
        </w:rPr>
        <w:t>2020</w:t>
      </w:r>
      <w:r>
        <w:rPr>
          <w:rFonts w:hint="eastAsia" w:ascii="宋体" w:hAnsi="宋体" w:eastAsia="宋体" w:cs="宋体"/>
          <w:bCs/>
          <w:sz w:val="24"/>
          <w:szCs w:val="22"/>
        </w:rPr>
        <w:t>届毕业生已发布招聘信息</w:t>
      </w:r>
      <w:r>
        <w:rPr>
          <w:rFonts w:hint="eastAsia" w:ascii="宋体" w:hAnsi="宋体" w:cs="宋体"/>
          <w:bCs/>
          <w:sz w:val="24"/>
          <w:szCs w:val="22"/>
        </w:rPr>
        <w:t>1010</w:t>
      </w:r>
      <w:r>
        <w:rPr>
          <w:rFonts w:hint="eastAsia" w:ascii="宋体" w:hAnsi="宋体" w:eastAsia="宋体" w:cs="宋体"/>
          <w:bCs/>
          <w:sz w:val="24"/>
          <w:szCs w:val="22"/>
        </w:rPr>
        <w:t>条，QQ群成员960人，就业指导中心微信公众号“内蒙古大学创业学院就业信息网”关注人数达到6969人，</w:t>
      </w:r>
      <w:r>
        <w:rPr>
          <w:rFonts w:hint="eastAsia" w:ascii="宋体" w:hAnsi="宋体" w:cs="宋体"/>
          <w:bCs/>
          <w:sz w:val="24"/>
          <w:szCs w:val="22"/>
        </w:rPr>
        <w:t>2019</w:t>
      </w:r>
      <w:r>
        <w:rPr>
          <w:rFonts w:hint="eastAsia" w:ascii="宋体" w:hAnsi="宋体" w:eastAsia="宋体" w:cs="宋体"/>
          <w:bCs/>
          <w:sz w:val="24"/>
          <w:szCs w:val="22"/>
        </w:rPr>
        <w:t>年的总阅读量达250650多次，每条信息日浏览量超过500次。</w:t>
      </w:r>
    </w:p>
    <w:p>
      <w:pPr>
        <w:jc w:val="left"/>
      </w:pPr>
      <w:r>
        <w:t xml:space="preserve">    </w:t>
      </w:r>
      <w:r>
        <w:drawing>
          <wp:inline distT="0" distB="0" distL="0" distR="0">
            <wp:extent cx="2312670" cy="1802130"/>
            <wp:effectExtent l="0" t="0" r="0" b="0"/>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82">
                      <a:extLst>
                        <a:ext uri="{28A0092B-C50C-407E-A947-70E740481C1C}">
                          <a14:useLocalDpi xmlns:a14="http://schemas.microsoft.com/office/drawing/2010/main" val="0"/>
                        </a:ext>
                      </a:extLst>
                    </a:blip>
                    <a:srcRect/>
                    <a:stretch>
                      <a:fillRect/>
                    </a:stretch>
                  </pic:blipFill>
                  <pic:spPr>
                    <a:xfrm>
                      <a:off x="0" y="0"/>
                      <a:ext cx="2312670" cy="1802130"/>
                    </a:xfrm>
                    <a:prstGeom prst="rect">
                      <a:avLst/>
                    </a:prstGeom>
                    <a:noFill/>
                    <a:ln>
                      <a:noFill/>
                    </a:ln>
                  </pic:spPr>
                </pic:pic>
              </a:graphicData>
            </a:graphic>
          </wp:inline>
        </w:drawing>
      </w:r>
      <w:r>
        <w:t xml:space="preserve"> </w:t>
      </w:r>
      <w:r>
        <w:drawing>
          <wp:inline distT="0" distB="0" distL="0" distR="0">
            <wp:extent cx="2461895" cy="1828800"/>
            <wp:effectExtent l="0" t="0" r="0" b="0"/>
            <wp:docPr id="63" name="图片 63" descr="1546846870(1)"/>
            <wp:cNvGraphicFramePr/>
            <a:graphic xmlns:a="http://schemas.openxmlformats.org/drawingml/2006/main">
              <a:graphicData uri="http://schemas.openxmlformats.org/drawingml/2006/picture">
                <pic:pic xmlns:pic="http://schemas.openxmlformats.org/drawingml/2006/picture">
                  <pic:nvPicPr>
                    <pic:cNvPr id="63" name="图片 63" descr="1546846870(1)"/>
                    <pic:cNvPicPr/>
                  </pic:nvPicPr>
                  <pic:blipFill>
                    <a:blip r:embed="rId83">
                      <a:extLst>
                        <a:ext uri="{28A0092B-C50C-407E-A947-70E740481C1C}">
                          <a14:useLocalDpi xmlns:a14="http://schemas.microsoft.com/office/drawing/2010/main" val="0"/>
                        </a:ext>
                      </a:extLst>
                    </a:blip>
                    <a:srcRect/>
                    <a:stretch>
                      <a:fillRect/>
                    </a:stretch>
                  </pic:blipFill>
                  <pic:spPr>
                    <a:xfrm>
                      <a:off x="0" y="0"/>
                      <a:ext cx="2461895" cy="1828800"/>
                    </a:xfrm>
                    <a:prstGeom prst="rect">
                      <a:avLst/>
                    </a:prstGeom>
                    <a:noFill/>
                    <a:ln>
                      <a:noFill/>
                    </a:ln>
                  </pic:spPr>
                </pic:pic>
              </a:graphicData>
            </a:graphic>
          </wp:inline>
        </w:drawing>
      </w:r>
    </w:p>
    <w:p>
      <w:pPr>
        <w:ind w:firstLine="359" w:firstLineChars="171"/>
      </w:pPr>
      <w:r>
        <w:drawing>
          <wp:inline distT="0" distB="0" distL="0" distR="0">
            <wp:extent cx="2461895" cy="1953260"/>
            <wp:effectExtent l="0" t="0" r="1905" b="2540"/>
            <wp:docPr id="64" name="图片 64" descr="/Users/wangxuan/Desktop/IMG_1438(20210121-204013).JPGIMG_1438(20210121-204013)"/>
            <wp:cNvGraphicFramePr/>
            <a:graphic xmlns:a="http://schemas.openxmlformats.org/drawingml/2006/main">
              <a:graphicData uri="http://schemas.openxmlformats.org/drawingml/2006/picture">
                <pic:pic xmlns:pic="http://schemas.openxmlformats.org/drawingml/2006/picture">
                  <pic:nvPicPr>
                    <pic:cNvPr id="64" name="图片 64" descr="/Users/wangxuan/Desktop/IMG_1438(20210121-204013).JPGIMG_1438(20210121-204013)"/>
                    <pic:cNvPicPr/>
                  </pic:nvPicPr>
                  <pic:blipFill>
                    <a:blip r:embed="rId84"/>
                    <a:srcRect/>
                    <a:stretch>
                      <a:fillRect/>
                    </a:stretch>
                  </pic:blipFill>
                  <pic:spPr>
                    <a:xfrm>
                      <a:off x="0" y="0"/>
                      <a:ext cx="2461895" cy="1953260"/>
                    </a:xfrm>
                    <a:prstGeom prst="rect">
                      <a:avLst/>
                    </a:prstGeom>
                    <a:noFill/>
                    <a:ln>
                      <a:noFill/>
                    </a:ln>
                  </pic:spPr>
                </pic:pic>
              </a:graphicData>
            </a:graphic>
          </wp:inline>
        </w:drawing>
      </w:r>
      <w:r>
        <w:t xml:space="preserve"> </w:t>
      </w:r>
      <w:r>
        <w:drawing>
          <wp:inline distT="0" distB="0" distL="0" distR="0">
            <wp:extent cx="2427605" cy="1916430"/>
            <wp:effectExtent l="0" t="0" r="10795" b="13970"/>
            <wp:docPr id="65" name="图片 65" descr="/Users/wangxuan/Desktop/IMG_1440.JPGIMG_1440"/>
            <wp:cNvGraphicFramePr/>
            <a:graphic xmlns:a="http://schemas.openxmlformats.org/drawingml/2006/main">
              <a:graphicData uri="http://schemas.openxmlformats.org/drawingml/2006/picture">
                <pic:pic xmlns:pic="http://schemas.openxmlformats.org/drawingml/2006/picture">
                  <pic:nvPicPr>
                    <pic:cNvPr id="65" name="图片 65" descr="/Users/wangxuan/Desktop/IMG_1440.JPGIMG_1440"/>
                    <pic:cNvPicPr/>
                  </pic:nvPicPr>
                  <pic:blipFill>
                    <a:blip r:embed="rId85"/>
                    <a:srcRect/>
                    <a:stretch>
                      <a:fillRect/>
                    </a:stretch>
                  </pic:blipFill>
                  <pic:spPr>
                    <a:xfrm>
                      <a:off x="0" y="0"/>
                      <a:ext cx="2427605" cy="1916430"/>
                    </a:xfrm>
                    <a:prstGeom prst="rect">
                      <a:avLst/>
                    </a:prstGeom>
                    <a:noFill/>
                    <a:ln>
                      <a:noFill/>
                    </a:ln>
                  </pic:spPr>
                </pic:pic>
              </a:graphicData>
            </a:graphic>
          </wp:inline>
        </w:drawing>
      </w:r>
    </w:p>
    <w:p>
      <w:pPr>
        <w:ind w:left="359" w:leftChars="171"/>
        <w:rPr>
          <w:rFonts w:hint="eastAsia" w:ascii="宋体" w:hAnsi="宋体" w:cs="宋体"/>
          <w:szCs w:val="21"/>
        </w:rPr>
      </w:pPr>
      <w:r>
        <w:rPr>
          <w:rFonts w:hint="eastAsia" w:ascii="宋体" w:hAnsi="宋体" w:eastAsia="宋体" w:cs="宋体"/>
          <w:bCs/>
          <w:szCs w:val="21"/>
        </w:rPr>
        <w:t>图6.3：左上内蒙古金桥电子商务产业园调研考察交流现场；右上内蒙古蒙戈利智力(集团)机构调研考察交流现场；左下参加2020</w:t>
      </w:r>
      <w:r>
        <w:rPr>
          <w:rFonts w:hint="eastAsia" w:ascii="宋体" w:hAnsi="宋体" w:eastAsia="宋体" w:cs="宋体"/>
          <w:bCs/>
          <w:szCs w:val="21"/>
          <w:lang w:val="en-US" w:eastAsia="zh-Hans"/>
        </w:rPr>
        <w:t>年京津冀蒙工会跨区域促就业系列活动线上招聘会内蒙古大学创业学院分会场</w:t>
      </w:r>
      <w:r>
        <w:rPr>
          <w:rFonts w:hint="eastAsia" w:ascii="宋体" w:hAnsi="宋体" w:eastAsia="宋体" w:cs="宋体"/>
          <w:szCs w:val="21"/>
        </w:rPr>
        <w:t>；右下参加</w:t>
      </w:r>
      <w:r>
        <w:rPr>
          <w:rFonts w:hint="eastAsia" w:ascii="宋体" w:hAnsi="宋体" w:cs="宋体"/>
          <w:szCs w:val="21"/>
        </w:rPr>
        <w:t>2020</w:t>
      </w:r>
      <w:r>
        <w:rPr>
          <w:rFonts w:hint="eastAsia" w:ascii="宋体" w:hAnsi="宋体" w:eastAsia="宋体" w:cs="宋体"/>
          <w:szCs w:val="21"/>
        </w:rPr>
        <w:t>年内蒙</w:t>
      </w:r>
      <w:r>
        <w:rPr>
          <w:rFonts w:hint="eastAsia" w:ascii="宋体" w:hAnsi="宋体" w:eastAsia="宋体" w:cs="宋体"/>
          <w:szCs w:val="21"/>
          <w:lang w:val="en-US" w:eastAsia="zh-Hans"/>
        </w:rPr>
        <w:t>古科技大学毕业生双选</w:t>
      </w:r>
      <w:r>
        <w:rPr>
          <w:rFonts w:hint="eastAsia" w:ascii="宋体" w:hAnsi="宋体" w:eastAsia="宋体" w:cs="宋体"/>
          <w:szCs w:val="21"/>
        </w:rPr>
        <w:t>洽谈会</w:t>
      </w:r>
      <w:r>
        <w:rPr>
          <w:rFonts w:hint="eastAsia" w:ascii="宋体" w:hAnsi="宋体" w:cs="宋体"/>
          <w:szCs w:val="21"/>
        </w:rPr>
        <w:t>。</w:t>
      </w:r>
    </w:p>
    <w:p>
      <w:pPr>
        <w:pStyle w:val="3"/>
        <w:numPr>
          <w:ilvl w:val="0"/>
          <w:numId w:val="15"/>
        </w:numPr>
        <w:spacing w:line="360" w:lineRule="auto"/>
        <w:rPr>
          <w:rFonts w:ascii="宋体" w:hAnsi="宋体" w:eastAsia="宋体"/>
          <w:sz w:val="30"/>
          <w:szCs w:val="30"/>
        </w:rPr>
      </w:pPr>
      <w:bookmarkStart w:id="113" w:name="_Toc436748534"/>
      <w:bookmarkStart w:id="114" w:name="_Toc504614067"/>
      <w:r>
        <w:rPr>
          <w:rFonts w:hint="eastAsia" w:ascii="宋体" w:hAnsi="宋体" w:eastAsia="宋体"/>
          <w:sz w:val="30"/>
          <w:szCs w:val="30"/>
        </w:rPr>
        <w:t>坚持鼓励基层就业</w:t>
      </w:r>
      <w:bookmarkEnd w:id="113"/>
      <w:bookmarkEnd w:id="114"/>
      <w:r>
        <w:rPr>
          <w:rFonts w:ascii="宋体" w:hAnsi="宋体" w:eastAsia="宋体"/>
          <w:sz w:val="30"/>
          <w:szCs w:val="30"/>
        </w:rPr>
        <w:t xml:space="preserve"> </w:t>
      </w:r>
    </w:p>
    <w:p>
      <w:pPr>
        <w:spacing w:before="312" w:beforeLines="100" w:line="360" w:lineRule="auto"/>
        <w:ind w:firstLine="540" w:firstLineChars="225"/>
        <w:rPr>
          <w:rFonts w:hint="eastAsia" w:ascii="宋体" w:hAnsi="宋体" w:eastAsia="宋体" w:cs="宋体"/>
          <w:sz w:val="24"/>
        </w:rPr>
      </w:pPr>
      <w:r>
        <w:rPr>
          <w:rFonts w:hint="eastAsia" w:ascii="宋体" w:hAnsi="宋体" w:eastAsia="宋体" w:cs="宋体"/>
          <w:sz w:val="24"/>
        </w:rPr>
        <w:t>为了促进毕业生顺利就业，缓解毕业生就业压力，解决就业难的问题，我院鼓励大学生服务基层、面向基层，到基层建功立业、锤炼自我，为基层发展做贡献。根据《人力资源和社会保障部关于做好</w:t>
      </w:r>
      <w:r>
        <w:rPr>
          <w:rFonts w:hint="eastAsia" w:ascii="宋体" w:hAnsi="宋体" w:cs="宋体"/>
          <w:sz w:val="24"/>
        </w:rPr>
        <w:t>2020</w:t>
      </w:r>
      <w:r>
        <w:rPr>
          <w:rFonts w:hint="eastAsia" w:ascii="宋体" w:hAnsi="宋体" w:eastAsia="宋体" w:cs="宋体"/>
          <w:sz w:val="24"/>
        </w:rPr>
        <w:t>年全国普通高等学校毕业生就业创业工作的通知》（人社部函【</w:t>
      </w:r>
      <w:r>
        <w:rPr>
          <w:rFonts w:hint="eastAsia" w:ascii="宋体" w:hAnsi="宋体" w:cs="宋体"/>
          <w:sz w:val="24"/>
        </w:rPr>
        <w:t>2019</w:t>
      </w:r>
      <w:r>
        <w:rPr>
          <w:rFonts w:hint="eastAsia" w:ascii="宋体" w:hAnsi="宋体" w:eastAsia="宋体" w:cs="宋体"/>
          <w:sz w:val="24"/>
        </w:rPr>
        <w:t>】</w:t>
      </w:r>
      <w:r>
        <w:rPr>
          <w:rFonts w:hint="eastAsia" w:ascii="宋体" w:hAnsi="宋体" w:cs="宋体"/>
          <w:sz w:val="24"/>
        </w:rPr>
        <w:t>16</w:t>
      </w:r>
      <w:r>
        <w:rPr>
          <w:rFonts w:hint="eastAsia" w:ascii="宋体" w:hAnsi="宋体" w:eastAsia="宋体" w:cs="宋体"/>
          <w:sz w:val="24"/>
        </w:rPr>
        <w:t>号）精神，按照</w:t>
      </w:r>
      <w:r>
        <w:rPr>
          <w:rFonts w:hint="eastAsia" w:ascii="宋体" w:hAnsi="宋体" w:cs="宋体"/>
          <w:sz w:val="24"/>
        </w:rPr>
        <w:t>2020</w:t>
      </w:r>
      <w:r>
        <w:rPr>
          <w:rFonts w:hint="eastAsia" w:ascii="宋体" w:hAnsi="宋体" w:eastAsia="宋体" w:cs="宋体"/>
          <w:sz w:val="24"/>
        </w:rPr>
        <w:t>年内蒙古自治区高校毕业生“社区民生工作志愿服务”、“三支一扶”计划等实施方案要求，我院组织多名优秀毕业生报考国家基层项目考试。</w:t>
      </w:r>
    </w:p>
    <w:p>
      <w:pPr>
        <w:spacing w:before="312" w:beforeLines="100" w:line="360" w:lineRule="auto"/>
        <w:ind w:firstLine="540" w:firstLineChars="225"/>
        <w:rPr>
          <w:rFonts w:hint="eastAsia" w:ascii="宋体" w:hAnsi="宋体" w:eastAsia="宋体" w:cs="宋体"/>
          <w:sz w:val="24"/>
        </w:rPr>
      </w:pPr>
      <w:r>
        <w:rPr>
          <w:rFonts w:hint="eastAsia" w:ascii="宋体" w:hAnsi="宋体" w:eastAsia="宋体" w:cs="宋体"/>
          <w:sz w:val="24"/>
        </w:rPr>
        <w:t>我院从</w:t>
      </w:r>
      <w:r>
        <w:rPr>
          <w:rFonts w:hint="eastAsia" w:ascii="宋体" w:hAnsi="宋体" w:cs="宋体"/>
          <w:sz w:val="24"/>
        </w:rPr>
        <w:t>2020</w:t>
      </w:r>
      <w:r>
        <w:rPr>
          <w:rFonts w:hint="eastAsia" w:ascii="宋体" w:hAnsi="宋体" w:eastAsia="宋体" w:cs="宋体"/>
          <w:sz w:val="24"/>
        </w:rPr>
        <w:t>年4月份开始开展毕业生面向基层就业有关工作。在</w:t>
      </w:r>
      <w:r>
        <w:rPr>
          <w:rFonts w:hint="eastAsia" w:ascii="宋体" w:hAnsi="宋体" w:cs="宋体"/>
          <w:sz w:val="24"/>
        </w:rPr>
        <w:t>招生与就业服务中心</w:t>
      </w:r>
      <w:r>
        <w:rPr>
          <w:rFonts w:hint="eastAsia" w:ascii="宋体" w:hAnsi="宋体" w:eastAsia="宋体" w:cs="宋体"/>
          <w:sz w:val="24"/>
        </w:rPr>
        <w:t>及各</w:t>
      </w:r>
      <w:r>
        <w:rPr>
          <w:rFonts w:hint="eastAsia" w:ascii="宋体" w:hAnsi="宋体" w:cs="宋体"/>
          <w:sz w:val="24"/>
        </w:rPr>
        <w:t>二级学院</w:t>
      </w:r>
      <w:r>
        <w:rPr>
          <w:rFonts w:hint="eastAsia" w:ascii="宋体" w:hAnsi="宋体" w:eastAsia="宋体" w:cs="宋体"/>
          <w:sz w:val="24"/>
        </w:rPr>
        <w:t>的大力配合下，通过官方微博、微信、网站等广泛宣传，使学生多方面多角度了解国家基层项目考试相关政策；组织学生参加“就业咨询月”活动、观看基层项目宣传片，讲解基层项目招募工作流程及志愿者培养情况；发布《</w:t>
      </w:r>
      <w:r>
        <w:rPr>
          <w:rFonts w:hint="eastAsia" w:ascii="宋体" w:hAnsi="宋体" w:cs="宋体"/>
          <w:sz w:val="24"/>
        </w:rPr>
        <w:t>2020</w:t>
      </w:r>
      <w:r>
        <w:rPr>
          <w:rFonts w:hint="eastAsia" w:ascii="宋体" w:hAnsi="宋体" w:eastAsia="宋体" w:cs="宋体"/>
          <w:sz w:val="24"/>
        </w:rPr>
        <w:t>年全区大学生志愿服务西部计划实施方案》，告知学生具体报名时间及报名方式，并完成审核工作、填写审核意见，报送自治区项目办；召开</w:t>
      </w:r>
      <w:r>
        <w:rPr>
          <w:rFonts w:hint="eastAsia" w:ascii="宋体" w:hAnsi="宋体" w:cs="宋体"/>
          <w:sz w:val="24"/>
        </w:rPr>
        <w:t>2020</w:t>
      </w:r>
      <w:r>
        <w:rPr>
          <w:rFonts w:hint="eastAsia" w:ascii="宋体" w:hAnsi="宋体" w:eastAsia="宋体" w:cs="宋体"/>
          <w:sz w:val="24"/>
        </w:rPr>
        <w:t>年基层项目说明会，讲解国家基层项目的报考流程、考试安排及复习思路，帮助毕业生理清思路、正确面对考试；组织开展基层项目考试咨询活动，为学生解答相关问题，帮助学生完成了相关报名审核工作。</w:t>
      </w:r>
    </w:p>
    <w:p>
      <w:pPr>
        <w:spacing w:before="312" w:beforeLines="100" w:line="360" w:lineRule="auto"/>
        <w:ind w:firstLine="540" w:firstLineChars="225"/>
        <w:rPr>
          <w:rFonts w:hint="eastAsia" w:ascii="宋体" w:hAnsi="宋体" w:eastAsia="宋体" w:cs="宋体"/>
          <w:sz w:val="24"/>
        </w:rPr>
      </w:pPr>
      <w:r>
        <w:rPr>
          <w:rFonts w:hint="eastAsia" w:ascii="宋体" w:hAnsi="宋体" w:eastAsia="宋体" w:cs="宋体"/>
          <w:sz w:val="24"/>
        </w:rPr>
        <w:t>通过以上各种措施，我院</w:t>
      </w:r>
      <w:r>
        <w:rPr>
          <w:rFonts w:hint="eastAsia" w:ascii="宋体" w:hAnsi="宋体" w:cs="宋体"/>
          <w:sz w:val="24"/>
        </w:rPr>
        <w:t>2020</w:t>
      </w:r>
      <w:r>
        <w:rPr>
          <w:rFonts w:hint="eastAsia" w:ascii="宋体" w:hAnsi="宋体" w:eastAsia="宋体" w:cs="宋体"/>
          <w:sz w:val="24"/>
        </w:rPr>
        <w:t>届毕业生共65人考取国家基层项目，其中有13人考取了西部计划、20人考取了社区民生工作志愿服务、30人考取了“三支一扶”计划,</w:t>
      </w:r>
      <w:r>
        <w:rPr>
          <w:rFonts w:hint="eastAsia" w:ascii="宋体" w:hAnsi="宋体" w:cs="宋体"/>
          <w:sz w:val="24"/>
        </w:rPr>
        <w:t>特岗教师</w:t>
      </w:r>
      <w:r>
        <w:rPr>
          <w:rFonts w:hint="default" w:ascii="宋体" w:hAnsi="宋体" w:cs="宋体"/>
          <w:sz w:val="24"/>
        </w:rPr>
        <w:t>2</w:t>
      </w:r>
      <w:r>
        <w:rPr>
          <w:rFonts w:hint="eastAsia" w:ascii="宋体" w:hAnsi="宋体" w:cs="宋体"/>
          <w:sz w:val="24"/>
        </w:rPr>
        <w:t>人。</w:t>
      </w:r>
      <w:r>
        <w:rPr>
          <w:rFonts w:hint="eastAsia" w:ascii="宋体" w:hAnsi="宋体" w:eastAsia="宋体" w:cs="宋体"/>
          <w:sz w:val="24"/>
        </w:rPr>
        <w:t>比2019届毕业生考取国家基层项目人数</w:t>
      </w:r>
      <w:r>
        <w:rPr>
          <w:rFonts w:hint="eastAsia" w:ascii="宋体" w:hAnsi="宋体" w:eastAsia="宋体" w:cs="宋体"/>
          <w:sz w:val="24"/>
          <w:lang w:val="en-US" w:eastAsia="zh-Hans"/>
        </w:rPr>
        <w:t>减少</w:t>
      </w:r>
      <w:r>
        <w:rPr>
          <w:rFonts w:hint="eastAsia" w:ascii="宋体" w:hAnsi="宋体" w:eastAsia="宋体" w:cs="宋体"/>
          <w:sz w:val="24"/>
        </w:rPr>
        <w:t>了6人。</w:t>
      </w:r>
    </w:p>
    <w:p>
      <w:pPr>
        <w:pStyle w:val="3"/>
        <w:numPr>
          <w:ilvl w:val="0"/>
          <w:numId w:val="15"/>
        </w:numPr>
        <w:spacing w:line="360" w:lineRule="auto"/>
        <w:rPr>
          <w:rFonts w:ascii="宋体" w:hAnsi="宋体" w:eastAsia="宋体"/>
          <w:sz w:val="30"/>
          <w:szCs w:val="30"/>
        </w:rPr>
      </w:pPr>
      <w:bookmarkStart w:id="115" w:name="_Toc504614068"/>
      <w:r>
        <w:rPr>
          <w:rFonts w:hint="eastAsia" w:ascii="宋体" w:hAnsi="宋体" w:eastAsia="宋体"/>
          <w:sz w:val="30"/>
          <w:szCs w:val="30"/>
        </w:rPr>
        <w:t>坚持推进创新创业教育及服务体系</w:t>
      </w:r>
      <w:bookmarkEnd w:id="115"/>
    </w:p>
    <w:p>
      <w:pPr>
        <w:spacing w:before="312" w:beforeLines="100" w:line="360" w:lineRule="auto"/>
        <w:ind w:firstLine="540" w:firstLineChars="225"/>
        <w:rPr>
          <w:rFonts w:ascii="??_GB2312" w:hAnsi="宋体" w:eastAsia="Times New Roman"/>
          <w:sz w:val="24"/>
        </w:rPr>
      </w:pPr>
      <w:bookmarkStart w:id="116" w:name="OLE_LINK1"/>
      <w:bookmarkStart w:id="117" w:name="OLE_LINK3"/>
      <w:bookmarkStart w:id="118" w:name="OLE_LINK2"/>
      <w:r>
        <w:rPr>
          <w:rFonts w:hint="eastAsia" w:ascii="宋体" w:hAnsi="宋体" w:eastAsia="宋体" w:cs="宋体"/>
          <w:sz w:val="24"/>
        </w:rPr>
        <w:t>高校开展创新创业教育，是时代发展和现实的必然要求，也是高等教育改革的必然趋势。我院主动适应经济发展新常态和国家创新驱动发展战略对人才培养的新需要，以深化创新创业教育改革为突破口，以提高人才培养质量为核心，以培养创新精神、创业意识和提升创新创业能力为重点，以创新创业实践训练为特色，以创新学分、双创基金为抓手，以科技创新、创业孵化、文化引领为载体，以完善的条件和制度为支撑，形成了“教学深化—科研辅助—以赛促创—服务支撑—文化引领”五位一体的创新创业工作体系</w:t>
      </w:r>
      <w:bookmarkEnd w:id="116"/>
      <w:bookmarkEnd w:id="117"/>
      <w:bookmarkEnd w:id="118"/>
      <w:r>
        <w:rPr>
          <w:rFonts w:hint="eastAsia" w:ascii="宋体" w:hAnsi="宋体" w:eastAsia="宋体" w:cs="宋体"/>
          <w:sz w:val="24"/>
        </w:rPr>
        <w:t>。</w:t>
      </w:r>
    </w:p>
    <w:p>
      <w:pPr>
        <w:pStyle w:val="4"/>
        <w:numPr>
          <w:ilvl w:val="1"/>
          <w:numId w:val="15"/>
        </w:numPr>
        <w:spacing w:line="360" w:lineRule="auto"/>
        <w:rPr>
          <w:sz w:val="28"/>
        </w:rPr>
      </w:pPr>
      <w:r>
        <w:rPr>
          <w:rFonts w:hint="eastAsia"/>
          <w:sz w:val="28"/>
        </w:rPr>
        <w:t>加强创新创业指导服务</w:t>
      </w:r>
    </w:p>
    <w:p>
      <w:pPr>
        <w:spacing w:before="312" w:beforeLines="100" w:line="360" w:lineRule="auto"/>
        <w:ind w:firstLine="480" w:firstLineChars="200"/>
        <w:rPr>
          <w:rFonts w:hint="eastAsia" w:ascii="宋体" w:hAnsi="宋体" w:eastAsia="宋体" w:cs="宋体"/>
          <w:sz w:val="24"/>
        </w:rPr>
      </w:pPr>
      <w:r>
        <w:rPr>
          <w:rFonts w:hint="eastAsia" w:ascii="宋体" w:hAnsi="宋体" w:eastAsia="宋体" w:cs="宋体"/>
          <w:sz w:val="24"/>
        </w:rPr>
        <w:t>首先，形成多层次、开放式的“导师＋”创新创业项目团队，带领其参加国家、自治区组织的创业大赛，以赛事的形式为学生积累丰富的经验与资源。依托“创新创业教育中心”形成了校内指导教师团队，依托各项创业赛事，形成了校外实践导师团队，另外学院还举办了</w:t>
      </w:r>
      <w:r>
        <w:rPr>
          <w:rFonts w:hint="eastAsia" w:ascii="宋体" w:hAnsi="宋体" w:eastAsia="宋体" w:cs="宋体"/>
          <w:bCs/>
          <w:sz w:val="24"/>
        </w:rPr>
        <w:t>内蒙古大学创业学院</w:t>
      </w:r>
      <w:r>
        <w:rPr>
          <w:rFonts w:hint="eastAsia" w:ascii="宋体" w:hAnsi="宋体" w:cs="宋体"/>
          <w:bCs/>
          <w:sz w:val="24"/>
        </w:rPr>
        <w:t>2020</w:t>
      </w:r>
      <w:r>
        <w:rPr>
          <w:rFonts w:hint="eastAsia" w:ascii="宋体" w:hAnsi="宋体" w:eastAsia="宋体" w:cs="宋体"/>
          <w:bCs/>
          <w:sz w:val="24"/>
        </w:rPr>
        <w:t>年大学生创业大赛，力图以创新竞赛的形式催化创业能力。</w:t>
      </w:r>
    </w:p>
    <w:p>
      <w:pPr>
        <w:spacing w:before="312" w:beforeLines="100" w:line="360" w:lineRule="auto"/>
        <w:ind w:firstLine="540" w:firstLineChars="225"/>
        <w:rPr>
          <w:rFonts w:hint="eastAsia" w:ascii="宋体" w:hAnsi="宋体" w:eastAsia="宋体" w:cs="宋体"/>
          <w:sz w:val="24"/>
        </w:rPr>
      </w:pPr>
      <w:r>
        <w:rPr>
          <w:rFonts w:hint="eastAsia" w:ascii="宋体" w:hAnsi="宋体" w:eastAsia="宋体" w:cs="宋体"/>
          <w:sz w:val="24"/>
        </w:rPr>
        <w:t>其次，鼓励有创业意向学生积极参与</w:t>
      </w:r>
      <w:r>
        <w:rPr>
          <w:rFonts w:hint="eastAsia" w:ascii="宋体" w:hAnsi="宋体" w:eastAsia="宋体" w:cs="宋体"/>
          <w:bCs/>
          <w:sz w:val="24"/>
        </w:rPr>
        <w:t>优秀校友系列活动——创业典型交流会</w:t>
      </w:r>
      <w:r>
        <w:rPr>
          <w:rFonts w:hint="eastAsia" w:ascii="宋体" w:hAnsi="宋体" w:eastAsia="宋体" w:cs="宋体"/>
          <w:sz w:val="24"/>
        </w:rPr>
        <w:t>、创业培训讲座、创新创业成果展系列活动、大学生创业知识讲座等各类创业活动。与玉泉区人民政府、玉泉区乐创空间联合开展创新创业宣讲会；举办优秀创业者交流会“创业那些事”主题座谈会,举办大学生创业知识讲座等，利用创新创业典型助推创业梦想。</w:t>
      </w:r>
    </w:p>
    <w:p>
      <w:pPr>
        <w:pStyle w:val="4"/>
        <w:numPr>
          <w:ilvl w:val="1"/>
          <w:numId w:val="15"/>
        </w:numPr>
        <w:spacing w:line="360" w:lineRule="auto"/>
        <w:rPr>
          <w:sz w:val="28"/>
        </w:rPr>
      </w:pPr>
      <w:r>
        <w:rPr>
          <w:rFonts w:hint="eastAsia"/>
          <w:sz w:val="28"/>
        </w:rPr>
        <w:t>深化创新创业教育</w:t>
      </w:r>
    </w:p>
    <w:p>
      <w:pPr>
        <w:spacing w:line="360" w:lineRule="auto"/>
        <w:ind w:firstLine="540" w:firstLineChars="225"/>
        <w:rPr>
          <w:rFonts w:hint="eastAsia" w:ascii="宋体" w:hAnsi="宋体" w:eastAsia="宋体" w:cs="宋体"/>
          <w:sz w:val="24"/>
        </w:rPr>
      </w:pPr>
      <w:r>
        <w:rPr>
          <w:rFonts w:hint="eastAsia" w:ascii="宋体" w:hAnsi="宋体" w:eastAsia="宋体" w:cs="宋体"/>
          <w:sz w:val="24"/>
        </w:rPr>
        <w:t>学院致力于将创新创业教育融入专业教学和人才培养全过程，将创新创业精神、思维及知识技能等融入就业指导教材和就业指导课程。首先将大学生创业实训课程纳入必修课程，2学分。2017年10月27日，“中国移动互联网教育产业联盟创新创业与就业教育示范基地”和“创业学院创新创业教育中心”在学院举行了揭牌仪式，创新创业教育中心以仿真实训课的形式，为学生搭建创业素质和能力提升的有效平台。截止</w:t>
      </w:r>
      <w:r>
        <w:rPr>
          <w:rFonts w:hint="eastAsia" w:ascii="宋体" w:hAnsi="宋体" w:cs="宋体"/>
          <w:sz w:val="24"/>
        </w:rPr>
        <w:t>2020</w:t>
      </w:r>
      <w:r>
        <w:rPr>
          <w:rFonts w:hint="eastAsia" w:ascii="宋体" w:hAnsi="宋体" w:eastAsia="宋体" w:cs="宋体"/>
          <w:sz w:val="24"/>
        </w:rPr>
        <w:t>年12月，我院的仿真实训课开设14期，全院1</w:t>
      </w:r>
      <w:r>
        <w:rPr>
          <w:rFonts w:hint="eastAsia" w:ascii="宋体" w:hAnsi="宋体" w:cs="宋体"/>
          <w:sz w:val="24"/>
        </w:rPr>
        <w:t>9</w:t>
      </w:r>
      <w:r>
        <w:rPr>
          <w:rFonts w:hint="eastAsia" w:ascii="宋体" w:hAnsi="宋体" w:eastAsia="宋体" w:cs="宋体"/>
          <w:sz w:val="24"/>
        </w:rPr>
        <w:t>00余人参加了此课程。</w:t>
      </w:r>
    </w:p>
    <w:p>
      <w:pPr>
        <w:pStyle w:val="4"/>
        <w:numPr>
          <w:ilvl w:val="1"/>
          <w:numId w:val="15"/>
        </w:numPr>
        <w:spacing w:line="360" w:lineRule="auto"/>
        <w:rPr>
          <w:sz w:val="28"/>
        </w:rPr>
      </w:pPr>
      <w:r>
        <w:rPr>
          <w:rFonts w:hint="eastAsia"/>
          <w:sz w:val="28"/>
        </w:rPr>
        <w:t>搭建创新创业扶持平台</w:t>
      </w:r>
    </w:p>
    <w:p>
      <w:pPr>
        <w:spacing w:before="312" w:beforeLines="100" w:line="360" w:lineRule="auto"/>
        <w:ind w:firstLine="540" w:firstLineChars="225"/>
        <w:rPr>
          <w:rFonts w:hint="eastAsia" w:ascii="宋体" w:hAnsi="宋体" w:eastAsia="宋体" w:cs="宋体"/>
          <w:bCs/>
          <w:sz w:val="24"/>
        </w:rPr>
      </w:pPr>
      <w:r>
        <w:rPr>
          <w:rFonts w:hint="eastAsia" w:ascii="宋体" w:hAnsi="宋体" w:eastAsia="宋体" w:cs="宋体"/>
          <w:sz w:val="24"/>
        </w:rPr>
        <w:t>首先，提供创业空间扶持。积极利用地域优势，与呼和浩玉泉区裕隆工业园、呼和浩特玉泉电子商务产业园、</w:t>
      </w:r>
      <w:r>
        <w:rPr>
          <w:rFonts w:hint="eastAsia" w:ascii="宋体" w:hAnsi="宋体" w:eastAsia="宋体" w:cs="宋体"/>
          <w:bCs/>
          <w:sz w:val="24"/>
        </w:rPr>
        <w:t>玉泉区汇豪天下乐创空间、软通动力集团等创业基地合作。目前</w:t>
      </w:r>
      <w:r>
        <w:rPr>
          <w:rFonts w:hint="eastAsia" w:ascii="宋体" w:hAnsi="宋体" w:eastAsia="宋体" w:cs="宋体"/>
          <w:sz w:val="24"/>
        </w:rPr>
        <w:t>我院就业创业工作已辐射至呼和浩特玉泉电子商务产业园、呼和浩特裕隆工业园区以及呼和浩特玉泉大厦三大区域，未来学院就业创业工作发展目标是通过资源优势与优惠政策的有效结合，建立大学生创业孵化基地、实训基地、实践教学基地，树立我院创新创业教育的品牌和特色</w:t>
      </w:r>
      <w:r>
        <w:rPr>
          <w:rFonts w:hint="eastAsia" w:ascii="宋体" w:hAnsi="宋体" w:eastAsia="宋体" w:cs="宋体"/>
          <w:bCs/>
          <w:sz w:val="24"/>
        </w:rPr>
        <w:t>。</w:t>
      </w:r>
    </w:p>
    <w:p>
      <w:pPr>
        <w:bidi w:val="0"/>
        <w:spacing w:before="312" w:beforeLines="100" w:line="360" w:lineRule="auto"/>
        <w:ind w:firstLine="540" w:firstLineChars="225"/>
        <w:rPr>
          <w:rFonts w:hint="eastAsia" w:ascii="宋体" w:hAnsi="宋体" w:eastAsia="宋体" w:cs="宋体"/>
          <w:bCs/>
          <w:sz w:val="24"/>
          <w:szCs w:val="22"/>
        </w:rPr>
      </w:pPr>
      <w:r>
        <w:rPr>
          <w:rFonts w:hint="eastAsia" w:ascii="宋体" w:hAnsi="宋体" w:eastAsia="宋体" w:cs="宋体"/>
          <w:bCs/>
          <w:sz w:val="24"/>
        </w:rPr>
        <w:t>其次，提供资金支持。组织学生申报全国大学生创业基金的同时批准</w:t>
      </w:r>
      <w:r>
        <w:rPr>
          <w:rFonts w:hint="eastAsia" w:ascii="宋体" w:hAnsi="宋体" w:eastAsia="宋体" w:cs="宋体"/>
          <w:sz w:val="24"/>
        </w:rPr>
        <w:t>设置内蒙古大学创业学院创新创业基金，</w:t>
      </w:r>
      <w:r>
        <w:rPr>
          <w:rFonts w:hint="eastAsia" w:ascii="宋体" w:hAnsi="宋体" w:eastAsia="宋体" w:cs="宋体"/>
          <w:bCs/>
          <w:sz w:val="24"/>
        </w:rPr>
        <w:t>建立学生创业发展基金项目。2019年学生创</w:t>
      </w:r>
      <w:r>
        <w:rPr>
          <w:rFonts w:hint="eastAsia" w:ascii="宋体" w:hAnsi="宋体" w:eastAsia="宋体" w:cs="宋体"/>
          <w:bCs/>
          <w:sz w:val="24"/>
          <w:szCs w:val="22"/>
        </w:rPr>
        <w:t>业发展基金于2019年6月立项，经过一年的项目孵化，中心于</w:t>
      </w:r>
      <w:r>
        <w:rPr>
          <w:rFonts w:hint="eastAsia" w:ascii="宋体" w:hAnsi="宋体" w:cs="宋体"/>
          <w:bCs/>
          <w:sz w:val="24"/>
          <w:szCs w:val="22"/>
        </w:rPr>
        <w:t>2020</w:t>
      </w:r>
      <w:r>
        <w:rPr>
          <w:rFonts w:hint="eastAsia" w:ascii="宋体" w:hAnsi="宋体" w:eastAsia="宋体" w:cs="宋体"/>
          <w:bCs/>
          <w:sz w:val="24"/>
          <w:szCs w:val="22"/>
        </w:rPr>
        <w:t>年6月对2019年度学生创业发展基金项目开展情况进行了审议。同时，学院于</w:t>
      </w:r>
      <w:r>
        <w:rPr>
          <w:rFonts w:hint="eastAsia" w:ascii="宋体" w:hAnsi="宋体" w:cs="宋体"/>
          <w:bCs/>
          <w:sz w:val="24"/>
          <w:szCs w:val="22"/>
        </w:rPr>
        <w:t>2020</w:t>
      </w:r>
      <w:r>
        <w:rPr>
          <w:rFonts w:hint="eastAsia" w:ascii="宋体" w:hAnsi="宋体" w:eastAsia="宋体" w:cs="宋体"/>
          <w:bCs/>
          <w:sz w:val="24"/>
          <w:szCs w:val="22"/>
        </w:rPr>
        <w:t>年4月发布《关于组织申报</w:t>
      </w:r>
      <w:r>
        <w:rPr>
          <w:rFonts w:hint="eastAsia" w:ascii="宋体" w:hAnsi="宋体" w:cs="宋体"/>
          <w:bCs/>
          <w:sz w:val="24"/>
          <w:szCs w:val="22"/>
        </w:rPr>
        <w:t>2020</w:t>
      </w:r>
      <w:r>
        <w:rPr>
          <w:rFonts w:hint="eastAsia" w:ascii="宋体" w:hAnsi="宋体" w:eastAsia="宋体" w:cs="宋体"/>
          <w:bCs/>
          <w:sz w:val="24"/>
          <w:szCs w:val="22"/>
        </w:rPr>
        <w:t>年度内蒙古大学创业学院学生创业发展基金项目的通知》,组织学生进行</w:t>
      </w:r>
      <w:r>
        <w:rPr>
          <w:rFonts w:hint="eastAsia" w:ascii="宋体" w:hAnsi="宋体" w:cs="宋体"/>
          <w:bCs/>
          <w:sz w:val="24"/>
          <w:szCs w:val="22"/>
        </w:rPr>
        <w:t>2020</w:t>
      </w:r>
      <w:r>
        <w:rPr>
          <w:rFonts w:hint="eastAsia" w:ascii="宋体" w:hAnsi="宋体" w:eastAsia="宋体" w:cs="宋体"/>
          <w:bCs/>
          <w:sz w:val="24"/>
          <w:szCs w:val="22"/>
        </w:rPr>
        <w:t>年创业发展基金申报。经过前期组织申报与项目答辩，学生创业发展基金于</w:t>
      </w:r>
      <w:r>
        <w:rPr>
          <w:rFonts w:hint="eastAsia" w:ascii="宋体" w:hAnsi="宋体" w:cs="宋体"/>
          <w:bCs/>
          <w:sz w:val="24"/>
          <w:szCs w:val="22"/>
        </w:rPr>
        <w:t>2020</w:t>
      </w:r>
      <w:r>
        <w:rPr>
          <w:rFonts w:hint="eastAsia" w:ascii="宋体" w:hAnsi="宋体" w:eastAsia="宋体" w:cs="宋体"/>
          <w:bCs/>
          <w:sz w:val="24"/>
          <w:szCs w:val="22"/>
        </w:rPr>
        <w:t>年7月批准立项，创业项目获得立项资助。创业基金项目的设立，为大学生实现创业梦想创造了有利条件，也为学生解决了资金短缺的后顾之忧。为了响应国家对大学生创业的号召、激发我校学生创新、创业的激情，培养创新意识、激发创意思维、提高创造能力、鼓励创业精神，内蒙古大学创业学院“2020年创业大赛暨创业基金立项评审会”总决赛于2020年10月23日在学术报告厅成功举办。本次大赛由我院招生与就业服务中心与金桥电子商务产业园、呼和浩特市中小商贸流通企业公共服务中心、创业者俱乐部在学术报告厅联合举办。招生与就业服务中心主任温建森作开场致辞，提出希望通过校企合作的方式，为我院学生搭建创业平台，拓宽就业渠道，提高学生实践能力，以创业带动就业，培养大批实用型本科人才。“2020年创业大赛暨创业基金立项评审会”荣幸邀请到了付长青、刘俊辰、解嵘、王钢、朗磊、刘洪章、韩长江七位评委老师担任本次总决赛评委。创友校园-一站式综合服务平台团队、等比缩小模型的精确化设计生产项目团队、小小码农-少儿编程团队</w:t>
      </w:r>
      <w:r>
        <w:rPr>
          <w:rFonts w:hint="eastAsia" w:ascii="宋体" w:hAnsi="宋体" w:cs="宋体"/>
          <w:bCs/>
          <w:sz w:val="24"/>
          <w:szCs w:val="22"/>
        </w:rPr>
        <w:t>、</w:t>
      </w:r>
      <w:r>
        <w:rPr>
          <w:rFonts w:hint="eastAsia" w:ascii="宋体" w:hAnsi="宋体" w:eastAsia="宋体" w:cs="宋体"/>
          <w:bCs/>
          <w:sz w:val="24"/>
          <w:szCs w:val="22"/>
        </w:rPr>
        <w:t>蓝色星球文化传媒团队、哈苏梦工厂团队FBOX饭盒-校园共享厨房团队</w:t>
      </w:r>
      <w:r>
        <w:rPr>
          <w:rFonts w:hint="eastAsia" w:ascii="宋体" w:hAnsi="宋体" w:cs="宋体"/>
          <w:bCs/>
          <w:sz w:val="24"/>
          <w:szCs w:val="22"/>
        </w:rPr>
        <w:t>。</w:t>
      </w:r>
      <w:r>
        <w:rPr>
          <w:rFonts w:hint="eastAsia" w:ascii="宋体" w:hAnsi="宋体" w:cs="宋体"/>
          <w:bCs/>
          <w:sz w:val="24"/>
          <w:szCs w:val="22"/>
          <w:lang w:val="en-US" w:eastAsia="zh-Hans"/>
        </w:rPr>
        <w:t>此类</w:t>
      </w:r>
      <w:r>
        <w:rPr>
          <w:rFonts w:hint="eastAsia" w:ascii="宋体" w:hAnsi="宋体" w:eastAsia="宋体" w:cs="宋体"/>
          <w:bCs/>
          <w:sz w:val="24"/>
          <w:szCs w:val="22"/>
        </w:rPr>
        <w:t>大赛为我院学子搭建了展示和交流的平台，同时促进了我院对大学生创新创业训练计划项目的宣传，提高了学生参与的兴趣和热情，以此帮助更多青年实现创业梦想，助力他们在更广阔的天地中施展抱负，实现人生目标与价值。</w:t>
      </w:r>
    </w:p>
    <w:p>
      <w:pPr>
        <w:spacing w:before="312" w:beforeLines="100" w:line="360" w:lineRule="auto"/>
        <w:ind w:firstLine="480" w:firstLineChars="200"/>
        <w:rPr>
          <w:rFonts w:ascii="??_GB2312" w:hAnsi="宋体" w:eastAsia="Times New Roman"/>
          <w:sz w:val="24"/>
        </w:rPr>
      </w:pPr>
    </w:p>
    <w:p>
      <w:pPr>
        <w:jc w:val="center"/>
      </w:pPr>
      <w:r>
        <w:drawing>
          <wp:inline distT="0" distB="0" distL="0" distR="0">
            <wp:extent cx="2320925" cy="1776095"/>
            <wp:effectExtent l="0" t="0" r="0" b="0"/>
            <wp:docPr id="66" name="图片 66" descr="决赛金奖"/>
            <wp:cNvGraphicFramePr/>
            <a:graphic xmlns:a="http://schemas.openxmlformats.org/drawingml/2006/main">
              <a:graphicData uri="http://schemas.openxmlformats.org/drawingml/2006/picture">
                <pic:pic xmlns:pic="http://schemas.openxmlformats.org/drawingml/2006/picture">
                  <pic:nvPicPr>
                    <pic:cNvPr id="66" name="图片 66" descr="决赛金奖"/>
                    <pic:cNvPicPr/>
                  </pic:nvPicPr>
                  <pic:blipFill>
                    <a:blip r:embed="rId86">
                      <a:extLst>
                        <a:ext uri="{28A0092B-C50C-407E-A947-70E740481C1C}">
                          <a14:useLocalDpi xmlns:a14="http://schemas.microsoft.com/office/drawing/2010/main" val="0"/>
                        </a:ext>
                      </a:extLst>
                    </a:blip>
                    <a:srcRect/>
                    <a:stretch>
                      <a:fillRect/>
                    </a:stretch>
                  </pic:blipFill>
                  <pic:spPr>
                    <a:xfrm>
                      <a:off x="0" y="0"/>
                      <a:ext cx="2320925" cy="1776095"/>
                    </a:xfrm>
                    <a:prstGeom prst="rect">
                      <a:avLst/>
                    </a:prstGeom>
                    <a:noFill/>
                    <a:ln>
                      <a:noFill/>
                    </a:ln>
                  </pic:spPr>
                </pic:pic>
              </a:graphicData>
            </a:graphic>
          </wp:inline>
        </w:drawing>
      </w:r>
      <w:r>
        <w:drawing>
          <wp:inline distT="0" distB="0" distL="0" distR="0">
            <wp:extent cx="2487930" cy="1776095"/>
            <wp:effectExtent l="0" t="0" r="0" b="0"/>
            <wp:docPr id="67" name="图片 67" descr="团队训练营"/>
            <wp:cNvGraphicFramePr/>
            <a:graphic xmlns:a="http://schemas.openxmlformats.org/drawingml/2006/main">
              <a:graphicData uri="http://schemas.openxmlformats.org/drawingml/2006/picture">
                <pic:pic xmlns:pic="http://schemas.openxmlformats.org/drawingml/2006/picture">
                  <pic:nvPicPr>
                    <pic:cNvPr id="67" name="图片 67" descr="团队训练营"/>
                    <pic:cNvPicPr/>
                  </pic:nvPicPr>
                  <pic:blipFill>
                    <a:blip r:embed="rId87">
                      <a:extLst>
                        <a:ext uri="{28A0092B-C50C-407E-A947-70E740481C1C}">
                          <a14:useLocalDpi xmlns:a14="http://schemas.microsoft.com/office/drawing/2010/main" val="0"/>
                        </a:ext>
                      </a:extLst>
                    </a:blip>
                    <a:srcRect/>
                    <a:stretch>
                      <a:fillRect/>
                    </a:stretch>
                  </pic:blipFill>
                  <pic:spPr>
                    <a:xfrm>
                      <a:off x="0" y="0"/>
                      <a:ext cx="2487930" cy="1776095"/>
                    </a:xfrm>
                    <a:prstGeom prst="rect">
                      <a:avLst/>
                    </a:prstGeom>
                    <a:noFill/>
                    <a:ln>
                      <a:noFill/>
                    </a:ln>
                  </pic:spPr>
                </pic:pic>
              </a:graphicData>
            </a:graphic>
          </wp:inline>
        </w:drawing>
      </w:r>
    </w:p>
    <w:p>
      <w:pPr>
        <w:jc w:val="center"/>
      </w:pPr>
      <w:r>
        <w:drawing>
          <wp:inline distT="0" distB="0" distL="0" distR="0">
            <wp:extent cx="2320925" cy="1638300"/>
            <wp:effectExtent l="0" t="0" r="10795" b="7620"/>
            <wp:docPr id="68" name="图片 68" descr="揭牌仪式"/>
            <wp:cNvGraphicFramePr/>
            <a:graphic xmlns:a="http://schemas.openxmlformats.org/drawingml/2006/main">
              <a:graphicData uri="http://schemas.openxmlformats.org/drawingml/2006/picture">
                <pic:pic xmlns:pic="http://schemas.openxmlformats.org/drawingml/2006/picture">
                  <pic:nvPicPr>
                    <pic:cNvPr id="68" name="图片 68" descr="揭牌仪式"/>
                    <pic:cNvPicPr/>
                  </pic:nvPicPr>
                  <pic:blipFill>
                    <a:blip r:embed="rId88">
                      <a:extLst>
                        <a:ext uri="{28A0092B-C50C-407E-A947-70E740481C1C}">
                          <a14:useLocalDpi xmlns:a14="http://schemas.microsoft.com/office/drawing/2010/main" val="0"/>
                        </a:ext>
                      </a:extLst>
                    </a:blip>
                    <a:srcRect/>
                    <a:stretch>
                      <a:fillRect/>
                    </a:stretch>
                  </pic:blipFill>
                  <pic:spPr>
                    <a:xfrm>
                      <a:off x="0" y="0"/>
                      <a:ext cx="2320925" cy="1638300"/>
                    </a:xfrm>
                    <a:prstGeom prst="rect">
                      <a:avLst/>
                    </a:prstGeom>
                    <a:noFill/>
                    <a:ln>
                      <a:noFill/>
                    </a:ln>
                  </pic:spPr>
                </pic:pic>
              </a:graphicData>
            </a:graphic>
          </wp:inline>
        </w:drawing>
      </w:r>
      <w:r>
        <w:drawing>
          <wp:inline distT="0" distB="0" distL="0" distR="0">
            <wp:extent cx="2487930" cy="1657985"/>
            <wp:effectExtent l="0" t="0" r="11430" b="3175"/>
            <wp:docPr id="69" name="图片 69" descr="/Users/wangxuan/Desktop/IMG_1441(20210121-210258).JPGIMG_1441(20210121-210258)"/>
            <wp:cNvGraphicFramePr/>
            <a:graphic xmlns:a="http://schemas.openxmlformats.org/drawingml/2006/main">
              <a:graphicData uri="http://schemas.openxmlformats.org/drawingml/2006/picture">
                <pic:pic xmlns:pic="http://schemas.openxmlformats.org/drawingml/2006/picture">
                  <pic:nvPicPr>
                    <pic:cNvPr id="69" name="图片 69" descr="/Users/wangxuan/Desktop/IMG_1441(20210121-210258).JPGIMG_1441(20210121-210258)"/>
                    <pic:cNvPicPr/>
                  </pic:nvPicPr>
                  <pic:blipFill>
                    <a:blip r:embed="rId89"/>
                    <a:srcRect/>
                    <a:stretch>
                      <a:fillRect/>
                    </a:stretch>
                  </pic:blipFill>
                  <pic:spPr>
                    <a:xfrm>
                      <a:off x="0" y="0"/>
                      <a:ext cx="2487930" cy="1657985"/>
                    </a:xfrm>
                    <a:prstGeom prst="rect">
                      <a:avLst/>
                    </a:prstGeom>
                    <a:noFill/>
                    <a:ln>
                      <a:noFill/>
                    </a:ln>
                  </pic:spPr>
                </pic:pic>
              </a:graphicData>
            </a:graphic>
          </wp:inline>
        </w:drawing>
      </w:r>
    </w:p>
    <w:p>
      <w:pPr>
        <w:ind w:firstLine="210" w:firstLineChars="100"/>
        <w:jc w:val="left"/>
        <w:rPr>
          <w:rFonts w:hint="eastAsia" w:ascii="宋体" w:hAnsi="宋体" w:eastAsia="宋体" w:cs="宋体"/>
          <w:szCs w:val="21"/>
        </w:rPr>
      </w:pPr>
      <w:r>
        <w:rPr>
          <w:rFonts w:hint="eastAsia" w:ascii="宋体" w:hAnsi="宋体" w:eastAsia="宋体" w:cs="宋体"/>
          <w:bCs/>
          <w:szCs w:val="21"/>
        </w:rPr>
        <w:t>图6.4：左上</w:t>
      </w:r>
      <w:r>
        <w:rPr>
          <w:rFonts w:hint="eastAsia" w:ascii="宋体" w:hAnsi="宋体" w:eastAsia="宋体" w:cs="宋体"/>
          <w:szCs w:val="21"/>
        </w:rPr>
        <w:t>第三届内蒙古自治区“互联网+”大学生创新创业大赛决赛中斩获金奖；右上“互联网+”大学生创新创业训练营；左下创新创业教育中心揭牌仪式；右下</w:t>
      </w:r>
      <w:r>
        <w:rPr>
          <w:rFonts w:hint="eastAsia" w:ascii="宋体" w:hAnsi="宋体" w:eastAsia="宋体" w:cs="宋体"/>
          <w:bCs/>
          <w:szCs w:val="21"/>
        </w:rPr>
        <w:t>学生创业发展基金项目答辩会。</w:t>
      </w:r>
    </w:p>
    <w:p>
      <w:pPr>
        <w:pStyle w:val="3"/>
        <w:numPr>
          <w:ilvl w:val="0"/>
          <w:numId w:val="15"/>
        </w:numPr>
        <w:tabs>
          <w:tab w:val="left" w:pos="900"/>
          <w:tab w:val="clear" w:pos="1106"/>
        </w:tabs>
        <w:spacing w:line="360" w:lineRule="auto"/>
        <w:ind w:hanging="926"/>
        <w:rPr>
          <w:rFonts w:ascii="宋体" w:hAnsi="宋体" w:eastAsia="宋体"/>
          <w:sz w:val="30"/>
          <w:szCs w:val="30"/>
        </w:rPr>
      </w:pPr>
      <w:bookmarkStart w:id="119" w:name="_Toc504614069"/>
      <w:r>
        <w:rPr>
          <w:rFonts w:hint="eastAsia" w:ascii="宋体" w:hAnsi="宋体" w:eastAsia="宋体"/>
          <w:sz w:val="30"/>
          <w:szCs w:val="30"/>
        </w:rPr>
        <w:t>坚持建立健全的就业质量跟踪体系</w:t>
      </w:r>
      <w:bookmarkEnd w:id="119"/>
    </w:p>
    <w:p>
      <w:pPr>
        <w:spacing w:before="312" w:beforeLines="100" w:line="360" w:lineRule="auto"/>
        <w:ind w:firstLine="540" w:firstLineChars="225"/>
        <w:rPr>
          <w:rFonts w:hint="eastAsia" w:ascii="宋体" w:hAnsi="宋体" w:eastAsia="宋体" w:cs="宋体"/>
          <w:bCs/>
          <w:sz w:val="24"/>
        </w:rPr>
      </w:pPr>
      <w:r>
        <w:rPr>
          <w:rFonts w:hint="eastAsia" w:ascii="宋体" w:hAnsi="宋体" w:eastAsia="宋体" w:cs="宋体"/>
          <w:bCs/>
          <w:sz w:val="24"/>
        </w:rPr>
        <w:t>根据《教育部办公厅关于编制发布高校毕业生就业质量年度报告的通知》【教学厅函[2013]25号】文件要求，我院从2014年开始发布内蒙古大学创业学院年度就业质量报告，历时四年，对我院的毕业生就业结构、就业质量、就业工作内容形成了有效的跟踪监测。就业质量报告的发布预示着我院就业质量跟踪体系初步建成，学院每年按照就业质量评价指标，在校生、毕业生、用人单位以及招聘市场展开多维度、多层次、立体化的追踪调研,形成了具有创业学院特色的系统化的调研体系。</w:t>
      </w:r>
    </w:p>
    <w:p>
      <w:pPr>
        <w:spacing w:before="312" w:beforeLines="100" w:line="360" w:lineRule="auto"/>
        <w:ind w:firstLine="480" w:firstLineChars="200"/>
        <w:rPr>
          <w:rFonts w:hint="eastAsia" w:ascii="宋体" w:hAnsi="宋体" w:eastAsia="宋体" w:cs="宋体"/>
          <w:bCs/>
          <w:sz w:val="24"/>
        </w:rPr>
      </w:pPr>
      <w:r>
        <w:rPr>
          <w:rFonts w:hint="eastAsia" w:ascii="宋体" w:hAnsi="宋体" w:eastAsia="宋体" w:cs="宋体"/>
          <w:bCs/>
          <w:sz w:val="24"/>
        </w:rPr>
        <w:t>“内蒙古大学创业学院应届毕业生就业形势预测”主要分析当前经济和就业形势对应届毕业生就业的影响，用人需求信息同比变化及原因，毕业生求职意向及心态的变化；学院创新创业教育开展情况等；“内蒙古大学创业学院毕业生就业情况跟踪调查”分为毕业生与用人单位两部分，通过网络问卷的形式，调研毕业生具体就业情况、毕业生满意度、用人单位对毕业生及学院的评价以及意见和建议；“内蒙古大学创业学院校园招聘会调查问卷”主要在大型校园招聘会期间，调查用人单位及就业市场对我院毕业生及招聘会的具体评价；“</w:t>
      </w:r>
      <w:r>
        <w:rPr>
          <w:rFonts w:hint="eastAsia" w:ascii="宋体" w:hAnsi="宋体" w:eastAsia="宋体" w:cs="宋体"/>
          <w:sz w:val="24"/>
        </w:rPr>
        <w:t xml:space="preserve"> </w:t>
      </w:r>
      <w:r>
        <w:rPr>
          <w:rFonts w:hint="eastAsia" w:ascii="宋体" w:hAnsi="宋体" w:eastAsia="宋体" w:cs="宋体"/>
          <w:bCs/>
          <w:sz w:val="24"/>
        </w:rPr>
        <w:t>内蒙古大学创业学院毕业生就业满意度调查表”是我院就业工作人员在实地走访期间，对历届毕业生展开的长期职业跟踪调研。我院开展的一系列调研为人才培养、教育教学、创新创业教育以及就业服务质量提供了强有力的数据支撑。</w:t>
      </w:r>
    </w:p>
    <w:p>
      <w:pPr>
        <w:rPr>
          <w:rFonts w:ascii="黑体" w:eastAsia="黑体"/>
          <w:sz w:val="24"/>
          <w:szCs w:val="24"/>
        </w:rPr>
      </w:pPr>
      <w:bookmarkStart w:id="120" w:name="_Toc504614070"/>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rPr>
          <w:rFonts w:ascii="黑体" w:eastAsia="黑体"/>
          <w:sz w:val="24"/>
          <w:szCs w:val="24"/>
        </w:rPr>
      </w:pPr>
    </w:p>
    <w:p>
      <w:pPr>
        <w:pStyle w:val="2"/>
        <w:spacing w:line="360" w:lineRule="auto"/>
        <w:ind w:firstLine="3534" w:firstLineChars="1100"/>
        <w:jc w:val="left"/>
        <w:rPr>
          <w:rFonts w:ascii="黑体" w:eastAsia="黑体"/>
          <w:sz w:val="32"/>
          <w:szCs w:val="32"/>
        </w:rPr>
      </w:pPr>
      <w:r>
        <w:rPr>
          <w:rFonts w:hint="eastAsia" w:ascii="黑体" w:eastAsia="黑体"/>
          <w:sz w:val="32"/>
          <w:szCs w:val="32"/>
        </w:rPr>
        <w:t>结语</w:t>
      </w:r>
      <w:bookmarkEnd w:id="120"/>
    </w:p>
    <w:p>
      <w:pPr>
        <w:spacing w:line="360" w:lineRule="auto"/>
        <w:ind w:firstLine="480" w:firstLineChars="200"/>
        <w:rPr>
          <w:rFonts w:hint="eastAsia" w:ascii="宋体" w:hAnsi="宋体" w:eastAsia="宋体" w:cs="宋体"/>
          <w:bCs/>
          <w:sz w:val="24"/>
        </w:rPr>
      </w:pPr>
      <w:r>
        <w:rPr>
          <w:rFonts w:hint="eastAsia" w:ascii="宋体" w:hAnsi="宋体" w:eastAsia="宋体" w:cs="宋体"/>
          <w:bCs/>
          <w:sz w:val="24"/>
        </w:rPr>
        <w:t>国家始终将就业作为最大的民生，十九大报告指出“提高就业质量和人民收入水平，要坚持就业优先战略和积极就业政策，实现更高质量和更充分就业。”要“大规模开展职业技能培训，注重解决结构性就业矛盾，鼓励创业带动就业。”我院积极贯彻十九大精神，为就业工作建立阶段性规划，“一五规划”（2012-2016）完成了全院就业率的提升，“二五规划”（2017-2021）将着重关注学院毕业生就业质量，竭尽所能保证数量与质量呈现高效稳步上升趋势。</w:t>
      </w:r>
      <w:r>
        <w:rPr>
          <w:rFonts w:hint="eastAsia" w:ascii="宋体" w:hAnsi="宋体" w:cs="宋体"/>
          <w:bCs/>
          <w:sz w:val="24"/>
        </w:rPr>
        <w:t>2020</w:t>
      </w:r>
      <w:r>
        <w:rPr>
          <w:rFonts w:hint="eastAsia" w:ascii="宋体" w:hAnsi="宋体" w:eastAsia="宋体" w:cs="宋体"/>
          <w:bCs/>
          <w:sz w:val="24"/>
        </w:rPr>
        <w:t>年在大学生就业形势非常严峻的大环境下，我院的就业率较去年有所</w:t>
      </w:r>
      <w:r>
        <w:rPr>
          <w:rFonts w:hint="eastAsia" w:ascii="宋体" w:hAnsi="宋体" w:cs="宋体"/>
          <w:bCs/>
          <w:sz w:val="24"/>
        </w:rPr>
        <w:t>回落</w:t>
      </w:r>
      <w:r>
        <w:rPr>
          <w:rFonts w:hint="eastAsia" w:ascii="宋体" w:hAnsi="宋体" w:eastAsia="宋体" w:cs="宋体"/>
          <w:bCs/>
          <w:sz w:val="24"/>
        </w:rPr>
        <w:t>，</w:t>
      </w:r>
      <w:r>
        <w:rPr>
          <w:rFonts w:hint="eastAsia" w:ascii="宋体" w:hAnsi="宋体" w:cs="宋体"/>
          <w:bCs/>
          <w:sz w:val="24"/>
        </w:rPr>
        <w:t>但</w:t>
      </w:r>
      <w:r>
        <w:rPr>
          <w:rFonts w:hint="eastAsia" w:ascii="宋体" w:hAnsi="宋体" w:eastAsia="宋体" w:cs="宋体"/>
          <w:bCs/>
          <w:sz w:val="24"/>
        </w:rPr>
        <w:t>就业质量有了明显提高。相比成绩，就业工作中也存在着一定的问题，例如就业工作人员积极性需加强，招聘会工作包括场地设施、信息宣传工作有待加强，大学生职业生涯规划和就业指导课程内容更新不及时，学院就业指导教师培训较少，缺乏创新创业教育专业教师等。</w:t>
      </w:r>
    </w:p>
    <w:p>
      <w:pPr>
        <w:spacing w:after="312" w:afterLines="100" w:line="360" w:lineRule="auto"/>
        <w:ind w:firstLine="501" w:firstLineChars="209"/>
        <w:rPr>
          <w:rFonts w:ascii="??_GB2312" w:hAnsi="宋体" w:eastAsia="Times New Roman"/>
          <w:bCs/>
          <w:sz w:val="24"/>
        </w:rPr>
      </w:pPr>
      <w:r>
        <w:rPr>
          <w:rFonts w:hint="eastAsia" w:ascii="宋体" w:hAnsi="宋体" w:eastAsia="宋体" w:cs="宋体"/>
          <w:bCs/>
          <w:sz w:val="24"/>
        </w:rPr>
        <w:t>今后随着国家经济发展、主要矛盾转化、经济转型升级，制度改革进入新阶段，学院将进一步加强就业工作内涵建设，强化学生职业生涯规划教育，多方位提升学生的就业综合竞争力；加强就业指导及创新创业队伍建设，优化就业指导教学内容，不断提高就业指导的专业化与科学化水平；完善毕业生就业质量跟踪调查，反哺学校的专业建设和人才培养。学校全体工作人员将立足本职，理清思路，踏实进取，开拓创新，将圆满完成2020届毕业生就业工作。</w:t>
      </w:r>
      <w:r>
        <w:rPr>
          <w:rFonts w:ascii="??_GB2312" w:hAnsi="宋体" w:eastAsia="Times New Roman"/>
          <w:bCs/>
          <w:sz w:val="24"/>
        </w:rPr>
        <w:t xml:space="preserve"> </w:t>
      </w:r>
    </w:p>
    <w:p>
      <w:pPr>
        <w:spacing w:after="312" w:afterLines="100" w:line="360" w:lineRule="auto"/>
        <w:rPr>
          <w:rFonts w:ascii="宋体"/>
          <w:sz w:val="28"/>
          <w:szCs w:val="28"/>
        </w:rPr>
      </w:pPr>
    </w:p>
    <w:p>
      <w:pPr>
        <w:spacing w:before="312" w:beforeLines="100" w:line="360" w:lineRule="auto"/>
        <w:ind w:left="504" w:leftChars="240" w:firstLine="480" w:firstLineChars="200"/>
        <w:rPr>
          <w:rFonts w:ascii="??_GB2312" w:hAnsi="宋体" w:eastAsia="Times New Roman"/>
          <w:sz w:val="24"/>
        </w:rPr>
      </w:pPr>
    </w:p>
    <w:p>
      <w:pPr>
        <w:pStyle w:val="4"/>
        <w:rPr>
          <w:rFonts w:ascii="宋体"/>
          <w:sz w:val="28"/>
        </w:rPr>
      </w:pPr>
    </w:p>
    <w:sectPr>
      <w:headerReference r:id="rId7" w:type="first"/>
      <w:footerReference r:id="rId9" w:type="first"/>
      <w:footerReference r:id="rId8" w:type="default"/>
      <w:pgSz w:w="11906" w:h="16838"/>
      <w:pgMar w:top="1440" w:right="1758" w:bottom="1440" w:left="1758"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_GB2312">
    <w:altName w:val="Vijaya"/>
    <w:panose1 w:val="020B0604020202020204"/>
    <w:charset w:val="00"/>
    <w:family w:val="auto"/>
    <w:pitch w:val="default"/>
    <w:sig w:usb0="00000000" w:usb1="00000000" w:usb2="00000000" w:usb3="00000000" w:csb0="00000001" w:csb1="00000000"/>
  </w:font>
  <w:font w:name="Vijaya">
    <w:panose1 w:val="020B0604020202020204"/>
    <w:charset w:val="00"/>
    <w:family w:val="auto"/>
    <w:pitch w:val="default"/>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6192" behindDoc="0" locked="0" layoutInCell="1" allowOverlap="1">
              <wp:simplePos x="0" y="0"/>
              <wp:positionH relativeFrom="margin">
                <wp:posOffset>2628900</wp:posOffset>
              </wp:positionH>
              <wp:positionV relativeFrom="paragraph">
                <wp:posOffset>509905</wp:posOffset>
              </wp:positionV>
              <wp:extent cx="57785" cy="131445"/>
              <wp:effectExtent l="0" t="0" r="0" b="0"/>
              <wp:wrapNone/>
              <wp:docPr id="80" name="文本框 4"/>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wps:spPr>
                    <wps:txbx>
                      <w:txbxContent>
                        <w:p>
                          <w:pPr>
                            <w:pStyle w:val="12"/>
                          </w:pPr>
                          <w:r>
                            <w:fldChar w:fldCharType="begin"/>
                          </w:r>
                          <w:r>
                            <w:instrText xml:space="preserve"> PAGE  \* MERGEFORMAT </w:instrText>
                          </w:r>
                          <w:r>
                            <w:fldChar w:fldCharType="separate"/>
                          </w:r>
                          <w:r>
                            <w:t>39</w:t>
                          </w:r>
                          <w: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left:207pt;margin-top:40.15pt;height:10.35pt;width:4.55pt;mso-position-horizontal-relative:margin;mso-wrap-style:none;z-index:251656192;mso-width-relative:page;mso-height-relative:page;" filled="f" stroked="f" coordsize="21600,21600" o:gfxdata="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jsnwG1gAAAAoBAAAPAAAAAAAAAAEAIAAAACIAAABkcnMvZG93bnJldi54bWxQSwECFAAUAAAA&#10;CACHTuJACE+K1/ABAADSAwAADgAAAAAAAAABACAAAAAlAQAAZHJzL2Uyb0RvYy54bWxQSwUGAAAA&#10;AAYABgBZAQAAhw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57785" cy="131445"/>
              <wp:effectExtent l="0" t="0" r="0" b="0"/>
              <wp:wrapNone/>
              <wp:docPr id="78" name="文本框 5"/>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0.35pt;width:4.55pt;mso-position-horizontal:center;mso-position-horizontal-relative:margin;mso-wrap-style:none;z-index:25165721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4vd&#10;RNAAAAACAQAADwAAAAAAAAABACAAAAAiAAAAZHJzL2Rvd25yZXYueG1sUEsBAhQAFAAAAAgAh07i&#10;QEWP8P3xAQAA0gMAAA4AAAAAAAAAAQAgAAAAHwEAAGRycy9lMm9Eb2MueG1sUEsFBgAAAAAGAAYA&#10;WQEAAIIFA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0"/>
        <w:right w:val="none" w:color="auto" w:sz="0" w:space="0"/>
      </w:pBdr>
      <w:jc w:val="center"/>
      <w:rPr>
        <w:rFonts w:ascii="宋体"/>
        <w:b/>
        <w:sz w:val="21"/>
        <w:szCs w:val="21"/>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14935" cy="131445"/>
              <wp:effectExtent l="0" t="0" r="0" b="0"/>
              <wp:wrapNone/>
              <wp:docPr id="81" name="文本框 6"/>
              <wp:cNvGraphicFramePr/>
              <a:graphic xmlns:a="http://schemas.openxmlformats.org/drawingml/2006/main">
                <a:graphicData uri="http://schemas.microsoft.com/office/word/2010/wordprocessingShape">
                  <wps:wsp>
                    <wps:cNvSpPr txBox="1"/>
                    <wps:spPr bwMode="auto">
                      <a:xfrm>
                        <a:off x="0" y="0"/>
                        <a:ext cx="114935" cy="131445"/>
                      </a:xfrm>
                      <a:prstGeom prst="rect">
                        <a:avLst/>
                      </a:prstGeom>
                      <a:noFill/>
                      <a:ln>
                        <a:noFill/>
                      </a:ln>
                    </wps:spPr>
                    <wps:txbx>
                      <w:txbxContent>
                        <w:p>
                          <w:pPr>
                            <w:pStyle w:val="13"/>
                            <w:pBdr>
                              <w:top w:val="none" w:color="auto" w:sz="0" w:space="0"/>
                              <w:left w:val="none" w:color="auto" w:sz="0" w:space="0"/>
                              <w:bottom w:val="none" w:color="auto" w:sz="0" w:space="0"/>
                              <w:right w:val="none" w:color="auto" w:sz="0" w:space="0"/>
                            </w:pBdr>
                          </w:pP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9.05pt;mso-position-horizontal:center;mso-position-horizontal-relative:margin;mso-wrap-style:none;z-index:251658240;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V+&#10;SdAAAAADAQAADwAAAAAAAAABACAAAAAiAAAAZHJzL2Rvd25yZXYueG1sUEsBAhQAFAAAAAgAh07i&#10;QBd6KbTxAQAA0wMAAA4AAAAAAAAAAQAgAAAAHwEAAGRycy9lMm9Eb2MueG1sUEsFBgAAAAAGAAYA&#10;WQEAAIIFAAAAAA==&#10;">
              <v:fill on="f" focussize="0,0"/>
              <v:stroke on="f"/>
              <v:imagedata o:title=""/>
              <o:lock v:ext="edit" aspectratio="f"/>
              <v:textbox inset="0mm,0mm,0mm,0mm" style="mso-fit-shape-to-text:t;">
                <w:txbxContent>
                  <w:p>
                    <w:pPr>
                      <w:pStyle w:val="13"/>
                      <w:pBdr>
                        <w:top w:val="none" w:color="auto" w:sz="0" w:space="0"/>
                        <w:left w:val="none" w:color="auto" w:sz="0" w:space="0"/>
                        <w:bottom w:val="none" w:color="auto" w:sz="0" w:space="0"/>
                        <w:right w:val="none" w:color="auto" w:sz="0" w:space="0"/>
                      </w:pBdr>
                    </w:pPr>
                  </w:p>
                </w:txbxContent>
              </v:textbox>
            </v:shape>
          </w:pict>
        </mc:Fallback>
      </mc:AlternateContent>
    </w:r>
    <w:r>
      <w:rPr>
        <w:rFonts w:hint="eastAsia" w:ascii="宋体" w:hAnsi="宋体"/>
        <w:b/>
        <w:sz w:val="21"/>
        <w:szCs w:val="21"/>
      </w:rPr>
      <w:t>内蒙古大学创业学院</w:t>
    </w:r>
    <w:r>
      <w:rPr>
        <w:rFonts w:hint="eastAsia" w:ascii="宋体" w:hAnsi="宋体"/>
        <w:b/>
        <w:sz w:val="21"/>
        <w:szCs w:val="21"/>
        <w:lang w:val="en-US" w:eastAsia="zh-CN"/>
      </w:rPr>
      <w:t>2020</w:t>
    </w:r>
    <w:r>
      <w:rPr>
        <w:rFonts w:hint="eastAsia" w:ascii="宋体" w:hAnsi="宋体"/>
        <w:b/>
        <w:sz w:val="21"/>
        <w:szCs w:val="21"/>
      </w:rPr>
      <w:t>届毕业生就业质量年度报告</w:t>
    </w:r>
  </w:p>
  <w:p>
    <w:pPr>
      <w:pStyle w:val="13"/>
      <w:pBdr>
        <w:top w:val="none" w:color="auto" w:sz="0" w:space="0"/>
        <w:left w:val="none" w:color="auto" w:sz="0" w:space="0"/>
        <w:bottom w:val="single" w:color="auto" w:sz="4" w:space="1"/>
        <w:right w:val="none" w:color="auto" w:sz="0" w:space="0"/>
      </w:pBdr>
      <w:rPr>
        <w:rFonts w:ascii="宋体"/>
        <w:b/>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0"/>
        <w:right w:val="none" w:color="auto" w:sz="0" w:space="0"/>
      </w:pBdr>
    </w:pPr>
    <w:r>
      <w:drawing>
        <wp:inline distT="0" distB="0" distL="0" distR="0">
          <wp:extent cx="738505" cy="544830"/>
          <wp:effectExtent l="0" t="0" r="0" b="0"/>
          <wp:docPr id="77" name="图片 1" descr="复件 (4) 标志标准字组合"/>
          <wp:cNvGraphicFramePr/>
          <a:graphic xmlns:a="http://schemas.openxmlformats.org/drawingml/2006/main">
            <a:graphicData uri="http://schemas.openxmlformats.org/drawingml/2006/picture">
              <pic:pic xmlns:pic="http://schemas.openxmlformats.org/drawingml/2006/picture">
                <pic:nvPicPr>
                  <pic:cNvPr id="77" name="图片 1" descr="复件 (4) 标志标准字组合"/>
                  <pic:cNvPicPr/>
                </pic:nvPicPr>
                <pic:blipFill>
                  <a:blip r:embed="rId1">
                    <a:extLst>
                      <a:ext uri="{28A0092B-C50C-407E-A947-70E740481C1C}">
                        <a14:useLocalDpi xmlns:a14="http://schemas.microsoft.com/office/drawing/2010/main" val="0"/>
                      </a:ext>
                    </a:extLst>
                  </a:blip>
                  <a:srcRect/>
                  <a:stretch>
                    <a:fillRect/>
                  </a:stretch>
                </pic:blipFill>
                <pic:spPr>
                  <a:xfrm>
                    <a:off x="0" y="0"/>
                    <a:ext cx="738505" cy="544830"/>
                  </a:xfrm>
                  <a:prstGeom prst="rect">
                    <a:avLst/>
                  </a:prstGeom>
                  <a:noFill/>
                  <a:ln>
                    <a:noFill/>
                  </a:ln>
                </pic:spPr>
              </pic:pic>
            </a:graphicData>
          </a:graphic>
        </wp:inline>
      </w:drawing>
    </w:r>
    <w:r>
      <w:drawing>
        <wp:inline distT="0" distB="0" distL="0" distR="0">
          <wp:extent cx="2347595" cy="571500"/>
          <wp:effectExtent l="0" t="0" r="0" b="0"/>
          <wp:docPr id="76" name="图片 2"/>
          <wp:cNvGraphicFramePr/>
          <a:graphic xmlns:a="http://schemas.openxmlformats.org/drawingml/2006/main">
            <a:graphicData uri="http://schemas.openxmlformats.org/drawingml/2006/picture">
              <pic:pic xmlns:pic="http://schemas.openxmlformats.org/drawingml/2006/picture">
                <pic:nvPicPr>
                  <pic:cNvPr id="76" name="图片 2"/>
                  <pic:cNvPicPr/>
                </pic:nvPicPr>
                <pic:blipFill>
                  <a:blip r:embed="rId2">
                    <a:extLst>
                      <a:ext uri="{28A0092B-C50C-407E-A947-70E740481C1C}">
                        <a14:useLocalDpi xmlns:a14="http://schemas.microsoft.com/office/drawing/2010/main" val="0"/>
                      </a:ext>
                    </a:extLst>
                  </a:blip>
                  <a:srcRect/>
                  <a:stretch>
                    <a:fillRect/>
                  </a:stretch>
                </pic:blipFill>
                <pic:spPr>
                  <a:xfrm>
                    <a:off x="0" y="0"/>
                    <a:ext cx="2347595" cy="5715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single" w:color="auto" w:sz="4" w:space="1"/>
        <w:right w:val="none" w:color="auto" w:sz="0" w:space="0"/>
      </w:pBdr>
      <w:jc w:val="center"/>
      <w:rPr>
        <w:rFonts w:ascii="宋体"/>
        <w:bCs/>
        <w:szCs w:val="1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79" name="文本框 7"/>
              <wp:cNvGraphicFramePr/>
              <a:graphic xmlns:a="http://schemas.openxmlformats.org/drawingml/2006/main">
                <a:graphicData uri="http://schemas.microsoft.com/office/word/2010/wordprocessingShape">
                  <wps:wsp>
                    <wps:cNvSpPr txBox="1"/>
                    <wps:spPr bwMode="auto">
                      <a:xfrm>
                        <a:off x="0" y="0"/>
                        <a:ext cx="57785" cy="131445"/>
                      </a:xfrm>
                      <a:prstGeom prst="rect">
                        <a:avLst/>
                      </a:prstGeom>
                      <a:noFill/>
                      <a:ln>
                        <a:noFill/>
                      </a:ln>
                    </wps:spPr>
                    <wps:txbx>
                      <w:txbxContent>
                        <w:p>
                          <w:pPr>
                            <w:pStyle w:val="13"/>
                            <w:pBdr>
                              <w:top w:val="none" w:color="auto" w:sz="0" w:space="0"/>
                              <w:left w:val="none" w:color="auto" w:sz="0" w:space="0"/>
                              <w:bottom w:val="none" w:color="auto" w:sz="0" w:space="0"/>
                              <w:right w:val="none" w:color="auto" w:sz="0" w:space="0"/>
                            </w:pBdr>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文本框 7"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4vd&#10;RNAAAAACAQAADwAAAAAAAAABACAAAAAiAAAAZHJzL2Rvd25yZXYueG1sUEsBAhQAFAAAAAgAh07i&#10;QF+Au+HxAQAA0gMAAA4AAAAAAAAAAQAgAAAAHwEAAGRycy9lMm9Eb2MueG1sUEsFBgAAAAAGAAYA&#10;WQEAAIIFAAAAAA==&#10;">
              <v:fill on="f" focussize="0,0"/>
              <v:stroke on="f"/>
              <v:imagedata o:title=""/>
              <o:lock v:ext="edit" aspectratio="f"/>
              <v:textbox inset="0mm,0mm,0mm,0mm" style="mso-fit-shape-to-text:t;">
                <w:txbxContent>
                  <w:p>
                    <w:pPr>
                      <w:pStyle w:val="13"/>
                      <w:pBdr>
                        <w:top w:val="none" w:color="auto" w:sz="0" w:space="0"/>
                        <w:left w:val="none" w:color="auto" w:sz="0" w:space="0"/>
                        <w:bottom w:val="none" w:color="auto" w:sz="0" w:space="0"/>
                        <w:right w:val="none" w:color="auto" w:sz="0" w:space="0"/>
                      </w:pBdr>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bCs/>
        <w:szCs w:val="18"/>
      </w:rPr>
      <w:t>内蒙古大学创业学院</w:t>
    </w:r>
    <w:r>
      <w:rPr>
        <w:rFonts w:hint="eastAsia" w:ascii="宋体" w:hAnsi="宋体"/>
        <w:bCs/>
        <w:szCs w:val="18"/>
        <w:lang w:val="en-US" w:eastAsia="zh-CN"/>
      </w:rPr>
      <w:t>2020</w:t>
    </w:r>
    <w:r>
      <w:rPr>
        <w:rFonts w:hint="eastAsia" w:ascii="宋体" w:hAnsi="宋体"/>
        <w:bCs/>
        <w:szCs w:val="18"/>
      </w:rPr>
      <w:t>年毕业生</w:t>
    </w:r>
  </w:p>
  <w:p>
    <w:pPr>
      <w:pStyle w:val="13"/>
      <w:pBdr>
        <w:top w:val="none" w:color="auto" w:sz="0" w:space="0"/>
        <w:left w:val="none" w:color="auto" w:sz="0" w:space="0"/>
        <w:bottom w:val="single" w:color="auto" w:sz="4" w:space="1"/>
        <w:right w:val="none" w:color="auto" w:sz="0" w:space="0"/>
      </w:pBdr>
      <w:jc w:val="center"/>
      <w:rPr>
        <w:sz w:val="20"/>
        <w:szCs w:val="21"/>
      </w:rPr>
    </w:pPr>
    <w:r>
      <w:rPr>
        <w:rFonts w:hint="eastAsia" w:ascii="宋体" w:hAnsi="宋体"/>
        <w:bCs/>
        <w:szCs w:val="18"/>
      </w:rPr>
      <w:t>就业质量年度报告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B75EE32"/>
    <w:multiLevelType w:val="singleLevel"/>
    <w:tmpl w:val="DB75EE32"/>
    <w:lvl w:ilvl="0" w:tentative="0">
      <w:start w:val="3"/>
      <w:numFmt w:val="decimal"/>
      <w:lvlText w:val="%1."/>
      <w:lvlJc w:val="left"/>
      <w:pPr>
        <w:tabs>
          <w:tab w:val="left" w:pos="397"/>
        </w:tabs>
        <w:ind w:left="454" w:hanging="454"/>
      </w:pPr>
      <w:rPr>
        <w:rFonts w:hint="default" w:cs="Times New Roman"/>
      </w:rPr>
    </w:lvl>
  </w:abstractNum>
  <w:abstractNum w:abstractNumId="1">
    <w:nsid w:val="056529D1"/>
    <w:multiLevelType w:val="multilevel"/>
    <w:tmpl w:val="056529D1"/>
    <w:lvl w:ilvl="0" w:tentative="0">
      <w:start w:val="1"/>
      <w:numFmt w:val="japaneseCounting"/>
      <w:lvlText w:val="%1、"/>
      <w:lvlJc w:val="left"/>
      <w:pPr>
        <w:tabs>
          <w:tab w:val="left" w:pos="1140"/>
        </w:tabs>
        <w:ind w:left="1140" w:hanging="600"/>
      </w:pPr>
      <w:rPr>
        <w:rFonts w:hint="default" w:ascii="Arial" w:hAnsi="Arial" w:eastAsia="黑体"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8B249E9"/>
    <w:multiLevelType w:val="multilevel"/>
    <w:tmpl w:val="08B249E9"/>
    <w:lvl w:ilvl="0" w:tentative="0">
      <w:start w:val="1"/>
      <w:numFmt w:val="chineseCountingThousand"/>
      <w:lvlText w:val="%1、"/>
      <w:lvlJc w:val="left"/>
      <w:pPr>
        <w:tabs>
          <w:tab w:val="left" w:pos="420"/>
        </w:tabs>
        <w:ind w:left="420" w:hanging="420"/>
      </w:pPr>
      <w:rPr>
        <w:rFonts w:cs="Times New Roman"/>
      </w:rPr>
    </w:lvl>
    <w:lvl w:ilvl="1" w:tentative="0">
      <w:start w:val="1"/>
      <w:numFmt w:val="decimal"/>
      <w:lvlText w:val="%2."/>
      <w:lvlJc w:val="left"/>
      <w:pPr>
        <w:tabs>
          <w:tab w:val="left" w:pos="840"/>
        </w:tabs>
        <w:ind w:left="840" w:hanging="420"/>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E1E42BB"/>
    <w:multiLevelType w:val="multilevel"/>
    <w:tmpl w:val="0E1E42BB"/>
    <w:lvl w:ilvl="0" w:tentative="0">
      <w:start w:val="1"/>
      <w:numFmt w:val="japaneseCounting"/>
      <w:lvlText w:val="%1、"/>
      <w:lvlJc w:val="left"/>
      <w:pPr>
        <w:tabs>
          <w:tab w:val="left" w:pos="1106"/>
        </w:tabs>
        <w:ind w:left="1106" w:hanging="600"/>
      </w:pPr>
      <w:rPr>
        <w:rFonts w:hint="default" w:ascii="Arial" w:hAnsi="Arial" w:eastAsia="黑体" w:cs="Times New Roman"/>
      </w:rPr>
    </w:lvl>
    <w:lvl w:ilvl="1" w:tentative="0">
      <w:start w:val="1"/>
      <w:numFmt w:val="decimal"/>
      <w:lvlText w:val="%2."/>
      <w:lvlJc w:val="left"/>
      <w:pPr>
        <w:tabs>
          <w:tab w:val="left" w:pos="840"/>
        </w:tabs>
        <w:ind w:left="840" w:hanging="420"/>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132A63A0"/>
    <w:multiLevelType w:val="multilevel"/>
    <w:tmpl w:val="132A63A0"/>
    <w:lvl w:ilvl="0" w:tentative="0">
      <w:start w:val="1"/>
      <w:numFmt w:val="decimal"/>
      <w:lvlText w:val="%1."/>
      <w:lvlJc w:val="left"/>
      <w:pPr>
        <w:tabs>
          <w:tab w:val="left" w:pos="982"/>
        </w:tabs>
        <w:ind w:left="982" w:hanging="420"/>
      </w:pPr>
      <w:rPr>
        <w:rFonts w:hint="eastAsia" w:cs="Times New Roman"/>
      </w:rPr>
    </w:lvl>
    <w:lvl w:ilvl="1" w:tentative="0">
      <w:start w:val="1"/>
      <w:numFmt w:val="lowerLetter"/>
      <w:lvlText w:val="%2)"/>
      <w:lvlJc w:val="left"/>
      <w:pPr>
        <w:tabs>
          <w:tab w:val="left" w:pos="1402"/>
        </w:tabs>
        <w:ind w:left="1402" w:hanging="420"/>
      </w:pPr>
      <w:rPr>
        <w:rFonts w:cs="Times New Roman"/>
      </w:rPr>
    </w:lvl>
    <w:lvl w:ilvl="2" w:tentative="0">
      <w:start w:val="1"/>
      <w:numFmt w:val="lowerRoman"/>
      <w:lvlText w:val="%3."/>
      <w:lvlJc w:val="right"/>
      <w:pPr>
        <w:tabs>
          <w:tab w:val="left" w:pos="1822"/>
        </w:tabs>
        <w:ind w:left="1822" w:hanging="420"/>
      </w:pPr>
      <w:rPr>
        <w:rFonts w:cs="Times New Roman"/>
      </w:rPr>
    </w:lvl>
    <w:lvl w:ilvl="3" w:tentative="0">
      <w:start w:val="1"/>
      <w:numFmt w:val="decimal"/>
      <w:lvlText w:val="%4."/>
      <w:lvlJc w:val="left"/>
      <w:pPr>
        <w:tabs>
          <w:tab w:val="left" w:pos="2242"/>
        </w:tabs>
        <w:ind w:left="2242" w:hanging="420"/>
      </w:pPr>
      <w:rPr>
        <w:rFonts w:cs="Times New Roman"/>
      </w:rPr>
    </w:lvl>
    <w:lvl w:ilvl="4" w:tentative="0">
      <w:start w:val="1"/>
      <w:numFmt w:val="lowerLetter"/>
      <w:lvlText w:val="%5)"/>
      <w:lvlJc w:val="left"/>
      <w:pPr>
        <w:tabs>
          <w:tab w:val="left" w:pos="2662"/>
        </w:tabs>
        <w:ind w:left="2662" w:hanging="420"/>
      </w:pPr>
      <w:rPr>
        <w:rFonts w:cs="Times New Roman"/>
      </w:rPr>
    </w:lvl>
    <w:lvl w:ilvl="5" w:tentative="0">
      <w:start w:val="1"/>
      <w:numFmt w:val="lowerRoman"/>
      <w:lvlText w:val="%6."/>
      <w:lvlJc w:val="right"/>
      <w:pPr>
        <w:tabs>
          <w:tab w:val="left" w:pos="3082"/>
        </w:tabs>
        <w:ind w:left="3082" w:hanging="420"/>
      </w:pPr>
      <w:rPr>
        <w:rFonts w:cs="Times New Roman"/>
      </w:rPr>
    </w:lvl>
    <w:lvl w:ilvl="6" w:tentative="0">
      <w:start w:val="1"/>
      <w:numFmt w:val="decimal"/>
      <w:lvlText w:val="%7."/>
      <w:lvlJc w:val="left"/>
      <w:pPr>
        <w:tabs>
          <w:tab w:val="left" w:pos="3502"/>
        </w:tabs>
        <w:ind w:left="3502" w:hanging="420"/>
      </w:pPr>
      <w:rPr>
        <w:rFonts w:cs="Times New Roman"/>
      </w:rPr>
    </w:lvl>
    <w:lvl w:ilvl="7" w:tentative="0">
      <w:start w:val="1"/>
      <w:numFmt w:val="lowerLetter"/>
      <w:lvlText w:val="%8)"/>
      <w:lvlJc w:val="left"/>
      <w:pPr>
        <w:tabs>
          <w:tab w:val="left" w:pos="3922"/>
        </w:tabs>
        <w:ind w:left="3922" w:hanging="420"/>
      </w:pPr>
      <w:rPr>
        <w:rFonts w:cs="Times New Roman"/>
      </w:rPr>
    </w:lvl>
    <w:lvl w:ilvl="8" w:tentative="0">
      <w:start w:val="1"/>
      <w:numFmt w:val="lowerRoman"/>
      <w:lvlText w:val="%9."/>
      <w:lvlJc w:val="right"/>
      <w:pPr>
        <w:tabs>
          <w:tab w:val="left" w:pos="4342"/>
        </w:tabs>
        <w:ind w:left="4342" w:hanging="420"/>
      </w:pPr>
      <w:rPr>
        <w:rFonts w:cs="Times New Roman"/>
      </w:rPr>
    </w:lvl>
  </w:abstractNum>
  <w:abstractNum w:abstractNumId="5">
    <w:nsid w:val="1A2E00DA"/>
    <w:multiLevelType w:val="multilevel"/>
    <w:tmpl w:val="1A2E00DA"/>
    <w:lvl w:ilvl="0" w:tentative="0">
      <w:start w:val="1"/>
      <w:numFmt w:val="chineseCountingThousand"/>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319E29DE"/>
    <w:multiLevelType w:val="multilevel"/>
    <w:tmpl w:val="319E29DE"/>
    <w:lvl w:ilvl="0" w:tentative="0">
      <w:start w:val="2"/>
      <w:numFmt w:val="chineseCountingThousand"/>
      <w:suff w:val="nothing"/>
      <w:lvlText w:val="第%1部分"/>
      <w:lvlJc w:val="left"/>
      <w:pPr>
        <w:ind w:left="506"/>
      </w:pPr>
      <w:rPr>
        <w:rFonts w:hint="eastAsia" w:ascii="黑体" w:eastAsia="黑体" w:cs="Times New Roman"/>
        <w:b/>
        <w:i w:val="0"/>
        <w:sz w:val="32"/>
        <w:szCs w:val="32"/>
      </w:rPr>
    </w:lvl>
    <w:lvl w:ilvl="1" w:tentative="0">
      <w:start w:val="1"/>
      <w:numFmt w:val="chineseCountingThousand"/>
      <w:suff w:val="nothing"/>
      <w:lvlText w:val="%2"/>
      <w:lvlJc w:val="left"/>
      <w:pPr>
        <w:ind w:left="506"/>
      </w:pPr>
      <w:rPr>
        <w:rFonts w:hint="eastAsia" w:eastAsia="宋体" w:cs="Times New Roman"/>
        <w:b/>
        <w:i w:val="0"/>
        <w:sz w:val="30"/>
        <w:szCs w:val="30"/>
      </w:rPr>
    </w:lvl>
    <w:lvl w:ilvl="2" w:tentative="0">
      <w:start w:val="1"/>
      <w:numFmt w:val="decimal"/>
      <w:isLgl/>
      <w:suff w:val="nothing"/>
      <w:lvlText w:val="%3"/>
      <w:lvlJc w:val="left"/>
      <w:pPr>
        <w:ind w:left="506"/>
      </w:pPr>
      <w:rPr>
        <w:rFonts w:hint="eastAsia" w:eastAsia="宋体" w:cs="Times New Roman"/>
        <w:b/>
        <w:i w:val="0"/>
        <w:sz w:val="28"/>
        <w:szCs w:val="28"/>
      </w:rPr>
    </w:lvl>
    <w:lvl w:ilvl="3" w:tentative="0">
      <w:start w:val="1"/>
      <w:numFmt w:val="none"/>
      <w:suff w:val="nothing"/>
      <w:lvlText w:val=""/>
      <w:lvlJc w:val="left"/>
      <w:pPr>
        <w:ind w:left="506"/>
      </w:pPr>
      <w:rPr>
        <w:rFonts w:hint="eastAsia" w:cs="Times New Roman"/>
      </w:rPr>
    </w:lvl>
    <w:lvl w:ilvl="4" w:tentative="0">
      <w:start w:val="1"/>
      <w:numFmt w:val="none"/>
      <w:suff w:val="nothing"/>
      <w:lvlText w:val=""/>
      <w:lvlJc w:val="left"/>
      <w:pPr>
        <w:ind w:left="506"/>
      </w:pPr>
      <w:rPr>
        <w:rFonts w:hint="eastAsia" w:cs="Times New Roman"/>
      </w:rPr>
    </w:lvl>
    <w:lvl w:ilvl="5" w:tentative="0">
      <w:start w:val="1"/>
      <w:numFmt w:val="none"/>
      <w:suff w:val="nothing"/>
      <w:lvlText w:val=""/>
      <w:lvlJc w:val="left"/>
      <w:pPr>
        <w:ind w:left="506"/>
      </w:pPr>
      <w:rPr>
        <w:rFonts w:hint="eastAsia" w:cs="Times New Roman"/>
      </w:rPr>
    </w:lvl>
    <w:lvl w:ilvl="6" w:tentative="0">
      <w:start w:val="1"/>
      <w:numFmt w:val="none"/>
      <w:suff w:val="nothing"/>
      <w:lvlText w:val=""/>
      <w:lvlJc w:val="left"/>
      <w:pPr>
        <w:ind w:left="506"/>
      </w:pPr>
      <w:rPr>
        <w:rFonts w:hint="eastAsia" w:cs="Times New Roman"/>
      </w:rPr>
    </w:lvl>
    <w:lvl w:ilvl="7" w:tentative="0">
      <w:start w:val="1"/>
      <w:numFmt w:val="none"/>
      <w:suff w:val="nothing"/>
      <w:lvlText w:val=""/>
      <w:lvlJc w:val="left"/>
      <w:pPr>
        <w:ind w:left="506"/>
      </w:pPr>
      <w:rPr>
        <w:rFonts w:hint="eastAsia" w:cs="Times New Roman"/>
      </w:rPr>
    </w:lvl>
    <w:lvl w:ilvl="8" w:tentative="0">
      <w:start w:val="1"/>
      <w:numFmt w:val="none"/>
      <w:suff w:val="nothing"/>
      <w:lvlText w:val=""/>
      <w:lvlJc w:val="left"/>
      <w:pPr>
        <w:ind w:left="506"/>
      </w:pPr>
      <w:rPr>
        <w:rFonts w:hint="eastAsia" w:cs="Times New Roman"/>
      </w:rPr>
    </w:lvl>
  </w:abstractNum>
  <w:abstractNum w:abstractNumId="7">
    <w:nsid w:val="32E06DD8"/>
    <w:multiLevelType w:val="multilevel"/>
    <w:tmpl w:val="32E06DD8"/>
    <w:lvl w:ilvl="0" w:tentative="0">
      <w:start w:val="1"/>
      <w:numFmt w:val="decimal"/>
      <w:lvlText w:val="%1."/>
      <w:lvlJc w:val="left"/>
      <w:pPr>
        <w:tabs>
          <w:tab w:val="left" w:pos="1680"/>
        </w:tabs>
        <w:ind w:left="1680" w:hanging="420"/>
      </w:pPr>
      <w:rPr>
        <w:rFonts w:hint="eastAsia" w:cs="Times New Roman"/>
      </w:rPr>
    </w:lvl>
    <w:lvl w:ilvl="1" w:tentative="0">
      <w:start w:val="1"/>
      <w:numFmt w:val="lowerLetter"/>
      <w:lvlText w:val="%2)"/>
      <w:lvlJc w:val="left"/>
      <w:pPr>
        <w:tabs>
          <w:tab w:val="left" w:pos="1200"/>
        </w:tabs>
        <w:ind w:left="1200" w:hanging="420"/>
      </w:pPr>
      <w:rPr>
        <w:rFonts w:cs="Times New Roman"/>
      </w:rPr>
    </w:lvl>
    <w:lvl w:ilvl="2" w:tentative="0">
      <w:start w:val="1"/>
      <w:numFmt w:val="lowerRoman"/>
      <w:lvlText w:val="%3."/>
      <w:lvlJc w:val="right"/>
      <w:pPr>
        <w:tabs>
          <w:tab w:val="left" w:pos="1620"/>
        </w:tabs>
        <w:ind w:left="1620" w:hanging="420"/>
      </w:pPr>
      <w:rPr>
        <w:rFonts w:cs="Times New Roman"/>
      </w:rPr>
    </w:lvl>
    <w:lvl w:ilvl="3" w:tentative="0">
      <w:start w:val="1"/>
      <w:numFmt w:val="decimal"/>
      <w:lvlText w:val="%4."/>
      <w:lvlJc w:val="left"/>
      <w:pPr>
        <w:tabs>
          <w:tab w:val="left" w:pos="2040"/>
        </w:tabs>
        <w:ind w:left="2040" w:hanging="420"/>
      </w:pPr>
      <w:rPr>
        <w:rFonts w:cs="Times New Roman"/>
      </w:rPr>
    </w:lvl>
    <w:lvl w:ilvl="4" w:tentative="0">
      <w:start w:val="1"/>
      <w:numFmt w:val="lowerLetter"/>
      <w:lvlText w:val="%5)"/>
      <w:lvlJc w:val="left"/>
      <w:pPr>
        <w:tabs>
          <w:tab w:val="left" w:pos="2460"/>
        </w:tabs>
        <w:ind w:left="2460" w:hanging="420"/>
      </w:pPr>
      <w:rPr>
        <w:rFonts w:cs="Times New Roman"/>
      </w:rPr>
    </w:lvl>
    <w:lvl w:ilvl="5" w:tentative="0">
      <w:start w:val="1"/>
      <w:numFmt w:val="lowerRoman"/>
      <w:lvlText w:val="%6."/>
      <w:lvlJc w:val="right"/>
      <w:pPr>
        <w:tabs>
          <w:tab w:val="left" w:pos="2880"/>
        </w:tabs>
        <w:ind w:left="2880" w:hanging="420"/>
      </w:pPr>
      <w:rPr>
        <w:rFonts w:cs="Times New Roman"/>
      </w:rPr>
    </w:lvl>
    <w:lvl w:ilvl="6" w:tentative="0">
      <w:start w:val="1"/>
      <w:numFmt w:val="decimal"/>
      <w:lvlText w:val="%7."/>
      <w:lvlJc w:val="left"/>
      <w:pPr>
        <w:tabs>
          <w:tab w:val="left" w:pos="3300"/>
        </w:tabs>
        <w:ind w:left="3300" w:hanging="420"/>
      </w:pPr>
      <w:rPr>
        <w:rFonts w:cs="Times New Roman"/>
      </w:rPr>
    </w:lvl>
    <w:lvl w:ilvl="7" w:tentative="0">
      <w:start w:val="1"/>
      <w:numFmt w:val="lowerLetter"/>
      <w:lvlText w:val="%8)"/>
      <w:lvlJc w:val="left"/>
      <w:pPr>
        <w:tabs>
          <w:tab w:val="left" w:pos="3720"/>
        </w:tabs>
        <w:ind w:left="3720" w:hanging="420"/>
      </w:pPr>
      <w:rPr>
        <w:rFonts w:cs="Times New Roman"/>
      </w:rPr>
    </w:lvl>
    <w:lvl w:ilvl="8" w:tentative="0">
      <w:start w:val="1"/>
      <w:numFmt w:val="lowerRoman"/>
      <w:lvlText w:val="%9."/>
      <w:lvlJc w:val="right"/>
      <w:pPr>
        <w:tabs>
          <w:tab w:val="left" w:pos="4140"/>
        </w:tabs>
        <w:ind w:left="4140" w:hanging="420"/>
      </w:pPr>
      <w:rPr>
        <w:rFonts w:cs="Times New Roman"/>
      </w:rPr>
    </w:lvl>
  </w:abstractNum>
  <w:abstractNum w:abstractNumId="8">
    <w:nsid w:val="340D0D35"/>
    <w:multiLevelType w:val="multilevel"/>
    <w:tmpl w:val="340D0D35"/>
    <w:lvl w:ilvl="0" w:tentative="0">
      <w:start w:val="1"/>
      <w:numFmt w:val="japaneseCounting"/>
      <w:lvlText w:val="%1、"/>
      <w:lvlJc w:val="left"/>
      <w:pPr>
        <w:tabs>
          <w:tab w:val="left" w:pos="1106"/>
        </w:tabs>
        <w:ind w:left="1106" w:hanging="600"/>
      </w:pPr>
      <w:rPr>
        <w:rFonts w:hint="default" w:ascii="Arial" w:hAnsi="Arial" w:eastAsia="黑体" w:cs="Times New Roman"/>
      </w:rPr>
    </w:lvl>
    <w:lvl w:ilvl="1" w:tentative="0">
      <w:start w:val="1"/>
      <w:numFmt w:val="decimal"/>
      <w:lvlText w:val="%2、"/>
      <w:lvlJc w:val="left"/>
      <w:pPr>
        <w:tabs>
          <w:tab w:val="left" w:pos="1646"/>
        </w:tabs>
        <w:ind w:left="1646" w:hanging="720"/>
      </w:pPr>
      <w:rPr>
        <w:rFonts w:hint="default" w:cs="Times New Roman"/>
      </w:rPr>
    </w:lvl>
    <w:lvl w:ilvl="2" w:tentative="0">
      <w:start w:val="1"/>
      <w:numFmt w:val="lowerRoman"/>
      <w:lvlText w:val="%3."/>
      <w:lvlJc w:val="right"/>
      <w:pPr>
        <w:tabs>
          <w:tab w:val="left" w:pos="1766"/>
        </w:tabs>
        <w:ind w:left="1766" w:hanging="420"/>
      </w:pPr>
      <w:rPr>
        <w:rFonts w:cs="Times New Roman"/>
      </w:rPr>
    </w:lvl>
    <w:lvl w:ilvl="3" w:tentative="0">
      <w:start w:val="1"/>
      <w:numFmt w:val="decimal"/>
      <w:lvlText w:val="%4."/>
      <w:lvlJc w:val="left"/>
      <w:pPr>
        <w:tabs>
          <w:tab w:val="left" w:pos="780"/>
        </w:tabs>
        <w:ind w:left="780" w:hanging="420"/>
      </w:pPr>
      <w:rPr>
        <w:rFonts w:hint="eastAsia" w:cs="Times New Roman"/>
      </w:rPr>
    </w:lvl>
    <w:lvl w:ilvl="4" w:tentative="0">
      <w:start w:val="1"/>
      <w:numFmt w:val="lowerLetter"/>
      <w:lvlText w:val="%5)"/>
      <w:lvlJc w:val="left"/>
      <w:pPr>
        <w:tabs>
          <w:tab w:val="left" w:pos="2606"/>
        </w:tabs>
        <w:ind w:left="2606" w:hanging="420"/>
      </w:pPr>
      <w:rPr>
        <w:rFonts w:cs="Times New Roman"/>
      </w:rPr>
    </w:lvl>
    <w:lvl w:ilvl="5" w:tentative="0">
      <w:start w:val="1"/>
      <w:numFmt w:val="lowerRoman"/>
      <w:lvlText w:val="%6."/>
      <w:lvlJc w:val="right"/>
      <w:pPr>
        <w:tabs>
          <w:tab w:val="left" w:pos="3026"/>
        </w:tabs>
        <w:ind w:left="3026" w:hanging="420"/>
      </w:pPr>
      <w:rPr>
        <w:rFonts w:cs="Times New Roman"/>
      </w:rPr>
    </w:lvl>
    <w:lvl w:ilvl="6" w:tentative="0">
      <w:start w:val="1"/>
      <w:numFmt w:val="decimal"/>
      <w:lvlText w:val="%7."/>
      <w:lvlJc w:val="left"/>
      <w:pPr>
        <w:tabs>
          <w:tab w:val="left" w:pos="3446"/>
        </w:tabs>
        <w:ind w:left="3446" w:hanging="420"/>
      </w:pPr>
      <w:rPr>
        <w:rFonts w:cs="Times New Roman"/>
      </w:rPr>
    </w:lvl>
    <w:lvl w:ilvl="7" w:tentative="0">
      <w:start w:val="1"/>
      <w:numFmt w:val="lowerLetter"/>
      <w:lvlText w:val="%8)"/>
      <w:lvlJc w:val="left"/>
      <w:pPr>
        <w:tabs>
          <w:tab w:val="left" w:pos="3866"/>
        </w:tabs>
        <w:ind w:left="3866" w:hanging="420"/>
      </w:pPr>
      <w:rPr>
        <w:rFonts w:cs="Times New Roman"/>
      </w:rPr>
    </w:lvl>
    <w:lvl w:ilvl="8" w:tentative="0">
      <w:start w:val="1"/>
      <w:numFmt w:val="lowerRoman"/>
      <w:lvlText w:val="%9."/>
      <w:lvlJc w:val="right"/>
      <w:pPr>
        <w:tabs>
          <w:tab w:val="left" w:pos="4286"/>
        </w:tabs>
        <w:ind w:left="4286" w:hanging="420"/>
      </w:pPr>
      <w:rPr>
        <w:rFonts w:cs="Times New Roman"/>
      </w:rPr>
    </w:lvl>
  </w:abstractNum>
  <w:abstractNum w:abstractNumId="9">
    <w:nsid w:val="34FB37CF"/>
    <w:multiLevelType w:val="multilevel"/>
    <w:tmpl w:val="34FB37CF"/>
    <w:lvl w:ilvl="0" w:tentative="0">
      <w:start w:val="1"/>
      <w:numFmt w:val="chineseCountingThousand"/>
      <w:suff w:val="nothing"/>
      <w:lvlText w:val="第%1部分"/>
      <w:lvlJc w:val="left"/>
      <w:rPr>
        <w:rFonts w:hint="eastAsia" w:ascii="黑体" w:eastAsia="黑体" w:cs="Times New Roman"/>
        <w:b/>
        <w:i w:val="0"/>
        <w:sz w:val="32"/>
        <w:szCs w:val="32"/>
      </w:rPr>
    </w:lvl>
    <w:lvl w:ilvl="1" w:tentative="0">
      <w:start w:val="1"/>
      <w:numFmt w:val="chineseCountingThousand"/>
      <w:suff w:val="nothing"/>
      <w:lvlText w:val="%2"/>
      <w:lvlJc w:val="left"/>
      <w:rPr>
        <w:rFonts w:hint="eastAsia" w:eastAsia="宋体" w:cs="Times New Roman"/>
        <w:b/>
        <w:i w:val="0"/>
        <w:sz w:val="30"/>
        <w:szCs w:val="30"/>
      </w:rPr>
    </w:lvl>
    <w:lvl w:ilvl="2" w:tentative="0">
      <w:start w:val="1"/>
      <w:numFmt w:val="decimal"/>
      <w:isLgl/>
      <w:suff w:val="nothing"/>
      <w:lvlText w:val="%3"/>
      <w:lvlJc w:val="left"/>
      <w:pPr>
        <w:ind w:left="360"/>
      </w:pPr>
      <w:rPr>
        <w:rFonts w:hint="eastAsia" w:eastAsia="宋体" w:cs="Times New Roman"/>
        <w:b/>
        <w:i w:val="0"/>
        <w:sz w:val="28"/>
        <w:szCs w:val="28"/>
      </w:rPr>
    </w:lvl>
    <w:lvl w:ilvl="3" w:tentative="0">
      <w:start w:val="1"/>
      <w:numFmt w:val="none"/>
      <w:suff w:val="nothing"/>
      <w:lvlText w:val=""/>
      <w:lvlJc w:val="left"/>
      <w:rPr>
        <w:rFonts w:hint="eastAsia" w:cs="Times New Roman"/>
      </w:rPr>
    </w:lvl>
    <w:lvl w:ilvl="4" w:tentative="0">
      <w:start w:val="1"/>
      <w:numFmt w:val="none"/>
      <w:suff w:val="nothing"/>
      <w:lvlText w:val=""/>
      <w:lvlJc w:val="left"/>
      <w:rPr>
        <w:rFonts w:hint="eastAsia" w:cs="Times New Roman"/>
      </w:rPr>
    </w:lvl>
    <w:lvl w:ilvl="5" w:tentative="0">
      <w:start w:val="1"/>
      <w:numFmt w:val="none"/>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abstractNum w:abstractNumId="10">
    <w:nsid w:val="52CF18EB"/>
    <w:multiLevelType w:val="multilevel"/>
    <w:tmpl w:val="52CF18EB"/>
    <w:lvl w:ilvl="0" w:tentative="0">
      <w:start w:val="1"/>
      <w:numFmt w:val="japaneseCounting"/>
      <w:lvlText w:val="%1、"/>
      <w:lvlJc w:val="left"/>
      <w:pPr>
        <w:tabs>
          <w:tab w:val="left" w:pos="600"/>
        </w:tabs>
        <w:ind w:left="600" w:hanging="60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
    <w:nsid w:val="54E061B6"/>
    <w:multiLevelType w:val="multilevel"/>
    <w:tmpl w:val="54E061B6"/>
    <w:lvl w:ilvl="0" w:tentative="0">
      <w:start w:val="1"/>
      <w:numFmt w:val="chineseCountingThousand"/>
      <w:lvlText w:val="%1、"/>
      <w:lvlJc w:val="left"/>
      <w:pPr>
        <w:tabs>
          <w:tab w:val="left" w:pos="420"/>
        </w:tabs>
        <w:ind w:left="420" w:hanging="420"/>
      </w:pPr>
      <w:rPr>
        <w:rFonts w:cs="Times New Roman"/>
      </w:rPr>
    </w:lvl>
    <w:lvl w:ilvl="1" w:tentative="0">
      <w:start w:val="1"/>
      <w:numFmt w:val="decimal"/>
      <w:lvlText w:val="%2."/>
      <w:lvlJc w:val="left"/>
      <w:pPr>
        <w:tabs>
          <w:tab w:val="left" w:pos="840"/>
        </w:tabs>
        <w:ind w:left="840" w:hanging="420"/>
      </w:pPr>
      <w:rPr>
        <w:rFonts w:hint="eastAsia"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
    <w:nsid w:val="575B7C44"/>
    <w:multiLevelType w:val="multilevel"/>
    <w:tmpl w:val="575B7C44"/>
    <w:lvl w:ilvl="0" w:tentative="0">
      <w:start w:val="1"/>
      <w:numFmt w:val="decimal"/>
      <w:lvlText w:val="%1."/>
      <w:lvlJc w:val="left"/>
      <w:pPr>
        <w:tabs>
          <w:tab w:val="left" w:pos="926"/>
        </w:tabs>
        <w:ind w:left="926" w:hanging="420"/>
      </w:pPr>
      <w:rPr>
        <w:rFonts w:cs="Times New Roman"/>
      </w:rPr>
    </w:lvl>
    <w:lvl w:ilvl="1" w:tentative="0">
      <w:start w:val="1"/>
      <w:numFmt w:val="lowerLetter"/>
      <w:lvlText w:val="%2)"/>
      <w:lvlJc w:val="left"/>
      <w:pPr>
        <w:tabs>
          <w:tab w:val="left" w:pos="1346"/>
        </w:tabs>
        <w:ind w:left="1346" w:hanging="420"/>
      </w:pPr>
      <w:rPr>
        <w:rFonts w:cs="Times New Roman"/>
      </w:rPr>
    </w:lvl>
    <w:lvl w:ilvl="2" w:tentative="0">
      <w:start w:val="1"/>
      <w:numFmt w:val="decimal"/>
      <w:lvlText w:val="%3."/>
      <w:lvlJc w:val="left"/>
      <w:pPr>
        <w:tabs>
          <w:tab w:val="left" w:pos="1320"/>
        </w:tabs>
        <w:ind w:left="1320" w:hanging="420"/>
      </w:pPr>
      <w:rPr>
        <w:rFonts w:hint="eastAsia" w:cs="Times New Roman"/>
      </w:rPr>
    </w:lvl>
    <w:lvl w:ilvl="3" w:tentative="0">
      <w:start w:val="1"/>
      <w:numFmt w:val="decimal"/>
      <w:lvlText w:val="%4."/>
      <w:lvlJc w:val="left"/>
      <w:pPr>
        <w:tabs>
          <w:tab w:val="left" w:pos="2186"/>
        </w:tabs>
        <w:ind w:left="2186" w:hanging="420"/>
      </w:pPr>
      <w:rPr>
        <w:rFonts w:cs="Times New Roman"/>
      </w:rPr>
    </w:lvl>
    <w:lvl w:ilvl="4" w:tentative="0">
      <w:start w:val="1"/>
      <w:numFmt w:val="lowerLetter"/>
      <w:lvlText w:val="%5)"/>
      <w:lvlJc w:val="left"/>
      <w:pPr>
        <w:tabs>
          <w:tab w:val="left" w:pos="2606"/>
        </w:tabs>
        <w:ind w:left="2606" w:hanging="420"/>
      </w:pPr>
      <w:rPr>
        <w:rFonts w:cs="Times New Roman"/>
      </w:rPr>
    </w:lvl>
    <w:lvl w:ilvl="5" w:tentative="0">
      <w:start w:val="1"/>
      <w:numFmt w:val="lowerRoman"/>
      <w:lvlText w:val="%6."/>
      <w:lvlJc w:val="right"/>
      <w:pPr>
        <w:tabs>
          <w:tab w:val="left" w:pos="3026"/>
        </w:tabs>
        <w:ind w:left="3026" w:hanging="420"/>
      </w:pPr>
      <w:rPr>
        <w:rFonts w:cs="Times New Roman"/>
      </w:rPr>
    </w:lvl>
    <w:lvl w:ilvl="6" w:tentative="0">
      <w:start w:val="1"/>
      <w:numFmt w:val="decimal"/>
      <w:lvlText w:val="%7."/>
      <w:lvlJc w:val="left"/>
      <w:pPr>
        <w:tabs>
          <w:tab w:val="left" w:pos="3446"/>
        </w:tabs>
        <w:ind w:left="3446" w:hanging="420"/>
      </w:pPr>
      <w:rPr>
        <w:rFonts w:cs="Times New Roman"/>
      </w:rPr>
    </w:lvl>
    <w:lvl w:ilvl="7" w:tentative="0">
      <w:start w:val="1"/>
      <w:numFmt w:val="lowerLetter"/>
      <w:lvlText w:val="%8)"/>
      <w:lvlJc w:val="left"/>
      <w:pPr>
        <w:tabs>
          <w:tab w:val="left" w:pos="3866"/>
        </w:tabs>
        <w:ind w:left="3866" w:hanging="420"/>
      </w:pPr>
      <w:rPr>
        <w:rFonts w:cs="Times New Roman"/>
      </w:rPr>
    </w:lvl>
    <w:lvl w:ilvl="8" w:tentative="0">
      <w:start w:val="1"/>
      <w:numFmt w:val="lowerRoman"/>
      <w:lvlText w:val="%9."/>
      <w:lvlJc w:val="right"/>
      <w:pPr>
        <w:tabs>
          <w:tab w:val="left" w:pos="4286"/>
        </w:tabs>
        <w:ind w:left="4286" w:hanging="420"/>
      </w:pPr>
      <w:rPr>
        <w:rFonts w:cs="Times New Roman"/>
      </w:rPr>
    </w:lvl>
  </w:abstractNum>
  <w:abstractNum w:abstractNumId="13">
    <w:nsid w:val="5A97A52C"/>
    <w:multiLevelType w:val="multilevel"/>
    <w:tmpl w:val="5A97A52C"/>
    <w:lvl w:ilvl="0" w:tentative="0">
      <w:start w:val="1"/>
      <w:numFmt w:val="japaneseCounting"/>
      <w:lvlText w:val="%1、"/>
      <w:lvlJc w:val="left"/>
      <w:pPr>
        <w:tabs>
          <w:tab w:val="left" w:pos="1106"/>
        </w:tabs>
        <w:ind w:left="1106" w:hanging="600"/>
      </w:pPr>
      <w:rPr>
        <w:rFonts w:hint="default" w:ascii="Arial" w:hAnsi="Arial" w:eastAsia="黑体" w:cs="Times New Roman"/>
      </w:rPr>
    </w:lvl>
    <w:lvl w:ilvl="1" w:tentative="0">
      <w:start w:val="1"/>
      <w:numFmt w:val="decimal"/>
      <w:lvlText w:val="%2、"/>
      <w:lvlJc w:val="left"/>
      <w:pPr>
        <w:tabs>
          <w:tab w:val="left" w:pos="1646"/>
        </w:tabs>
        <w:ind w:left="1646" w:hanging="720"/>
      </w:pPr>
      <w:rPr>
        <w:rFonts w:hint="default" w:cs="Times New Roman"/>
      </w:rPr>
    </w:lvl>
    <w:lvl w:ilvl="2" w:tentative="0">
      <w:start w:val="1"/>
      <w:numFmt w:val="lowerRoman"/>
      <w:lvlText w:val="%3."/>
      <w:lvlJc w:val="right"/>
      <w:pPr>
        <w:tabs>
          <w:tab w:val="left" w:pos="1766"/>
        </w:tabs>
        <w:ind w:left="1766" w:hanging="420"/>
      </w:pPr>
      <w:rPr>
        <w:rFonts w:cs="Times New Roman"/>
      </w:rPr>
    </w:lvl>
    <w:lvl w:ilvl="3" w:tentative="0">
      <w:start w:val="1"/>
      <w:numFmt w:val="decimal"/>
      <w:lvlText w:val="%4."/>
      <w:lvlJc w:val="left"/>
      <w:pPr>
        <w:tabs>
          <w:tab w:val="left" w:pos="780"/>
        </w:tabs>
        <w:ind w:left="780" w:hanging="420"/>
      </w:pPr>
      <w:rPr>
        <w:rFonts w:hint="eastAsia" w:cs="Times New Roman"/>
      </w:rPr>
    </w:lvl>
    <w:lvl w:ilvl="4" w:tentative="0">
      <w:start w:val="1"/>
      <w:numFmt w:val="lowerLetter"/>
      <w:lvlText w:val="%5)"/>
      <w:lvlJc w:val="left"/>
      <w:pPr>
        <w:tabs>
          <w:tab w:val="left" w:pos="2606"/>
        </w:tabs>
        <w:ind w:left="2606" w:hanging="420"/>
      </w:pPr>
      <w:rPr>
        <w:rFonts w:cs="Times New Roman"/>
      </w:rPr>
    </w:lvl>
    <w:lvl w:ilvl="5" w:tentative="0">
      <w:start w:val="1"/>
      <w:numFmt w:val="lowerRoman"/>
      <w:lvlText w:val="%6."/>
      <w:lvlJc w:val="right"/>
      <w:pPr>
        <w:tabs>
          <w:tab w:val="left" w:pos="3026"/>
        </w:tabs>
        <w:ind w:left="3026" w:hanging="420"/>
      </w:pPr>
      <w:rPr>
        <w:rFonts w:cs="Times New Roman"/>
      </w:rPr>
    </w:lvl>
    <w:lvl w:ilvl="6" w:tentative="0">
      <w:start w:val="1"/>
      <w:numFmt w:val="decimal"/>
      <w:lvlText w:val="%7."/>
      <w:lvlJc w:val="left"/>
      <w:pPr>
        <w:tabs>
          <w:tab w:val="left" w:pos="3446"/>
        </w:tabs>
        <w:ind w:left="3446" w:hanging="420"/>
      </w:pPr>
      <w:rPr>
        <w:rFonts w:cs="Times New Roman"/>
      </w:rPr>
    </w:lvl>
    <w:lvl w:ilvl="7" w:tentative="0">
      <w:start w:val="1"/>
      <w:numFmt w:val="lowerLetter"/>
      <w:lvlText w:val="%8)"/>
      <w:lvlJc w:val="left"/>
      <w:pPr>
        <w:tabs>
          <w:tab w:val="left" w:pos="3866"/>
        </w:tabs>
        <w:ind w:left="3866" w:hanging="420"/>
      </w:pPr>
      <w:rPr>
        <w:rFonts w:cs="Times New Roman"/>
      </w:rPr>
    </w:lvl>
    <w:lvl w:ilvl="8" w:tentative="0">
      <w:start w:val="1"/>
      <w:numFmt w:val="lowerRoman"/>
      <w:lvlText w:val="%9."/>
      <w:lvlJc w:val="right"/>
      <w:pPr>
        <w:tabs>
          <w:tab w:val="left" w:pos="4286"/>
        </w:tabs>
        <w:ind w:left="4286" w:hanging="420"/>
      </w:pPr>
      <w:rPr>
        <w:rFonts w:cs="Times New Roman"/>
      </w:rPr>
    </w:lvl>
  </w:abstractNum>
  <w:abstractNum w:abstractNumId="14">
    <w:nsid w:val="655959B8"/>
    <w:multiLevelType w:val="multilevel"/>
    <w:tmpl w:val="655959B8"/>
    <w:lvl w:ilvl="0" w:tentative="0">
      <w:start w:val="1"/>
      <w:numFmt w:val="decimal"/>
      <w:lvlText w:val="%1."/>
      <w:lvlJc w:val="left"/>
      <w:pPr>
        <w:tabs>
          <w:tab w:val="left" w:pos="420"/>
        </w:tabs>
        <w:ind w:left="420" w:hanging="4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5">
    <w:nsid w:val="73584F25"/>
    <w:multiLevelType w:val="multilevel"/>
    <w:tmpl w:val="73584F25"/>
    <w:lvl w:ilvl="0" w:tentative="0">
      <w:start w:val="1"/>
      <w:numFmt w:val="decimal"/>
      <w:lvlText w:val="%1."/>
      <w:lvlJc w:val="left"/>
      <w:pPr>
        <w:tabs>
          <w:tab w:val="left" w:pos="1320"/>
        </w:tabs>
        <w:ind w:left="132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4"/>
  </w:num>
  <w:num w:numId="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2"/>
  </w:num>
  <w:num w:numId="7">
    <w:abstractNumId w:val="5"/>
  </w:num>
  <w:num w:numId="8">
    <w:abstractNumId w:val="4"/>
  </w:num>
  <w:num w:numId="9">
    <w:abstractNumId w:val="7"/>
  </w:num>
  <w:num w:numId="10">
    <w:abstractNumId w:val="2"/>
  </w:num>
  <w:num w:numId="11">
    <w:abstractNumId w:val="8"/>
  </w:num>
  <w:num w:numId="12">
    <w:abstractNumId w:val="13"/>
  </w:num>
  <w:num w:numId="13">
    <w:abstractNumId w:val="0"/>
  </w:num>
  <w:num w:numId="14">
    <w:abstractNumId w:val="1"/>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63C"/>
    <w:rsid w:val="00002D94"/>
    <w:rsid w:val="000034C6"/>
    <w:rsid w:val="00003D91"/>
    <w:rsid w:val="00003DE9"/>
    <w:rsid w:val="000113B8"/>
    <w:rsid w:val="00011ACB"/>
    <w:rsid w:val="00012D88"/>
    <w:rsid w:val="00014C71"/>
    <w:rsid w:val="00021FD0"/>
    <w:rsid w:val="00023E27"/>
    <w:rsid w:val="00023FAC"/>
    <w:rsid w:val="000275D9"/>
    <w:rsid w:val="0003024E"/>
    <w:rsid w:val="00032129"/>
    <w:rsid w:val="00032C82"/>
    <w:rsid w:val="000433C1"/>
    <w:rsid w:val="00043C90"/>
    <w:rsid w:val="0004410C"/>
    <w:rsid w:val="00045CBF"/>
    <w:rsid w:val="000477AB"/>
    <w:rsid w:val="000527F5"/>
    <w:rsid w:val="000540EE"/>
    <w:rsid w:val="000560F0"/>
    <w:rsid w:val="0005631A"/>
    <w:rsid w:val="00056792"/>
    <w:rsid w:val="00062A5A"/>
    <w:rsid w:val="00062CD0"/>
    <w:rsid w:val="000630A7"/>
    <w:rsid w:val="000630B1"/>
    <w:rsid w:val="00067169"/>
    <w:rsid w:val="0007031B"/>
    <w:rsid w:val="00071EC1"/>
    <w:rsid w:val="000756DC"/>
    <w:rsid w:val="00080A6C"/>
    <w:rsid w:val="000827A1"/>
    <w:rsid w:val="00090A0E"/>
    <w:rsid w:val="00091B15"/>
    <w:rsid w:val="00092AE4"/>
    <w:rsid w:val="00092C13"/>
    <w:rsid w:val="00092CBF"/>
    <w:rsid w:val="00093A11"/>
    <w:rsid w:val="000946E2"/>
    <w:rsid w:val="0009488C"/>
    <w:rsid w:val="000950D6"/>
    <w:rsid w:val="00095C2E"/>
    <w:rsid w:val="00096E96"/>
    <w:rsid w:val="000A2A9D"/>
    <w:rsid w:val="000A4222"/>
    <w:rsid w:val="000A72C3"/>
    <w:rsid w:val="000B10F1"/>
    <w:rsid w:val="000B1A78"/>
    <w:rsid w:val="000B28E5"/>
    <w:rsid w:val="000B2BD3"/>
    <w:rsid w:val="000B5F8A"/>
    <w:rsid w:val="000C2252"/>
    <w:rsid w:val="000C27C3"/>
    <w:rsid w:val="000C4C92"/>
    <w:rsid w:val="000C65AF"/>
    <w:rsid w:val="000D124B"/>
    <w:rsid w:val="000D2D15"/>
    <w:rsid w:val="000D5190"/>
    <w:rsid w:val="000E0982"/>
    <w:rsid w:val="000E2830"/>
    <w:rsid w:val="000E2EC4"/>
    <w:rsid w:val="000E315F"/>
    <w:rsid w:val="000E36DF"/>
    <w:rsid w:val="000E54DD"/>
    <w:rsid w:val="000E6055"/>
    <w:rsid w:val="000E6A87"/>
    <w:rsid w:val="000F08EE"/>
    <w:rsid w:val="000F2C46"/>
    <w:rsid w:val="000F3BEE"/>
    <w:rsid w:val="000F7C6E"/>
    <w:rsid w:val="001001FD"/>
    <w:rsid w:val="00100389"/>
    <w:rsid w:val="00100D8D"/>
    <w:rsid w:val="0010248D"/>
    <w:rsid w:val="00103321"/>
    <w:rsid w:val="00103F25"/>
    <w:rsid w:val="00104649"/>
    <w:rsid w:val="00105F60"/>
    <w:rsid w:val="00106593"/>
    <w:rsid w:val="00106FB7"/>
    <w:rsid w:val="00107B82"/>
    <w:rsid w:val="001106CC"/>
    <w:rsid w:val="00111048"/>
    <w:rsid w:val="0011363B"/>
    <w:rsid w:val="00115406"/>
    <w:rsid w:val="00116B13"/>
    <w:rsid w:val="0012182B"/>
    <w:rsid w:val="00123261"/>
    <w:rsid w:val="00124445"/>
    <w:rsid w:val="001251DA"/>
    <w:rsid w:val="0012555D"/>
    <w:rsid w:val="00131412"/>
    <w:rsid w:val="00131DCC"/>
    <w:rsid w:val="00131F3C"/>
    <w:rsid w:val="001326FA"/>
    <w:rsid w:val="00133D78"/>
    <w:rsid w:val="001365FE"/>
    <w:rsid w:val="00137F95"/>
    <w:rsid w:val="001426C5"/>
    <w:rsid w:val="00142CC2"/>
    <w:rsid w:val="001433F5"/>
    <w:rsid w:val="00143505"/>
    <w:rsid w:val="001446DA"/>
    <w:rsid w:val="00147CBE"/>
    <w:rsid w:val="0015135C"/>
    <w:rsid w:val="001545A4"/>
    <w:rsid w:val="00154C19"/>
    <w:rsid w:val="001576AA"/>
    <w:rsid w:val="00157B10"/>
    <w:rsid w:val="00161044"/>
    <w:rsid w:val="00164894"/>
    <w:rsid w:val="00164B91"/>
    <w:rsid w:val="001656BB"/>
    <w:rsid w:val="00166182"/>
    <w:rsid w:val="0016635D"/>
    <w:rsid w:val="00172A27"/>
    <w:rsid w:val="001755F5"/>
    <w:rsid w:val="00176D8E"/>
    <w:rsid w:val="00184A0F"/>
    <w:rsid w:val="00185D35"/>
    <w:rsid w:val="001872C0"/>
    <w:rsid w:val="001903BF"/>
    <w:rsid w:val="00192724"/>
    <w:rsid w:val="00192924"/>
    <w:rsid w:val="00193376"/>
    <w:rsid w:val="0019543A"/>
    <w:rsid w:val="001A0FE2"/>
    <w:rsid w:val="001A10BC"/>
    <w:rsid w:val="001A552A"/>
    <w:rsid w:val="001A555E"/>
    <w:rsid w:val="001B02CA"/>
    <w:rsid w:val="001B0AD5"/>
    <w:rsid w:val="001B691E"/>
    <w:rsid w:val="001B7942"/>
    <w:rsid w:val="001C2C6A"/>
    <w:rsid w:val="001D0500"/>
    <w:rsid w:val="001D39FC"/>
    <w:rsid w:val="001D5F42"/>
    <w:rsid w:val="001D74AB"/>
    <w:rsid w:val="001E0EC5"/>
    <w:rsid w:val="001E2762"/>
    <w:rsid w:val="001E28B4"/>
    <w:rsid w:val="001E4059"/>
    <w:rsid w:val="001E51EA"/>
    <w:rsid w:val="001E5377"/>
    <w:rsid w:val="001E7DD2"/>
    <w:rsid w:val="001F0CCA"/>
    <w:rsid w:val="001F3EDB"/>
    <w:rsid w:val="001F5B33"/>
    <w:rsid w:val="00203167"/>
    <w:rsid w:val="0020553C"/>
    <w:rsid w:val="00210316"/>
    <w:rsid w:val="0021159F"/>
    <w:rsid w:val="00213B5A"/>
    <w:rsid w:val="0021484A"/>
    <w:rsid w:val="00214A63"/>
    <w:rsid w:val="002171E3"/>
    <w:rsid w:val="0022237B"/>
    <w:rsid w:val="00222660"/>
    <w:rsid w:val="00223B3D"/>
    <w:rsid w:val="00226717"/>
    <w:rsid w:val="002270FE"/>
    <w:rsid w:val="00231C82"/>
    <w:rsid w:val="0023331C"/>
    <w:rsid w:val="00234431"/>
    <w:rsid w:val="00235079"/>
    <w:rsid w:val="002369C5"/>
    <w:rsid w:val="00236AE3"/>
    <w:rsid w:val="0023786F"/>
    <w:rsid w:val="00237C7F"/>
    <w:rsid w:val="00240F2B"/>
    <w:rsid w:val="00241F28"/>
    <w:rsid w:val="00243050"/>
    <w:rsid w:val="00243237"/>
    <w:rsid w:val="002464FB"/>
    <w:rsid w:val="002470A5"/>
    <w:rsid w:val="0025026C"/>
    <w:rsid w:val="002504E9"/>
    <w:rsid w:val="00252601"/>
    <w:rsid w:val="00253150"/>
    <w:rsid w:val="002539C9"/>
    <w:rsid w:val="0025551F"/>
    <w:rsid w:val="00256B18"/>
    <w:rsid w:val="00256C98"/>
    <w:rsid w:val="00256D55"/>
    <w:rsid w:val="0025761A"/>
    <w:rsid w:val="0026044B"/>
    <w:rsid w:val="002633A7"/>
    <w:rsid w:val="0026434E"/>
    <w:rsid w:val="002643BC"/>
    <w:rsid w:val="00266CD8"/>
    <w:rsid w:val="002700BC"/>
    <w:rsid w:val="002717F6"/>
    <w:rsid w:val="00275712"/>
    <w:rsid w:val="002830FE"/>
    <w:rsid w:val="0028589E"/>
    <w:rsid w:val="00291748"/>
    <w:rsid w:val="00296F9A"/>
    <w:rsid w:val="00297F0D"/>
    <w:rsid w:val="002A2DF5"/>
    <w:rsid w:val="002A3710"/>
    <w:rsid w:val="002A5E00"/>
    <w:rsid w:val="002B11D6"/>
    <w:rsid w:val="002B1242"/>
    <w:rsid w:val="002B331C"/>
    <w:rsid w:val="002B3FBD"/>
    <w:rsid w:val="002B5161"/>
    <w:rsid w:val="002B5C8C"/>
    <w:rsid w:val="002B60DC"/>
    <w:rsid w:val="002B7883"/>
    <w:rsid w:val="002C2F9F"/>
    <w:rsid w:val="002C38AC"/>
    <w:rsid w:val="002C396D"/>
    <w:rsid w:val="002C5F23"/>
    <w:rsid w:val="002C7CEC"/>
    <w:rsid w:val="002D0154"/>
    <w:rsid w:val="002D3C08"/>
    <w:rsid w:val="002D597D"/>
    <w:rsid w:val="002D64D5"/>
    <w:rsid w:val="002D6EC4"/>
    <w:rsid w:val="002D73F9"/>
    <w:rsid w:val="002E11BE"/>
    <w:rsid w:val="002E277C"/>
    <w:rsid w:val="002E51F2"/>
    <w:rsid w:val="002E54A6"/>
    <w:rsid w:val="002E58E0"/>
    <w:rsid w:val="002E62AD"/>
    <w:rsid w:val="002F18F3"/>
    <w:rsid w:val="002F1C66"/>
    <w:rsid w:val="002F2D9F"/>
    <w:rsid w:val="002F44FB"/>
    <w:rsid w:val="00300CCB"/>
    <w:rsid w:val="003014B5"/>
    <w:rsid w:val="003017A5"/>
    <w:rsid w:val="00302116"/>
    <w:rsid w:val="00304AAC"/>
    <w:rsid w:val="0030531A"/>
    <w:rsid w:val="00307E3F"/>
    <w:rsid w:val="00311DBC"/>
    <w:rsid w:val="00312539"/>
    <w:rsid w:val="00313215"/>
    <w:rsid w:val="00315139"/>
    <w:rsid w:val="00315156"/>
    <w:rsid w:val="00317AD8"/>
    <w:rsid w:val="0032123F"/>
    <w:rsid w:val="00324F4F"/>
    <w:rsid w:val="00326D6F"/>
    <w:rsid w:val="00326E9D"/>
    <w:rsid w:val="00330A5D"/>
    <w:rsid w:val="003311C3"/>
    <w:rsid w:val="00344377"/>
    <w:rsid w:val="00345CA7"/>
    <w:rsid w:val="003473EC"/>
    <w:rsid w:val="00347AC2"/>
    <w:rsid w:val="00351A0F"/>
    <w:rsid w:val="00352524"/>
    <w:rsid w:val="00355981"/>
    <w:rsid w:val="00356D79"/>
    <w:rsid w:val="0035797C"/>
    <w:rsid w:val="0036060A"/>
    <w:rsid w:val="00360861"/>
    <w:rsid w:val="00360CCE"/>
    <w:rsid w:val="00361EBD"/>
    <w:rsid w:val="00367655"/>
    <w:rsid w:val="00370785"/>
    <w:rsid w:val="003712A9"/>
    <w:rsid w:val="00371A7D"/>
    <w:rsid w:val="0037506B"/>
    <w:rsid w:val="0037523F"/>
    <w:rsid w:val="003771F1"/>
    <w:rsid w:val="0038393A"/>
    <w:rsid w:val="00383EBB"/>
    <w:rsid w:val="00384EDC"/>
    <w:rsid w:val="003878A6"/>
    <w:rsid w:val="0039112B"/>
    <w:rsid w:val="003955E5"/>
    <w:rsid w:val="003A1278"/>
    <w:rsid w:val="003A1A1B"/>
    <w:rsid w:val="003A5ACA"/>
    <w:rsid w:val="003A6CA7"/>
    <w:rsid w:val="003B03B1"/>
    <w:rsid w:val="003B0C59"/>
    <w:rsid w:val="003B0E09"/>
    <w:rsid w:val="003B1E67"/>
    <w:rsid w:val="003B1FC6"/>
    <w:rsid w:val="003B32BA"/>
    <w:rsid w:val="003B3A05"/>
    <w:rsid w:val="003B4B74"/>
    <w:rsid w:val="003B5CA0"/>
    <w:rsid w:val="003B6A5F"/>
    <w:rsid w:val="003B7006"/>
    <w:rsid w:val="003B794D"/>
    <w:rsid w:val="003C0F8F"/>
    <w:rsid w:val="003C34E7"/>
    <w:rsid w:val="003C57EC"/>
    <w:rsid w:val="003D03DC"/>
    <w:rsid w:val="003D141C"/>
    <w:rsid w:val="003D21DD"/>
    <w:rsid w:val="003D2827"/>
    <w:rsid w:val="003D5968"/>
    <w:rsid w:val="003E4EF5"/>
    <w:rsid w:val="003E53FA"/>
    <w:rsid w:val="003E57DE"/>
    <w:rsid w:val="003E763A"/>
    <w:rsid w:val="003F2844"/>
    <w:rsid w:val="003F33BF"/>
    <w:rsid w:val="003F3A57"/>
    <w:rsid w:val="003F6D95"/>
    <w:rsid w:val="00400D5B"/>
    <w:rsid w:val="00400FD3"/>
    <w:rsid w:val="0040277E"/>
    <w:rsid w:val="00404FEC"/>
    <w:rsid w:val="00406A5B"/>
    <w:rsid w:val="00411F97"/>
    <w:rsid w:val="004146E3"/>
    <w:rsid w:val="004167FE"/>
    <w:rsid w:val="00416A80"/>
    <w:rsid w:val="004236E7"/>
    <w:rsid w:val="004269DD"/>
    <w:rsid w:val="004269F9"/>
    <w:rsid w:val="00435DD1"/>
    <w:rsid w:val="00440998"/>
    <w:rsid w:val="00442636"/>
    <w:rsid w:val="00442B8B"/>
    <w:rsid w:val="0044430C"/>
    <w:rsid w:val="0044459D"/>
    <w:rsid w:val="00446F71"/>
    <w:rsid w:val="004522AD"/>
    <w:rsid w:val="0045305A"/>
    <w:rsid w:val="00455B6D"/>
    <w:rsid w:val="0045650B"/>
    <w:rsid w:val="0046197C"/>
    <w:rsid w:val="00463609"/>
    <w:rsid w:val="00463B04"/>
    <w:rsid w:val="00465C44"/>
    <w:rsid w:val="0046652C"/>
    <w:rsid w:val="00466C56"/>
    <w:rsid w:val="004706AD"/>
    <w:rsid w:val="00470A82"/>
    <w:rsid w:val="00473124"/>
    <w:rsid w:val="00473D3E"/>
    <w:rsid w:val="0047524E"/>
    <w:rsid w:val="004758CC"/>
    <w:rsid w:val="00476CA8"/>
    <w:rsid w:val="00480B2D"/>
    <w:rsid w:val="00483278"/>
    <w:rsid w:val="0048346B"/>
    <w:rsid w:val="00483BE9"/>
    <w:rsid w:val="00483C06"/>
    <w:rsid w:val="00483CEE"/>
    <w:rsid w:val="004870A0"/>
    <w:rsid w:val="0049129B"/>
    <w:rsid w:val="00491971"/>
    <w:rsid w:val="00491DAF"/>
    <w:rsid w:val="004931DF"/>
    <w:rsid w:val="00495370"/>
    <w:rsid w:val="00495B8D"/>
    <w:rsid w:val="0049702A"/>
    <w:rsid w:val="004A03A4"/>
    <w:rsid w:val="004A0E1A"/>
    <w:rsid w:val="004A1730"/>
    <w:rsid w:val="004A2D66"/>
    <w:rsid w:val="004A3BC6"/>
    <w:rsid w:val="004A541A"/>
    <w:rsid w:val="004B0062"/>
    <w:rsid w:val="004B3089"/>
    <w:rsid w:val="004B35CA"/>
    <w:rsid w:val="004B375C"/>
    <w:rsid w:val="004B510F"/>
    <w:rsid w:val="004B51B2"/>
    <w:rsid w:val="004B7461"/>
    <w:rsid w:val="004C0974"/>
    <w:rsid w:val="004C109A"/>
    <w:rsid w:val="004C325A"/>
    <w:rsid w:val="004C67FF"/>
    <w:rsid w:val="004D0D7F"/>
    <w:rsid w:val="004D3FED"/>
    <w:rsid w:val="004D60A9"/>
    <w:rsid w:val="004D61E0"/>
    <w:rsid w:val="004D6281"/>
    <w:rsid w:val="004E0B7D"/>
    <w:rsid w:val="004E0CA5"/>
    <w:rsid w:val="004E1189"/>
    <w:rsid w:val="004E4AE4"/>
    <w:rsid w:val="004E5303"/>
    <w:rsid w:val="004F0B52"/>
    <w:rsid w:val="004F0DA4"/>
    <w:rsid w:val="004F136C"/>
    <w:rsid w:val="004F3252"/>
    <w:rsid w:val="004F4D18"/>
    <w:rsid w:val="004F747B"/>
    <w:rsid w:val="005008B6"/>
    <w:rsid w:val="00501A0F"/>
    <w:rsid w:val="00503AD6"/>
    <w:rsid w:val="00503C4B"/>
    <w:rsid w:val="00505FC0"/>
    <w:rsid w:val="00506701"/>
    <w:rsid w:val="00506A8F"/>
    <w:rsid w:val="005110B2"/>
    <w:rsid w:val="00512438"/>
    <w:rsid w:val="00514BEC"/>
    <w:rsid w:val="00516C12"/>
    <w:rsid w:val="0052115F"/>
    <w:rsid w:val="0052300F"/>
    <w:rsid w:val="00527702"/>
    <w:rsid w:val="005319D4"/>
    <w:rsid w:val="005342AF"/>
    <w:rsid w:val="00535CC1"/>
    <w:rsid w:val="00537BA3"/>
    <w:rsid w:val="00540C10"/>
    <w:rsid w:val="0054302E"/>
    <w:rsid w:val="00545477"/>
    <w:rsid w:val="00547940"/>
    <w:rsid w:val="00547B81"/>
    <w:rsid w:val="005507FF"/>
    <w:rsid w:val="005515AB"/>
    <w:rsid w:val="00551AFE"/>
    <w:rsid w:val="005551F9"/>
    <w:rsid w:val="00564433"/>
    <w:rsid w:val="00571D8F"/>
    <w:rsid w:val="00572BD0"/>
    <w:rsid w:val="005748EF"/>
    <w:rsid w:val="00574A4D"/>
    <w:rsid w:val="00575090"/>
    <w:rsid w:val="00575764"/>
    <w:rsid w:val="005835BB"/>
    <w:rsid w:val="00583C30"/>
    <w:rsid w:val="005867CF"/>
    <w:rsid w:val="005902A7"/>
    <w:rsid w:val="00590C2D"/>
    <w:rsid w:val="0059121E"/>
    <w:rsid w:val="005923D6"/>
    <w:rsid w:val="00596269"/>
    <w:rsid w:val="0059677D"/>
    <w:rsid w:val="005A2897"/>
    <w:rsid w:val="005A3B87"/>
    <w:rsid w:val="005A67BF"/>
    <w:rsid w:val="005A6E32"/>
    <w:rsid w:val="005B3547"/>
    <w:rsid w:val="005B3C34"/>
    <w:rsid w:val="005B461B"/>
    <w:rsid w:val="005B477E"/>
    <w:rsid w:val="005B4A68"/>
    <w:rsid w:val="005B5797"/>
    <w:rsid w:val="005B63A9"/>
    <w:rsid w:val="005C05BC"/>
    <w:rsid w:val="005C0722"/>
    <w:rsid w:val="005C0808"/>
    <w:rsid w:val="005C0D2F"/>
    <w:rsid w:val="005C1C81"/>
    <w:rsid w:val="005C4BEE"/>
    <w:rsid w:val="005C6751"/>
    <w:rsid w:val="005C6ABA"/>
    <w:rsid w:val="005C6B6E"/>
    <w:rsid w:val="005C7AEA"/>
    <w:rsid w:val="005C7E7A"/>
    <w:rsid w:val="005D21C6"/>
    <w:rsid w:val="005D318B"/>
    <w:rsid w:val="005D72AC"/>
    <w:rsid w:val="005E2FB2"/>
    <w:rsid w:val="005E6F6C"/>
    <w:rsid w:val="005E7D2B"/>
    <w:rsid w:val="005F44EE"/>
    <w:rsid w:val="005F47CA"/>
    <w:rsid w:val="005F5D8B"/>
    <w:rsid w:val="005F7AC0"/>
    <w:rsid w:val="00600A09"/>
    <w:rsid w:val="00600D03"/>
    <w:rsid w:val="00601E13"/>
    <w:rsid w:val="00603081"/>
    <w:rsid w:val="00605266"/>
    <w:rsid w:val="00605834"/>
    <w:rsid w:val="00606BD6"/>
    <w:rsid w:val="00610518"/>
    <w:rsid w:val="006108AB"/>
    <w:rsid w:val="00611502"/>
    <w:rsid w:val="00613307"/>
    <w:rsid w:val="00613A04"/>
    <w:rsid w:val="00613D2D"/>
    <w:rsid w:val="00614662"/>
    <w:rsid w:val="0062066D"/>
    <w:rsid w:val="00621763"/>
    <w:rsid w:val="00621FA3"/>
    <w:rsid w:val="006232C0"/>
    <w:rsid w:val="00624BE1"/>
    <w:rsid w:val="00626C16"/>
    <w:rsid w:val="006278C4"/>
    <w:rsid w:val="00627AAC"/>
    <w:rsid w:val="00630A19"/>
    <w:rsid w:val="00630CD2"/>
    <w:rsid w:val="00632A99"/>
    <w:rsid w:val="00633556"/>
    <w:rsid w:val="00634007"/>
    <w:rsid w:val="00635157"/>
    <w:rsid w:val="006354E1"/>
    <w:rsid w:val="00635D45"/>
    <w:rsid w:val="00635EEA"/>
    <w:rsid w:val="00636078"/>
    <w:rsid w:val="00637685"/>
    <w:rsid w:val="00641F09"/>
    <w:rsid w:val="0064221D"/>
    <w:rsid w:val="006445EA"/>
    <w:rsid w:val="00645921"/>
    <w:rsid w:val="00645AE6"/>
    <w:rsid w:val="00646B84"/>
    <w:rsid w:val="00647612"/>
    <w:rsid w:val="00647FF4"/>
    <w:rsid w:val="00650D2A"/>
    <w:rsid w:val="006512E3"/>
    <w:rsid w:val="00651950"/>
    <w:rsid w:val="00651C65"/>
    <w:rsid w:val="00653B54"/>
    <w:rsid w:val="0065516A"/>
    <w:rsid w:val="00656242"/>
    <w:rsid w:val="00656D5A"/>
    <w:rsid w:val="00660589"/>
    <w:rsid w:val="00661526"/>
    <w:rsid w:val="00661AB6"/>
    <w:rsid w:val="0066364B"/>
    <w:rsid w:val="00664036"/>
    <w:rsid w:val="00666656"/>
    <w:rsid w:val="0066730B"/>
    <w:rsid w:val="00670545"/>
    <w:rsid w:val="00672C9D"/>
    <w:rsid w:val="00674BB2"/>
    <w:rsid w:val="00676BB8"/>
    <w:rsid w:val="00680BAA"/>
    <w:rsid w:val="00681673"/>
    <w:rsid w:val="006834DF"/>
    <w:rsid w:val="00685048"/>
    <w:rsid w:val="00685594"/>
    <w:rsid w:val="00690777"/>
    <w:rsid w:val="00690872"/>
    <w:rsid w:val="00693305"/>
    <w:rsid w:val="00693891"/>
    <w:rsid w:val="00693ECA"/>
    <w:rsid w:val="00694A08"/>
    <w:rsid w:val="006A26D8"/>
    <w:rsid w:val="006A3B44"/>
    <w:rsid w:val="006A4FDC"/>
    <w:rsid w:val="006A56EB"/>
    <w:rsid w:val="006B0677"/>
    <w:rsid w:val="006B15EC"/>
    <w:rsid w:val="006B2B00"/>
    <w:rsid w:val="006B6868"/>
    <w:rsid w:val="006B7090"/>
    <w:rsid w:val="006B7489"/>
    <w:rsid w:val="006C2097"/>
    <w:rsid w:val="006C48B6"/>
    <w:rsid w:val="006C4AB2"/>
    <w:rsid w:val="006C735D"/>
    <w:rsid w:val="006D66FF"/>
    <w:rsid w:val="006E24F5"/>
    <w:rsid w:val="006E5509"/>
    <w:rsid w:val="006E57AF"/>
    <w:rsid w:val="006E642C"/>
    <w:rsid w:val="006E7080"/>
    <w:rsid w:val="006F0FBB"/>
    <w:rsid w:val="006F2DED"/>
    <w:rsid w:val="006F3423"/>
    <w:rsid w:val="006F34D4"/>
    <w:rsid w:val="006F6F7F"/>
    <w:rsid w:val="00700FD3"/>
    <w:rsid w:val="007040E8"/>
    <w:rsid w:val="00706682"/>
    <w:rsid w:val="00706C10"/>
    <w:rsid w:val="00706FBC"/>
    <w:rsid w:val="00707009"/>
    <w:rsid w:val="007120D0"/>
    <w:rsid w:val="0071318F"/>
    <w:rsid w:val="00714C50"/>
    <w:rsid w:val="0071544F"/>
    <w:rsid w:val="00715EC4"/>
    <w:rsid w:val="00717126"/>
    <w:rsid w:val="00717B1E"/>
    <w:rsid w:val="007239DE"/>
    <w:rsid w:val="00726B0D"/>
    <w:rsid w:val="00726E8A"/>
    <w:rsid w:val="00727196"/>
    <w:rsid w:val="00727577"/>
    <w:rsid w:val="007277EA"/>
    <w:rsid w:val="007319A6"/>
    <w:rsid w:val="00732925"/>
    <w:rsid w:val="00732AE7"/>
    <w:rsid w:val="007332B8"/>
    <w:rsid w:val="0073531C"/>
    <w:rsid w:val="007357D5"/>
    <w:rsid w:val="00735E1B"/>
    <w:rsid w:val="00737C41"/>
    <w:rsid w:val="007437BA"/>
    <w:rsid w:val="00743F7E"/>
    <w:rsid w:val="00744180"/>
    <w:rsid w:val="007506D5"/>
    <w:rsid w:val="00750F9D"/>
    <w:rsid w:val="00750FBB"/>
    <w:rsid w:val="00752AD8"/>
    <w:rsid w:val="00754674"/>
    <w:rsid w:val="007558BD"/>
    <w:rsid w:val="00755AFE"/>
    <w:rsid w:val="0075676D"/>
    <w:rsid w:val="00760178"/>
    <w:rsid w:val="007620E7"/>
    <w:rsid w:val="00764CE8"/>
    <w:rsid w:val="00770910"/>
    <w:rsid w:val="00771AEF"/>
    <w:rsid w:val="00772B27"/>
    <w:rsid w:val="007743AD"/>
    <w:rsid w:val="0077635F"/>
    <w:rsid w:val="007764AE"/>
    <w:rsid w:val="0077725D"/>
    <w:rsid w:val="0078144C"/>
    <w:rsid w:val="0078210A"/>
    <w:rsid w:val="0079131C"/>
    <w:rsid w:val="007932C6"/>
    <w:rsid w:val="00794843"/>
    <w:rsid w:val="007964E5"/>
    <w:rsid w:val="007966FD"/>
    <w:rsid w:val="007A00CA"/>
    <w:rsid w:val="007A1B82"/>
    <w:rsid w:val="007A3317"/>
    <w:rsid w:val="007A343C"/>
    <w:rsid w:val="007A407E"/>
    <w:rsid w:val="007A78F0"/>
    <w:rsid w:val="007B184E"/>
    <w:rsid w:val="007B2DE0"/>
    <w:rsid w:val="007B4B1F"/>
    <w:rsid w:val="007B5173"/>
    <w:rsid w:val="007C026D"/>
    <w:rsid w:val="007D0B45"/>
    <w:rsid w:val="007D2CC7"/>
    <w:rsid w:val="007D3BED"/>
    <w:rsid w:val="007D5359"/>
    <w:rsid w:val="007E2503"/>
    <w:rsid w:val="007E33F3"/>
    <w:rsid w:val="007E396A"/>
    <w:rsid w:val="007E4442"/>
    <w:rsid w:val="007F0373"/>
    <w:rsid w:val="007F0FDB"/>
    <w:rsid w:val="007F486E"/>
    <w:rsid w:val="007F60ED"/>
    <w:rsid w:val="007F7ED1"/>
    <w:rsid w:val="00802C91"/>
    <w:rsid w:val="008034EB"/>
    <w:rsid w:val="00805162"/>
    <w:rsid w:val="008053D8"/>
    <w:rsid w:val="008100DB"/>
    <w:rsid w:val="00810149"/>
    <w:rsid w:val="008105B0"/>
    <w:rsid w:val="00810F33"/>
    <w:rsid w:val="00810FE3"/>
    <w:rsid w:val="00813F02"/>
    <w:rsid w:val="008145BA"/>
    <w:rsid w:val="00814AE5"/>
    <w:rsid w:val="00815342"/>
    <w:rsid w:val="00817073"/>
    <w:rsid w:val="00817E75"/>
    <w:rsid w:val="00821B03"/>
    <w:rsid w:val="008228B3"/>
    <w:rsid w:val="00824E36"/>
    <w:rsid w:val="00826B6F"/>
    <w:rsid w:val="00826BAD"/>
    <w:rsid w:val="00836716"/>
    <w:rsid w:val="008410DB"/>
    <w:rsid w:val="00844DE6"/>
    <w:rsid w:val="0084516E"/>
    <w:rsid w:val="008452A0"/>
    <w:rsid w:val="008464C1"/>
    <w:rsid w:val="00850CD5"/>
    <w:rsid w:val="0085195B"/>
    <w:rsid w:val="00851BB8"/>
    <w:rsid w:val="008523B6"/>
    <w:rsid w:val="0085604C"/>
    <w:rsid w:val="00857DB4"/>
    <w:rsid w:val="00861957"/>
    <w:rsid w:val="00862293"/>
    <w:rsid w:val="00863239"/>
    <w:rsid w:val="00863F2B"/>
    <w:rsid w:val="008668B7"/>
    <w:rsid w:val="00875889"/>
    <w:rsid w:val="00875903"/>
    <w:rsid w:val="00881BCF"/>
    <w:rsid w:val="0088292D"/>
    <w:rsid w:val="00887CE9"/>
    <w:rsid w:val="00890A74"/>
    <w:rsid w:val="00891654"/>
    <w:rsid w:val="00896743"/>
    <w:rsid w:val="008970A8"/>
    <w:rsid w:val="008A5789"/>
    <w:rsid w:val="008A7619"/>
    <w:rsid w:val="008B0364"/>
    <w:rsid w:val="008B0E9C"/>
    <w:rsid w:val="008B1987"/>
    <w:rsid w:val="008B35F6"/>
    <w:rsid w:val="008B40B6"/>
    <w:rsid w:val="008B4294"/>
    <w:rsid w:val="008B4A92"/>
    <w:rsid w:val="008C0584"/>
    <w:rsid w:val="008C2D99"/>
    <w:rsid w:val="008C3003"/>
    <w:rsid w:val="008C3582"/>
    <w:rsid w:val="008C5347"/>
    <w:rsid w:val="008C5633"/>
    <w:rsid w:val="008D4076"/>
    <w:rsid w:val="008D6332"/>
    <w:rsid w:val="008D6EDE"/>
    <w:rsid w:val="008D7B19"/>
    <w:rsid w:val="008E25C3"/>
    <w:rsid w:val="008E3B0C"/>
    <w:rsid w:val="008E403B"/>
    <w:rsid w:val="008E4137"/>
    <w:rsid w:val="008E5CD9"/>
    <w:rsid w:val="008E7496"/>
    <w:rsid w:val="008F1856"/>
    <w:rsid w:val="008F1E55"/>
    <w:rsid w:val="008F1ECD"/>
    <w:rsid w:val="008F3369"/>
    <w:rsid w:val="008F3F5E"/>
    <w:rsid w:val="008F4590"/>
    <w:rsid w:val="008F5E0C"/>
    <w:rsid w:val="008F6BDF"/>
    <w:rsid w:val="00900DB7"/>
    <w:rsid w:val="009045B6"/>
    <w:rsid w:val="00905D4C"/>
    <w:rsid w:val="0090610F"/>
    <w:rsid w:val="00910D36"/>
    <w:rsid w:val="00911CFF"/>
    <w:rsid w:val="0091274E"/>
    <w:rsid w:val="00914CE2"/>
    <w:rsid w:val="009155BE"/>
    <w:rsid w:val="00916E2F"/>
    <w:rsid w:val="009211AE"/>
    <w:rsid w:val="00925EC2"/>
    <w:rsid w:val="0092640D"/>
    <w:rsid w:val="009269D9"/>
    <w:rsid w:val="00930DA4"/>
    <w:rsid w:val="00933046"/>
    <w:rsid w:val="00934D77"/>
    <w:rsid w:val="00936340"/>
    <w:rsid w:val="00936960"/>
    <w:rsid w:val="00936FDD"/>
    <w:rsid w:val="00937199"/>
    <w:rsid w:val="00937549"/>
    <w:rsid w:val="00943CC8"/>
    <w:rsid w:val="009445D0"/>
    <w:rsid w:val="00944621"/>
    <w:rsid w:val="00946C61"/>
    <w:rsid w:val="009514A7"/>
    <w:rsid w:val="00956F5D"/>
    <w:rsid w:val="0095717F"/>
    <w:rsid w:val="00957A96"/>
    <w:rsid w:val="00960FCA"/>
    <w:rsid w:val="009612B7"/>
    <w:rsid w:val="00961819"/>
    <w:rsid w:val="00963A4C"/>
    <w:rsid w:val="0096517A"/>
    <w:rsid w:val="00966CE4"/>
    <w:rsid w:val="0097131B"/>
    <w:rsid w:val="009715E0"/>
    <w:rsid w:val="00973F2C"/>
    <w:rsid w:val="009767BA"/>
    <w:rsid w:val="0097699B"/>
    <w:rsid w:val="009834A3"/>
    <w:rsid w:val="00984C8F"/>
    <w:rsid w:val="00985DA6"/>
    <w:rsid w:val="00985E37"/>
    <w:rsid w:val="009863D7"/>
    <w:rsid w:val="009871F1"/>
    <w:rsid w:val="00990589"/>
    <w:rsid w:val="009911EC"/>
    <w:rsid w:val="00995462"/>
    <w:rsid w:val="00997E8E"/>
    <w:rsid w:val="009A3770"/>
    <w:rsid w:val="009A5C56"/>
    <w:rsid w:val="009A7665"/>
    <w:rsid w:val="009B46EA"/>
    <w:rsid w:val="009B5052"/>
    <w:rsid w:val="009B6083"/>
    <w:rsid w:val="009B64A6"/>
    <w:rsid w:val="009C0B39"/>
    <w:rsid w:val="009C362C"/>
    <w:rsid w:val="009C3D34"/>
    <w:rsid w:val="009C4681"/>
    <w:rsid w:val="009D189B"/>
    <w:rsid w:val="009D3790"/>
    <w:rsid w:val="009D60CA"/>
    <w:rsid w:val="009D6B57"/>
    <w:rsid w:val="009D77D2"/>
    <w:rsid w:val="009D7B4C"/>
    <w:rsid w:val="009E114F"/>
    <w:rsid w:val="009E1C90"/>
    <w:rsid w:val="009E49EA"/>
    <w:rsid w:val="009E504B"/>
    <w:rsid w:val="009E5099"/>
    <w:rsid w:val="009F249E"/>
    <w:rsid w:val="009F2643"/>
    <w:rsid w:val="009F46D9"/>
    <w:rsid w:val="009F621E"/>
    <w:rsid w:val="00A00183"/>
    <w:rsid w:val="00A0335B"/>
    <w:rsid w:val="00A059DB"/>
    <w:rsid w:val="00A06789"/>
    <w:rsid w:val="00A07F8C"/>
    <w:rsid w:val="00A123A7"/>
    <w:rsid w:val="00A12CEF"/>
    <w:rsid w:val="00A1514B"/>
    <w:rsid w:val="00A15CE4"/>
    <w:rsid w:val="00A17EC8"/>
    <w:rsid w:val="00A205BF"/>
    <w:rsid w:val="00A210C6"/>
    <w:rsid w:val="00A212BE"/>
    <w:rsid w:val="00A22A94"/>
    <w:rsid w:val="00A25D2D"/>
    <w:rsid w:val="00A30666"/>
    <w:rsid w:val="00A31CA6"/>
    <w:rsid w:val="00A3245E"/>
    <w:rsid w:val="00A343AE"/>
    <w:rsid w:val="00A40A7C"/>
    <w:rsid w:val="00A411DA"/>
    <w:rsid w:val="00A413E3"/>
    <w:rsid w:val="00A41D12"/>
    <w:rsid w:val="00A44D86"/>
    <w:rsid w:val="00A53720"/>
    <w:rsid w:val="00A53F9C"/>
    <w:rsid w:val="00A542D0"/>
    <w:rsid w:val="00A55163"/>
    <w:rsid w:val="00A57A04"/>
    <w:rsid w:val="00A57A0F"/>
    <w:rsid w:val="00A605E1"/>
    <w:rsid w:val="00A61462"/>
    <w:rsid w:val="00A61608"/>
    <w:rsid w:val="00A66530"/>
    <w:rsid w:val="00A70491"/>
    <w:rsid w:val="00A71B48"/>
    <w:rsid w:val="00A76F00"/>
    <w:rsid w:val="00A773E1"/>
    <w:rsid w:val="00A77C13"/>
    <w:rsid w:val="00A80BE3"/>
    <w:rsid w:val="00A81FBF"/>
    <w:rsid w:val="00A82215"/>
    <w:rsid w:val="00A83623"/>
    <w:rsid w:val="00A83E4E"/>
    <w:rsid w:val="00A860D0"/>
    <w:rsid w:val="00A86F5B"/>
    <w:rsid w:val="00A87C7F"/>
    <w:rsid w:val="00A90B11"/>
    <w:rsid w:val="00A9201E"/>
    <w:rsid w:val="00A92EA8"/>
    <w:rsid w:val="00A94425"/>
    <w:rsid w:val="00A96747"/>
    <w:rsid w:val="00AA010B"/>
    <w:rsid w:val="00AA40BB"/>
    <w:rsid w:val="00AA661C"/>
    <w:rsid w:val="00AB1054"/>
    <w:rsid w:val="00AB1604"/>
    <w:rsid w:val="00AB179F"/>
    <w:rsid w:val="00AB26E7"/>
    <w:rsid w:val="00AB3CEB"/>
    <w:rsid w:val="00AB5572"/>
    <w:rsid w:val="00AB57FC"/>
    <w:rsid w:val="00AC18EC"/>
    <w:rsid w:val="00AC34E5"/>
    <w:rsid w:val="00AC5290"/>
    <w:rsid w:val="00AD1112"/>
    <w:rsid w:val="00AD4306"/>
    <w:rsid w:val="00AD49F5"/>
    <w:rsid w:val="00AE0574"/>
    <w:rsid w:val="00AE0D72"/>
    <w:rsid w:val="00AE2985"/>
    <w:rsid w:val="00AE298C"/>
    <w:rsid w:val="00AE3862"/>
    <w:rsid w:val="00AE576F"/>
    <w:rsid w:val="00AF02DF"/>
    <w:rsid w:val="00AF0EC0"/>
    <w:rsid w:val="00AF1C88"/>
    <w:rsid w:val="00AF545A"/>
    <w:rsid w:val="00AF5AE8"/>
    <w:rsid w:val="00AF63E4"/>
    <w:rsid w:val="00AF6CE3"/>
    <w:rsid w:val="00AF7FEE"/>
    <w:rsid w:val="00B023DE"/>
    <w:rsid w:val="00B03CAC"/>
    <w:rsid w:val="00B03CAE"/>
    <w:rsid w:val="00B047AD"/>
    <w:rsid w:val="00B04C2F"/>
    <w:rsid w:val="00B04F48"/>
    <w:rsid w:val="00B05CED"/>
    <w:rsid w:val="00B10981"/>
    <w:rsid w:val="00B11566"/>
    <w:rsid w:val="00B12B3C"/>
    <w:rsid w:val="00B12DF1"/>
    <w:rsid w:val="00B1359B"/>
    <w:rsid w:val="00B161F2"/>
    <w:rsid w:val="00B165E8"/>
    <w:rsid w:val="00B21B18"/>
    <w:rsid w:val="00B21F11"/>
    <w:rsid w:val="00B22AC3"/>
    <w:rsid w:val="00B24263"/>
    <w:rsid w:val="00B25B0A"/>
    <w:rsid w:val="00B333CD"/>
    <w:rsid w:val="00B33DC7"/>
    <w:rsid w:val="00B34086"/>
    <w:rsid w:val="00B352A3"/>
    <w:rsid w:val="00B35637"/>
    <w:rsid w:val="00B3578B"/>
    <w:rsid w:val="00B3584E"/>
    <w:rsid w:val="00B37D31"/>
    <w:rsid w:val="00B43B12"/>
    <w:rsid w:val="00B4445B"/>
    <w:rsid w:val="00B45A3D"/>
    <w:rsid w:val="00B46EE9"/>
    <w:rsid w:val="00B5122F"/>
    <w:rsid w:val="00B531D4"/>
    <w:rsid w:val="00B55959"/>
    <w:rsid w:val="00B560EA"/>
    <w:rsid w:val="00B57627"/>
    <w:rsid w:val="00B64725"/>
    <w:rsid w:val="00B654F4"/>
    <w:rsid w:val="00B671E4"/>
    <w:rsid w:val="00B67B94"/>
    <w:rsid w:val="00B67DAB"/>
    <w:rsid w:val="00B700B7"/>
    <w:rsid w:val="00B7129F"/>
    <w:rsid w:val="00B858E7"/>
    <w:rsid w:val="00B92691"/>
    <w:rsid w:val="00B9332D"/>
    <w:rsid w:val="00B938C0"/>
    <w:rsid w:val="00B9416E"/>
    <w:rsid w:val="00B95536"/>
    <w:rsid w:val="00B95F3D"/>
    <w:rsid w:val="00B96F88"/>
    <w:rsid w:val="00B9718E"/>
    <w:rsid w:val="00B97B8C"/>
    <w:rsid w:val="00B97B93"/>
    <w:rsid w:val="00BA1EC6"/>
    <w:rsid w:val="00BA23AA"/>
    <w:rsid w:val="00BA4053"/>
    <w:rsid w:val="00BA5BCC"/>
    <w:rsid w:val="00BB2AD0"/>
    <w:rsid w:val="00BB3633"/>
    <w:rsid w:val="00BB641F"/>
    <w:rsid w:val="00BB69D1"/>
    <w:rsid w:val="00BB7134"/>
    <w:rsid w:val="00BC04A0"/>
    <w:rsid w:val="00BC345A"/>
    <w:rsid w:val="00BC6F11"/>
    <w:rsid w:val="00BD23F6"/>
    <w:rsid w:val="00BD3104"/>
    <w:rsid w:val="00BD4864"/>
    <w:rsid w:val="00BD5476"/>
    <w:rsid w:val="00BD5787"/>
    <w:rsid w:val="00BD5EF0"/>
    <w:rsid w:val="00BD6346"/>
    <w:rsid w:val="00BE0090"/>
    <w:rsid w:val="00BE0BA8"/>
    <w:rsid w:val="00BE17B6"/>
    <w:rsid w:val="00BE1DB9"/>
    <w:rsid w:val="00BE4A9B"/>
    <w:rsid w:val="00BE7024"/>
    <w:rsid w:val="00BF1666"/>
    <w:rsid w:val="00BF2781"/>
    <w:rsid w:val="00BF3561"/>
    <w:rsid w:val="00BF7DE7"/>
    <w:rsid w:val="00C002E8"/>
    <w:rsid w:val="00C00C97"/>
    <w:rsid w:val="00C036CB"/>
    <w:rsid w:val="00C040FC"/>
    <w:rsid w:val="00C045DE"/>
    <w:rsid w:val="00C057E8"/>
    <w:rsid w:val="00C110A5"/>
    <w:rsid w:val="00C11BCE"/>
    <w:rsid w:val="00C12B0E"/>
    <w:rsid w:val="00C14501"/>
    <w:rsid w:val="00C1481D"/>
    <w:rsid w:val="00C14E13"/>
    <w:rsid w:val="00C14F95"/>
    <w:rsid w:val="00C153BF"/>
    <w:rsid w:val="00C169D1"/>
    <w:rsid w:val="00C16BC5"/>
    <w:rsid w:val="00C1713D"/>
    <w:rsid w:val="00C20BAD"/>
    <w:rsid w:val="00C22044"/>
    <w:rsid w:val="00C268B8"/>
    <w:rsid w:val="00C27355"/>
    <w:rsid w:val="00C31699"/>
    <w:rsid w:val="00C32DA3"/>
    <w:rsid w:val="00C420E6"/>
    <w:rsid w:val="00C4737D"/>
    <w:rsid w:val="00C47588"/>
    <w:rsid w:val="00C507A0"/>
    <w:rsid w:val="00C5164F"/>
    <w:rsid w:val="00C51982"/>
    <w:rsid w:val="00C532B2"/>
    <w:rsid w:val="00C5471E"/>
    <w:rsid w:val="00C55D33"/>
    <w:rsid w:val="00C60C8E"/>
    <w:rsid w:val="00C61B2D"/>
    <w:rsid w:val="00C6257B"/>
    <w:rsid w:val="00C64AF2"/>
    <w:rsid w:val="00C7031C"/>
    <w:rsid w:val="00C71F31"/>
    <w:rsid w:val="00C73B8A"/>
    <w:rsid w:val="00C75B1E"/>
    <w:rsid w:val="00C75E14"/>
    <w:rsid w:val="00C81951"/>
    <w:rsid w:val="00C82189"/>
    <w:rsid w:val="00C826BC"/>
    <w:rsid w:val="00C853FE"/>
    <w:rsid w:val="00C85FA3"/>
    <w:rsid w:val="00C86F68"/>
    <w:rsid w:val="00C876CF"/>
    <w:rsid w:val="00C90D96"/>
    <w:rsid w:val="00C91FB5"/>
    <w:rsid w:val="00C9359D"/>
    <w:rsid w:val="00C95D8E"/>
    <w:rsid w:val="00C974C4"/>
    <w:rsid w:val="00C97947"/>
    <w:rsid w:val="00CA00B5"/>
    <w:rsid w:val="00CA461D"/>
    <w:rsid w:val="00CA4F2C"/>
    <w:rsid w:val="00CA63B9"/>
    <w:rsid w:val="00CB672D"/>
    <w:rsid w:val="00CB7B25"/>
    <w:rsid w:val="00CC2022"/>
    <w:rsid w:val="00CC3893"/>
    <w:rsid w:val="00CC4342"/>
    <w:rsid w:val="00CC496F"/>
    <w:rsid w:val="00CC7ABE"/>
    <w:rsid w:val="00CC7E73"/>
    <w:rsid w:val="00CD0988"/>
    <w:rsid w:val="00CD0B19"/>
    <w:rsid w:val="00CD29AC"/>
    <w:rsid w:val="00CD3EF4"/>
    <w:rsid w:val="00CD5125"/>
    <w:rsid w:val="00CD6BF5"/>
    <w:rsid w:val="00CE1DBD"/>
    <w:rsid w:val="00CE2EF2"/>
    <w:rsid w:val="00CF2DDF"/>
    <w:rsid w:val="00CF61EC"/>
    <w:rsid w:val="00CF67D4"/>
    <w:rsid w:val="00CF78AD"/>
    <w:rsid w:val="00D00BC5"/>
    <w:rsid w:val="00D035AA"/>
    <w:rsid w:val="00D04CFD"/>
    <w:rsid w:val="00D057A7"/>
    <w:rsid w:val="00D0691E"/>
    <w:rsid w:val="00D06A50"/>
    <w:rsid w:val="00D072F8"/>
    <w:rsid w:val="00D1167D"/>
    <w:rsid w:val="00D13679"/>
    <w:rsid w:val="00D13D42"/>
    <w:rsid w:val="00D15738"/>
    <w:rsid w:val="00D1585E"/>
    <w:rsid w:val="00D237CD"/>
    <w:rsid w:val="00D24FC4"/>
    <w:rsid w:val="00D254DF"/>
    <w:rsid w:val="00D26642"/>
    <w:rsid w:val="00D30795"/>
    <w:rsid w:val="00D31DE4"/>
    <w:rsid w:val="00D40261"/>
    <w:rsid w:val="00D40554"/>
    <w:rsid w:val="00D4144A"/>
    <w:rsid w:val="00D42CAD"/>
    <w:rsid w:val="00D430D4"/>
    <w:rsid w:val="00D43C2D"/>
    <w:rsid w:val="00D43C45"/>
    <w:rsid w:val="00D44E49"/>
    <w:rsid w:val="00D53EBE"/>
    <w:rsid w:val="00D54C75"/>
    <w:rsid w:val="00D56B8D"/>
    <w:rsid w:val="00D61836"/>
    <w:rsid w:val="00D618C0"/>
    <w:rsid w:val="00D62890"/>
    <w:rsid w:val="00D62B58"/>
    <w:rsid w:val="00D633C8"/>
    <w:rsid w:val="00D63790"/>
    <w:rsid w:val="00D63D19"/>
    <w:rsid w:val="00D650B4"/>
    <w:rsid w:val="00D65337"/>
    <w:rsid w:val="00D6599D"/>
    <w:rsid w:val="00D67792"/>
    <w:rsid w:val="00D67CB5"/>
    <w:rsid w:val="00D71F9F"/>
    <w:rsid w:val="00D73AFE"/>
    <w:rsid w:val="00D76E63"/>
    <w:rsid w:val="00D82475"/>
    <w:rsid w:val="00D8307F"/>
    <w:rsid w:val="00D833CF"/>
    <w:rsid w:val="00D84741"/>
    <w:rsid w:val="00D85B92"/>
    <w:rsid w:val="00D86576"/>
    <w:rsid w:val="00D96D77"/>
    <w:rsid w:val="00D971AE"/>
    <w:rsid w:val="00DA394E"/>
    <w:rsid w:val="00DB2716"/>
    <w:rsid w:val="00DB2B42"/>
    <w:rsid w:val="00DB4449"/>
    <w:rsid w:val="00DB4DA5"/>
    <w:rsid w:val="00DB534A"/>
    <w:rsid w:val="00DB6DFC"/>
    <w:rsid w:val="00DB71EB"/>
    <w:rsid w:val="00DB75C1"/>
    <w:rsid w:val="00DC12D4"/>
    <w:rsid w:val="00DC5A9C"/>
    <w:rsid w:val="00DD07C1"/>
    <w:rsid w:val="00DD1584"/>
    <w:rsid w:val="00DD1A21"/>
    <w:rsid w:val="00DD2697"/>
    <w:rsid w:val="00DD2B99"/>
    <w:rsid w:val="00DD31A6"/>
    <w:rsid w:val="00DD4A01"/>
    <w:rsid w:val="00DE3CC2"/>
    <w:rsid w:val="00DE46C1"/>
    <w:rsid w:val="00DE5F22"/>
    <w:rsid w:val="00DE638E"/>
    <w:rsid w:val="00DE655E"/>
    <w:rsid w:val="00DE6F28"/>
    <w:rsid w:val="00DF418A"/>
    <w:rsid w:val="00DF441C"/>
    <w:rsid w:val="00DF5B00"/>
    <w:rsid w:val="00DF6186"/>
    <w:rsid w:val="00DF7A75"/>
    <w:rsid w:val="00E01CB2"/>
    <w:rsid w:val="00E01DB5"/>
    <w:rsid w:val="00E025E8"/>
    <w:rsid w:val="00E02F8F"/>
    <w:rsid w:val="00E03477"/>
    <w:rsid w:val="00E04659"/>
    <w:rsid w:val="00E077B6"/>
    <w:rsid w:val="00E102B5"/>
    <w:rsid w:val="00E13D07"/>
    <w:rsid w:val="00E14094"/>
    <w:rsid w:val="00E15C01"/>
    <w:rsid w:val="00E1608F"/>
    <w:rsid w:val="00E20B48"/>
    <w:rsid w:val="00E21AC9"/>
    <w:rsid w:val="00E21CDA"/>
    <w:rsid w:val="00E21FEF"/>
    <w:rsid w:val="00E2409F"/>
    <w:rsid w:val="00E257EE"/>
    <w:rsid w:val="00E26886"/>
    <w:rsid w:val="00E273D0"/>
    <w:rsid w:val="00E27C1E"/>
    <w:rsid w:val="00E341C1"/>
    <w:rsid w:val="00E35432"/>
    <w:rsid w:val="00E37AB7"/>
    <w:rsid w:val="00E40073"/>
    <w:rsid w:val="00E40579"/>
    <w:rsid w:val="00E41C7F"/>
    <w:rsid w:val="00E42E5F"/>
    <w:rsid w:val="00E4319F"/>
    <w:rsid w:val="00E53CF8"/>
    <w:rsid w:val="00E543AB"/>
    <w:rsid w:val="00E60AAC"/>
    <w:rsid w:val="00E61D2F"/>
    <w:rsid w:val="00E716C1"/>
    <w:rsid w:val="00E72C39"/>
    <w:rsid w:val="00E72D72"/>
    <w:rsid w:val="00E73634"/>
    <w:rsid w:val="00E74E02"/>
    <w:rsid w:val="00E7521A"/>
    <w:rsid w:val="00E765C4"/>
    <w:rsid w:val="00E76823"/>
    <w:rsid w:val="00E804A4"/>
    <w:rsid w:val="00E8301C"/>
    <w:rsid w:val="00E90074"/>
    <w:rsid w:val="00E91595"/>
    <w:rsid w:val="00E93BFA"/>
    <w:rsid w:val="00E93F73"/>
    <w:rsid w:val="00E94F64"/>
    <w:rsid w:val="00E96B2E"/>
    <w:rsid w:val="00EA3960"/>
    <w:rsid w:val="00EA4C67"/>
    <w:rsid w:val="00EA4F9F"/>
    <w:rsid w:val="00EB6114"/>
    <w:rsid w:val="00EB7C47"/>
    <w:rsid w:val="00EC3E02"/>
    <w:rsid w:val="00EC4A85"/>
    <w:rsid w:val="00EC544E"/>
    <w:rsid w:val="00EC5679"/>
    <w:rsid w:val="00EC5B17"/>
    <w:rsid w:val="00EC5E3C"/>
    <w:rsid w:val="00EC5E7B"/>
    <w:rsid w:val="00ED15C0"/>
    <w:rsid w:val="00ED1F11"/>
    <w:rsid w:val="00ED20C4"/>
    <w:rsid w:val="00ED2C48"/>
    <w:rsid w:val="00ED5C9E"/>
    <w:rsid w:val="00ED6756"/>
    <w:rsid w:val="00ED765D"/>
    <w:rsid w:val="00EE04FB"/>
    <w:rsid w:val="00EE1BFB"/>
    <w:rsid w:val="00EE6686"/>
    <w:rsid w:val="00EE6AC4"/>
    <w:rsid w:val="00EE7E3D"/>
    <w:rsid w:val="00EF0B67"/>
    <w:rsid w:val="00EF2501"/>
    <w:rsid w:val="00EF25E2"/>
    <w:rsid w:val="00EF3071"/>
    <w:rsid w:val="00EF40C5"/>
    <w:rsid w:val="00EF4635"/>
    <w:rsid w:val="00EF4E27"/>
    <w:rsid w:val="00EF50B4"/>
    <w:rsid w:val="00F004FD"/>
    <w:rsid w:val="00F01837"/>
    <w:rsid w:val="00F02406"/>
    <w:rsid w:val="00F03425"/>
    <w:rsid w:val="00F0390E"/>
    <w:rsid w:val="00F12239"/>
    <w:rsid w:val="00F1265D"/>
    <w:rsid w:val="00F12846"/>
    <w:rsid w:val="00F16300"/>
    <w:rsid w:val="00F16571"/>
    <w:rsid w:val="00F1780F"/>
    <w:rsid w:val="00F2129B"/>
    <w:rsid w:val="00F21A5B"/>
    <w:rsid w:val="00F27212"/>
    <w:rsid w:val="00F30889"/>
    <w:rsid w:val="00F337CD"/>
    <w:rsid w:val="00F33FEF"/>
    <w:rsid w:val="00F3405E"/>
    <w:rsid w:val="00F41D8D"/>
    <w:rsid w:val="00F4362E"/>
    <w:rsid w:val="00F45383"/>
    <w:rsid w:val="00F46317"/>
    <w:rsid w:val="00F474B4"/>
    <w:rsid w:val="00F54204"/>
    <w:rsid w:val="00F57135"/>
    <w:rsid w:val="00F6384B"/>
    <w:rsid w:val="00F63A86"/>
    <w:rsid w:val="00F73645"/>
    <w:rsid w:val="00F7432B"/>
    <w:rsid w:val="00F802B5"/>
    <w:rsid w:val="00F82C7C"/>
    <w:rsid w:val="00F84B06"/>
    <w:rsid w:val="00F8652C"/>
    <w:rsid w:val="00F9057A"/>
    <w:rsid w:val="00F9526E"/>
    <w:rsid w:val="00F974CA"/>
    <w:rsid w:val="00FA0888"/>
    <w:rsid w:val="00FA1976"/>
    <w:rsid w:val="00FA5C4D"/>
    <w:rsid w:val="00FA6D04"/>
    <w:rsid w:val="00FB10F6"/>
    <w:rsid w:val="00FB366B"/>
    <w:rsid w:val="00FB64BF"/>
    <w:rsid w:val="00FC3E4E"/>
    <w:rsid w:val="00FC72A2"/>
    <w:rsid w:val="00FD6A4B"/>
    <w:rsid w:val="00FE18E7"/>
    <w:rsid w:val="00FE22C8"/>
    <w:rsid w:val="00FE6E97"/>
    <w:rsid w:val="00FE7E3B"/>
    <w:rsid w:val="00FF29B9"/>
    <w:rsid w:val="00FF2D5F"/>
    <w:rsid w:val="00FF6167"/>
    <w:rsid w:val="00FF7BF9"/>
    <w:rsid w:val="00FF7FC5"/>
    <w:rsid w:val="02D50035"/>
    <w:rsid w:val="02E65428"/>
    <w:rsid w:val="03B35BED"/>
    <w:rsid w:val="044F4C80"/>
    <w:rsid w:val="04A66C18"/>
    <w:rsid w:val="058B658F"/>
    <w:rsid w:val="07C97BDF"/>
    <w:rsid w:val="08336B58"/>
    <w:rsid w:val="08F25310"/>
    <w:rsid w:val="09276BC9"/>
    <w:rsid w:val="09414CB0"/>
    <w:rsid w:val="09C2213E"/>
    <w:rsid w:val="0A3644BC"/>
    <w:rsid w:val="0A817028"/>
    <w:rsid w:val="0AEF3EC8"/>
    <w:rsid w:val="0C73070D"/>
    <w:rsid w:val="0C8349BB"/>
    <w:rsid w:val="0DDD73DD"/>
    <w:rsid w:val="0F5C405B"/>
    <w:rsid w:val="1030714A"/>
    <w:rsid w:val="104F69EF"/>
    <w:rsid w:val="10A01F6C"/>
    <w:rsid w:val="13FA1BBE"/>
    <w:rsid w:val="168C2FAD"/>
    <w:rsid w:val="1930105F"/>
    <w:rsid w:val="198B6417"/>
    <w:rsid w:val="198D0872"/>
    <w:rsid w:val="19D167E6"/>
    <w:rsid w:val="1A911784"/>
    <w:rsid w:val="1B1A2B40"/>
    <w:rsid w:val="1BA47A89"/>
    <w:rsid w:val="1E414971"/>
    <w:rsid w:val="1E554886"/>
    <w:rsid w:val="1EFE1B38"/>
    <w:rsid w:val="1F1B3528"/>
    <w:rsid w:val="1F681011"/>
    <w:rsid w:val="20270EE8"/>
    <w:rsid w:val="20387D47"/>
    <w:rsid w:val="203B6178"/>
    <w:rsid w:val="20551ED6"/>
    <w:rsid w:val="20861E84"/>
    <w:rsid w:val="20C07B93"/>
    <w:rsid w:val="20C55507"/>
    <w:rsid w:val="21D124CB"/>
    <w:rsid w:val="23A14774"/>
    <w:rsid w:val="24EE1346"/>
    <w:rsid w:val="255654F9"/>
    <w:rsid w:val="258B2D66"/>
    <w:rsid w:val="259A319C"/>
    <w:rsid w:val="25FF2769"/>
    <w:rsid w:val="26052CD3"/>
    <w:rsid w:val="26AE1D18"/>
    <w:rsid w:val="27345644"/>
    <w:rsid w:val="273916BF"/>
    <w:rsid w:val="278018E5"/>
    <w:rsid w:val="2878288E"/>
    <w:rsid w:val="2878443E"/>
    <w:rsid w:val="28EA3B72"/>
    <w:rsid w:val="296A6D38"/>
    <w:rsid w:val="29F22238"/>
    <w:rsid w:val="2C584A2B"/>
    <w:rsid w:val="2C7B2D43"/>
    <w:rsid w:val="2CF8300A"/>
    <w:rsid w:val="2DEF25EE"/>
    <w:rsid w:val="2F9B95BB"/>
    <w:rsid w:val="301841DA"/>
    <w:rsid w:val="303B555C"/>
    <w:rsid w:val="303F1AB8"/>
    <w:rsid w:val="31205BCA"/>
    <w:rsid w:val="33FB69E8"/>
    <w:rsid w:val="347C0E65"/>
    <w:rsid w:val="35C86561"/>
    <w:rsid w:val="367A40D1"/>
    <w:rsid w:val="3722475E"/>
    <w:rsid w:val="37A0471F"/>
    <w:rsid w:val="37FD0E46"/>
    <w:rsid w:val="38AC3247"/>
    <w:rsid w:val="38C41238"/>
    <w:rsid w:val="38E52E5A"/>
    <w:rsid w:val="38E707BD"/>
    <w:rsid w:val="391D1C6C"/>
    <w:rsid w:val="397F4575"/>
    <w:rsid w:val="39E35942"/>
    <w:rsid w:val="39E52785"/>
    <w:rsid w:val="3A0C7A8F"/>
    <w:rsid w:val="3C0B40FF"/>
    <w:rsid w:val="3D8904AE"/>
    <w:rsid w:val="3DD70142"/>
    <w:rsid w:val="3DF54300"/>
    <w:rsid w:val="3EFF5DBB"/>
    <w:rsid w:val="3F157667"/>
    <w:rsid w:val="3FF86C70"/>
    <w:rsid w:val="401C2A84"/>
    <w:rsid w:val="40BA3F73"/>
    <w:rsid w:val="41525C12"/>
    <w:rsid w:val="41D80ED0"/>
    <w:rsid w:val="41EB6520"/>
    <w:rsid w:val="42682532"/>
    <w:rsid w:val="43AC3541"/>
    <w:rsid w:val="442C273E"/>
    <w:rsid w:val="442F1401"/>
    <w:rsid w:val="44627F66"/>
    <w:rsid w:val="45070E31"/>
    <w:rsid w:val="45AC2392"/>
    <w:rsid w:val="4601405A"/>
    <w:rsid w:val="468630BC"/>
    <w:rsid w:val="47422422"/>
    <w:rsid w:val="47BA3CAF"/>
    <w:rsid w:val="47ED0F73"/>
    <w:rsid w:val="493833E3"/>
    <w:rsid w:val="49E477AD"/>
    <w:rsid w:val="4A000FBA"/>
    <w:rsid w:val="4A430275"/>
    <w:rsid w:val="4AC4510F"/>
    <w:rsid w:val="4B1758DC"/>
    <w:rsid w:val="4B7A50C2"/>
    <w:rsid w:val="4BDD2AB5"/>
    <w:rsid w:val="4C310B94"/>
    <w:rsid w:val="4C37670C"/>
    <w:rsid w:val="4C93751F"/>
    <w:rsid w:val="4CBB3B3F"/>
    <w:rsid w:val="4CE55ABF"/>
    <w:rsid w:val="4D8279EA"/>
    <w:rsid w:val="4D885473"/>
    <w:rsid w:val="4DE85275"/>
    <w:rsid w:val="4E2644E3"/>
    <w:rsid w:val="4EA80F53"/>
    <w:rsid w:val="4EF32981"/>
    <w:rsid w:val="4EF668EE"/>
    <w:rsid w:val="4F1D6A6F"/>
    <w:rsid w:val="4F3335FD"/>
    <w:rsid w:val="4F6279C0"/>
    <w:rsid w:val="50A4597B"/>
    <w:rsid w:val="516E6385"/>
    <w:rsid w:val="51984DDC"/>
    <w:rsid w:val="521A02AA"/>
    <w:rsid w:val="527075F5"/>
    <w:rsid w:val="53CD77B5"/>
    <w:rsid w:val="541A2A18"/>
    <w:rsid w:val="545429FC"/>
    <w:rsid w:val="561F7274"/>
    <w:rsid w:val="57264DE8"/>
    <w:rsid w:val="58E235F4"/>
    <w:rsid w:val="597B0BB8"/>
    <w:rsid w:val="5B045716"/>
    <w:rsid w:val="5B0E479A"/>
    <w:rsid w:val="5B6B77B3"/>
    <w:rsid w:val="5D1A27D4"/>
    <w:rsid w:val="5E165694"/>
    <w:rsid w:val="5E2B1AD5"/>
    <w:rsid w:val="5E86671B"/>
    <w:rsid w:val="5E8A2B33"/>
    <w:rsid w:val="5E980D74"/>
    <w:rsid w:val="5EAF2271"/>
    <w:rsid w:val="5EB73D7F"/>
    <w:rsid w:val="5FEFFD4F"/>
    <w:rsid w:val="60521E44"/>
    <w:rsid w:val="605D2015"/>
    <w:rsid w:val="606521B8"/>
    <w:rsid w:val="6275EE4D"/>
    <w:rsid w:val="62776FC7"/>
    <w:rsid w:val="629F7022"/>
    <w:rsid w:val="62FF2EB7"/>
    <w:rsid w:val="64807CC1"/>
    <w:rsid w:val="64A12055"/>
    <w:rsid w:val="64A95EE1"/>
    <w:rsid w:val="65FF6B92"/>
    <w:rsid w:val="666A3301"/>
    <w:rsid w:val="66815EF6"/>
    <w:rsid w:val="66DC48C8"/>
    <w:rsid w:val="67A32110"/>
    <w:rsid w:val="67E44030"/>
    <w:rsid w:val="695B1C51"/>
    <w:rsid w:val="69B11387"/>
    <w:rsid w:val="6A3E211E"/>
    <w:rsid w:val="6B896A6B"/>
    <w:rsid w:val="6BA30ECB"/>
    <w:rsid w:val="6BB2399A"/>
    <w:rsid w:val="6BEC5CDD"/>
    <w:rsid w:val="6C9B1229"/>
    <w:rsid w:val="6CBB14DB"/>
    <w:rsid w:val="6D4535F9"/>
    <w:rsid w:val="6EB515CE"/>
    <w:rsid w:val="70150F04"/>
    <w:rsid w:val="710460C8"/>
    <w:rsid w:val="714E04B9"/>
    <w:rsid w:val="71A85E27"/>
    <w:rsid w:val="72FB3AF8"/>
    <w:rsid w:val="732B5E27"/>
    <w:rsid w:val="74B2748E"/>
    <w:rsid w:val="755E4584"/>
    <w:rsid w:val="762479EF"/>
    <w:rsid w:val="767A77CD"/>
    <w:rsid w:val="76C359E7"/>
    <w:rsid w:val="78114E4A"/>
    <w:rsid w:val="785D3AB1"/>
    <w:rsid w:val="79360E97"/>
    <w:rsid w:val="793974A1"/>
    <w:rsid w:val="79AD665C"/>
    <w:rsid w:val="7AD105ED"/>
    <w:rsid w:val="7B035E79"/>
    <w:rsid w:val="7BB32047"/>
    <w:rsid w:val="7BD75934"/>
    <w:rsid w:val="7C3D2E4D"/>
    <w:rsid w:val="7C88454D"/>
    <w:rsid w:val="7DBA57AB"/>
    <w:rsid w:val="7E6968C7"/>
    <w:rsid w:val="7F4D382D"/>
    <w:rsid w:val="7F7A461C"/>
    <w:rsid w:val="7FE442EA"/>
    <w:rsid w:val="7FEFAEE8"/>
    <w:rsid w:val="7FFB3D86"/>
    <w:rsid w:val="CB9FE8B9"/>
    <w:rsid w:val="ECBF6559"/>
    <w:rsid w:val="FBF6736B"/>
    <w:rsid w:val="FF7EB13F"/>
    <w:rsid w:val="FFBDEAA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ocked="1"/>
    <w:lsdException w:uiPriority="99" w:name="footnote text" w:locked="1"/>
    <w:lsdException w:qFormat="1" w:uiPriority="99" w:semiHidden="0"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name="Table Web 2" w:locked="1"/>
    <w:lsdException w:unhideWhenUsed="0" w:uiPriority="99" w:name="Table Web 3" w:locked="1"/>
    <w:lsdException w:qFormat="1" w:unhideWhenUsed="0" w:uiPriority="99" w:semiHidden="0" w:name="Balloon Text"/>
    <w:lsdException w:qFormat="1" w:unhideWhenUsed="0" w:uiPriority="99" w:semiHidden="0" w:name="Table Grid"/>
    <w:lsdException w:unhideWhenUsed="0"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7"/>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99"/>
    <w:pPr>
      <w:keepNext/>
      <w:keepLines/>
      <w:spacing w:before="260" w:after="260" w:line="416" w:lineRule="auto"/>
      <w:outlineLvl w:val="2"/>
    </w:pPr>
    <w:rPr>
      <w:b/>
      <w:bCs/>
      <w:sz w:val="32"/>
      <w:szCs w:val="32"/>
    </w:rPr>
  </w:style>
  <w:style w:type="character" w:default="1" w:styleId="22">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5">
    <w:name w:val="toc 7"/>
    <w:basedOn w:val="1"/>
    <w:next w:val="1"/>
    <w:semiHidden/>
    <w:qFormat/>
    <w:uiPriority w:val="99"/>
    <w:pPr>
      <w:ind w:left="1260"/>
      <w:jc w:val="left"/>
    </w:pPr>
    <w:rPr>
      <w:sz w:val="18"/>
      <w:szCs w:val="18"/>
    </w:rPr>
  </w:style>
  <w:style w:type="paragraph" w:styleId="6">
    <w:name w:val="Document Map"/>
    <w:basedOn w:val="1"/>
    <w:link w:val="29"/>
    <w:semiHidden/>
    <w:qFormat/>
    <w:uiPriority w:val="99"/>
    <w:pPr>
      <w:shd w:val="clear" w:color="auto" w:fill="000080"/>
    </w:pPr>
  </w:style>
  <w:style w:type="paragraph" w:styleId="7">
    <w:name w:val="annotation text"/>
    <w:basedOn w:val="1"/>
    <w:unhideWhenUsed/>
    <w:qFormat/>
    <w:locked/>
    <w:uiPriority w:val="99"/>
    <w:pPr>
      <w:jc w:val="left"/>
    </w:pPr>
  </w:style>
  <w:style w:type="paragraph" w:styleId="8">
    <w:name w:val="toc 5"/>
    <w:basedOn w:val="1"/>
    <w:next w:val="1"/>
    <w:semiHidden/>
    <w:qFormat/>
    <w:uiPriority w:val="99"/>
    <w:pPr>
      <w:ind w:left="840"/>
      <w:jc w:val="left"/>
    </w:pPr>
    <w:rPr>
      <w:sz w:val="18"/>
      <w:szCs w:val="18"/>
    </w:rPr>
  </w:style>
  <w:style w:type="paragraph" w:styleId="9">
    <w:name w:val="toc 3"/>
    <w:basedOn w:val="1"/>
    <w:next w:val="1"/>
    <w:semiHidden/>
    <w:qFormat/>
    <w:uiPriority w:val="99"/>
    <w:pPr>
      <w:ind w:left="420"/>
      <w:jc w:val="left"/>
    </w:pPr>
    <w:rPr>
      <w:i/>
      <w:iCs/>
      <w:sz w:val="20"/>
    </w:rPr>
  </w:style>
  <w:style w:type="paragraph" w:styleId="10">
    <w:name w:val="toc 8"/>
    <w:basedOn w:val="1"/>
    <w:next w:val="1"/>
    <w:semiHidden/>
    <w:qFormat/>
    <w:uiPriority w:val="99"/>
    <w:pPr>
      <w:ind w:left="1470"/>
      <w:jc w:val="left"/>
    </w:pPr>
    <w:rPr>
      <w:sz w:val="18"/>
      <w:szCs w:val="18"/>
    </w:rPr>
  </w:style>
  <w:style w:type="paragraph" w:styleId="11">
    <w:name w:val="Balloon Text"/>
    <w:basedOn w:val="1"/>
    <w:link w:val="30"/>
    <w:qFormat/>
    <w:uiPriority w:val="99"/>
    <w:rPr>
      <w:sz w:val="18"/>
      <w:szCs w:val="18"/>
    </w:rPr>
  </w:style>
  <w:style w:type="paragraph" w:styleId="12">
    <w:name w:val="footer"/>
    <w:basedOn w:val="1"/>
    <w:link w:val="31"/>
    <w:qFormat/>
    <w:uiPriority w:val="99"/>
    <w:pPr>
      <w:tabs>
        <w:tab w:val="center" w:pos="4153"/>
        <w:tab w:val="right" w:pos="8306"/>
      </w:tabs>
      <w:snapToGrid w:val="0"/>
      <w:jc w:val="left"/>
    </w:pPr>
    <w:rPr>
      <w:sz w:val="18"/>
    </w:rPr>
  </w:style>
  <w:style w:type="paragraph" w:styleId="13">
    <w:name w:val="header"/>
    <w:basedOn w:val="1"/>
    <w:link w:val="3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2"/>
    <w:next w:val="3"/>
    <w:semiHidden/>
    <w:qFormat/>
    <w:uiPriority w:val="99"/>
    <w:pPr>
      <w:keepNext w:val="0"/>
      <w:keepLines w:val="0"/>
      <w:spacing w:before="120" w:after="120" w:line="240" w:lineRule="auto"/>
      <w:jc w:val="left"/>
      <w:outlineLvl w:val="9"/>
    </w:pPr>
    <w:rPr>
      <w:caps/>
      <w:kern w:val="2"/>
      <w:sz w:val="20"/>
      <w:szCs w:val="20"/>
    </w:rPr>
  </w:style>
  <w:style w:type="paragraph" w:styleId="15">
    <w:name w:val="toc 4"/>
    <w:basedOn w:val="1"/>
    <w:next w:val="1"/>
    <w:semiHidden/>
    <w:qFormat/>
    <w:uiPriority w:val="99"/>
    <w:pPr>
      <w:ind w:left="630"/>
      <w:jc w:val="left"/>
    </w:pPr>
    <w:rPr>
      <w:sz w:val="18"/>
      <w:szCs w:val="18"/>
    </w:rPr>
  </w:style>
  <w:style w:type="paragraph" w:styleId="16">
    <w:name w:val="toc 6"/>
    <w:basedOn w:val="1"/>
    <w:next w:val="1"/>
    <w:semiHidden/>
    <w:qFormat/>
    <w:uiPriority w:val="99"/>
    <w:pPr>
      <w:ind w:left="1050"/>
      <w:jc w:val="left"/>
    </w:pPr>
    <w:rPr>
      <w:sz w:val="18"/>
      <w:szCs w:val="18"/>
    </w:rPr>
  </w:style>
  <w:style w:type="paragraph" w:styleId="17">
    <w:name w:val="toc 2"/>
    <w:basedOn w:val="1"/>
    <w:next w:val="1"/>
    <w:semiHidden/>
    <w:qFormat/>
    <w:uiPriority w:val="99"/>
    <w:pPr>
      <w:ind w:left="210"/>
      <w:jc w:val="left"/>
    </w:pPr>
    <w:rPr>
      <w:smallCaps/>
      <w:sz w:val="20"/>
    </w:rPr>
  </w:style>
  <w:style w:type="paragraph" w:styleId="18">
    <w:name w:val="toc 9"/>
    <w:basedOn w:val="1"/>
    <w:next w:val="1"/>
    <w:semiHidden/>
    <w:qFormat/>
    <w:uiPriority w:val="99"/>
    <w:pPr>
      <w:ind w:left="1680"/>
      <w:jc w:val="left"/>
    </w:pPr>
    <w:rPr>
      <w:sz w:val="18"/>
      <w:szCs w:val="18"/>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21">
    <w:name w:val="Table Grid"/>
    <w:basedOn w:val="2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99"/>
    <w:rPr>
      <w:rFonts w:cs="Times New Roman"/>
      <w:b/>
      <w:bCs/>
    </w:rPr>
  </w:style>
  <w:style w:type="character" w:styleId="24">
    <w:name w:val="page number"/>
    <w:qFormat/>
    <w:uiPriority w:val="99"/>
    <w:rPr>
      <w:rFonts w:cs="Times New Roman"/>
    </w:rPr>
  </w:style>
  <w:style w:type="character" w:styleId="25">
    <w:name w:val="Hyperlink"/>
    <w:qFormat/>
    <w:uiPriority w:val="99"/>
    <w:rPr>
      <w:rFonts w:cs="Times New Roman"/>
      <w:color w:val="0000FF"/>
      <w:u w:val="single"/>
    </w:rPr>
  </w:style>
  <w:style w:type="character" w:customStyle="1" w:styleId="26">
    <w:name w:val="标题 1 字符"/>
    <w:link w:val="2"/>
    <w:qFormat/>
    <w:locked/>
    <w:uiPriority w:val="99"/>
    <w:rPr>
      <w:rFonts w:cs="Times New Roman"/>
      <w:b/>
      <w:bCs/>
      <w:kern w:val="44"/>
      <w:sz w:val="44"/>
      <w:szCs w:val="44"/>
    </w:rPr>
  </w:style>
  <w:style w:type="character" w:customStyle="1" w:styleId="27">
    <w:name w:val="标题 2 字符"/>
    <w:link w:val="3"/>
    <w:semiHidden/>
    <w:qFormat/>
    <w:locked/>
    <w:uiPriority w:val="99"/>
    <w:rPr>
      <w:rFonts w:ascii="Cambria" w:hAnsi="Cambria" w:eastAsia="宋体" w:cs="Times New Roman"/>
      <w:b/>
      <w:bCs/>
      <w:sz w:val="32"/>
      <w:szCs w:val="32"/>
    </w:rPr>
  </w:style>
  <w:style w:type="character" w:customStyle="1" w:styleId="28">
    <w:name w:val="标题 3 字符"/>
    <w:link w:val="4"/>
    <w:semiHidden/>
    <w:qFormat/>
    <w:locked/>
    <w:uiPriority w:val="99"/>
    <w:rPr>
      <w:rFonts w:cs="Times New Roman"/>
      <w:b/>
      <w:bCs/>
      <w:sz w:val="32"/>
      <w:szCs w:val="32"/>
    </w:rPr>
  </w:style>
  <w:style w:type="character" w:customStyle="1" w:styleId="29">
    <w:name w:val="文档结构图 字符"/>
    <w:link w:val="6"/>
    <w:semiHidden/>
    <w:qFormat/>
    <w:locked/>
    <w:uiPriority w:val="99"/>
    <w:rPr>
      <w:rFonts w:cs="Times New Roman"/>
      <w:sz w:val="2"/>
    </w:rPr>
  </w:style>
  <w:style w:type="character" w:customStyle="1" w:styleId="30">
    <w:name w:val="批注框文本 字符"/>
    <w:link w:val="11"/>
    <w:qFormat/>
    <w:locked/>
    <w:uiPriority w:val="99"/>
    <w:rPr>
      <w:rFonts w:cs="Times New Roman"/>
      <w:kern w:val="2"/>
      <w:sz w:val="18"/>
      <w:szCs w:val="18"/>
    </w:rPr>
  </w:style>
  <w:style w:type="character" w:customStyle="1" w:styleId="31">
    <w:name w:val="页脚 字符"/>
    <w:link w:val="12"/>
    <w:semiHidden/>
    <w:qFormat/>
    <w:locked/>
    <w:uiPriority w:val="99"/>
    <w:rPr>
      <w:rFonts w:cs="Times New Roman"/>
      <w:sz w:val="18"/>
      <w:szCs w:val="18"/>
    </w:rPr>
  </w:style>
  <w:style w:type="character" w:customStyle="1" w:styleId="32">
    <w:name w:val="页眉 字符"/>
    <w:link w:val="13"/>
    <w:semiHidden/>
    <w:qFormat/>
    <w:locked/>
    <w:uiPriority w:val="99"/>
    <w:rPr>
      <w:rFonts w:cs="Times New Roman"/>
      <w:sz w:val="18"/>
      <w:szCs w:val="18"/>
    </w:rPr>
  </w:style>
  <w:style w:type="table" w:customStyle="1" w:styleId="33">
    <w:name w:val="Grid Table 4 Accent 6"/>
    <w:basedOn w:val="20"/>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4">
    <w:name w:val="网格表 4 - 着色 61"/>
    <w:basedOn w:val="20"/>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3.xml"/><Relationship Id="rId89" Type="http://schemas.openxmlformats.org/officeDocument/2006/relationships/image" Target="media/image66.jpeg"/><Relationship Id="rId88" Type="http://schemas.openxmlformats.org/officeDocument/2006/relationships/image" Target="media/image65.jpeg"/><Relationship Id="rId87" Type="http://schemas.openxmlformats.org/officeDocument/2006/relationships/image" Target="media/image64.jpeg"/><Relationship Id="rId86" Type="http://schemas.openxmlformats.org/officeDocument/2006/relationships/image" Target="media/image63.jpeg"/><Relationship Id="rId85" Type="http://schemas.openxmlformats.org/officeDocument/2006/relationships/image" Target="media/image62.jpeg"/><Relationship Id="rId84" Type="http://schemas.openxmlformats.org/officeDocument/2006/relationships/image" Target="media/image61.jpe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jpeg"/><Relationship Id="rId80" Type="http://schemas.openxmlformats.org/officeDocument/2006/relationships/image" Target="media/image57.jpeg"/><Relationship Id="rId8" Type="http://schemas.openxmlformats.org/officeDocument/2006/relationships/footer" Target="footer2.xml"/><Relationship Id="rId79" Type="http://schemas.openxmlformats.org/officeDocument/2006/relationships/image" Target="media/image56.jpeg"/><Relationship Id="rId78" Type="http://schemas.openxmlformats.org/officeDocument/2006/relationships/image" Target="media/image55.jpeg"/><Relationship Id="rId77" Type="http://schemas.openxmlformats.org/officeDocument/2006/relationships/image" Target="media/image54.jpeg"/><Relationship Id="rId76" Type="http://schemas.openxmlformats.org/officeDocument/2006/relationships/image" Target="media/image53.jpeg"/><Relationship Id="rId75" Type="http://schemas.openxmlformats.org/officeDocument/2006/relationships/image" Target="media/image52.jpeg"/><Relationship Id="rId74" Type="http://schemas.openxmlformats.org/officeDocument/2006/relationships/image" Target="media/image51.jpe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4.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oleObject" Target="embeddings/oleObject15.bin"/><Relationship Id="rId63" Type="http://schemas.openxmlformats.org/officeDocument/2006/relationships/image" Target="media/image41.emf"/><Relationship Id="rId62" Type="http://schemas.openxmlformats.org/officeDocument/2006/relationships/oleObject" Target="embeddings/oleObject14.bin"/><Relationship Id="rId61" Type="http://schemas.openxmlformats.org/officeDocument/2006/relationships/image" Target="media/image40.png"/><Relationship Id="rId60" Type="http://schemas.openxmlformats.org/officeDocument/2006/relationships/image" Target="media/image39.png"/><Relationship Id="rId6" Type="http://schemas.openxmlformats.org/officeDocument/2006/relationships/footer" Target="footer1.xml"/><Relationship Id="rId59" Type="http://schemas.openxmlformats.org/officeDocument/2006/relationships/image" Target="media/image38.png"/><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3.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emf"/><Relationship Id="rId37" Type="http://schemas.openxmlformats.org/officeDocument/2006/relationships/oleObject" Target="embeddings/oleObject13.bin"/><Relationship Id="rId36" Type="http://schemas.openxmlformats.org/officeDocument/2006/relationships/image" Target="media/image16.emf"/><Relationship Id="rId35" Type="http://schemas.openxmlformats.org/officeDocument/2006/relationships/oleObject" Target="embeddings/oleObject12.bin"/><Relationship Id="rId34" Type="http://schemas.openxmlformats.org/officeDocument/2006/relationships/image" Target="media/image15.emf"/><Relationship Id="rId33" Type="http://schemas.openxmlformats.org/officeDocument/2006/relationships/oleObject" Target="embeddings/oleObject11.bin"/><Relationship Id="rId32" Type="http://schemas.openxmlformats.org/officeDocument/2006/relationships/image" Target="media/image14.emf"/><Relationship Id="rId31" Type="http://schemas.openxmlformats.org/officeDocument/2006/relationships/oleObject" Target="embeddings/oleObject10.bin"/><Relationship Id="rId30" Type="http://schemas.openxmlformats.org/officeDocument/2006/relationships/image" Target="media/image13.e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image" Target="media/image12.emf"/><Relationship Id="rId27" Type="http://schemas.openxmlformats.org/officeDocument/2006/relationships/oleObject" Target="embeddings/oleObject8.bin"/><Relationship Id="rId26" Type="http://schemas.openxmlformats.org/officeDocument/2006/relationships/image" Target="media/image11.png"/><Relationship Id="rId25" Type="http://schemas.openxmlformats.org/officeDocument/2006/relationships/oleObject" Target="embeddings/oleObject7.bin"/><Relationship Id="rId24" Type="http://schemas.openxmlformats.org/officeDocument/2006/relationships/image" Target="media/image10.emf"/><Relationship Id="rId23" Type="http://schemas.openxmlformats.org/officeDocument/2006/relationships/oleObject" Target="embeddings/oleObject6.bin"/><Relationship Id="rId22" Type="http://schemas.openxmlformats.org/officeDocument/2006/relationships/image" Target="media/image9.emf"/><Relationship Id="rId21" Type="http://schemas.openxmlformats.org/officeDocument/2006/relationships/oleObject" Target="embeddings/oleObject5.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emf"/><Relationship Id="rId15" Type="http://schemas.openxmlformats.org/officeDocument/2006/relationships/oleObject" Target="embeddings/oleObject2.bin"/><Relationship Id="rId14" Type="http://schemas.openxmlformats.org/officeDocument/2006/relationships/image" Target="media/image5.emf"/><Relationship Id="rId13" Type="http://schemas.openxmlformats.org/officeDocument/2006/relationships/oleObject" Target="embeddings/oleObject1.bin"/><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www.cr173.com</Company>
  <Pages>50</Pages>
  <Words>4039</Words>
  <Characters>23023</Characters>
  <Lines>191</Lines>
  <Paragraphs>54</Paragraphs>
  <TotalTime>11</TotalTime>
  <ScaleCrop>false</ScaleCrop>
  <LinksUpToDate>false</LinksUpToDate>
  <CharactersWithSpaces>27008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2018-12-06T23:09:00Z</dcterms:created>
  <dc:creator>cy-002</dc:creator>
  <cp:lastModifiedBy>陶丽华</cp:lastModifiedBy>
  <cp:lastPrinted>2021-01-25T07:11:00Z</cp:lastPrinted>
  <dcterms:modified xsi:type="dcterms:W3CDTF">2021-01-25T07:21:50Z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