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12.xml" ContentType="application/vnd.openxmlformats-officedocument.drawingml.chartshapes+xml"/>
  <Override PartName="/word/drawings/drawing13.xml" ContentType="application/vnd.openxmlformats-officedocument.drawingml.chartshapes+xml"/>
  <Override PartName="/word/drawings/drawing14.xml" ContentType="application/vnd.openxmlformats-officedocument.drawingml.chartshapes+xml"/>
  <Override PartName="/word/drawings/drawing15.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ind w:firstLine="420"/>
        <w:rPr>
          <w:rFonts w:ascii="宋体" w:hAnsi="宋体"/>
          <w:color w:val="000000"/>
          <w:sz w:val="24"/>
          <w:u w:val="single"/>
        </w:rPr>
      </w:pPr>
      <w: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-828675</wp:posOffset>
                </wp:positionV>
                <wp:extent cx="3467100" cy="131445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467100" cy="1314450"/>
                        </a:xfrm>
                        <a:prstGeom prst="rect">
                          <a:avLst/>
                        </a:prstGeom>
                        <a:noFill/>
                        <a:ln w="6350">
                          <a:noFill/>
                        </a:ln>
                      </wps:spPr>
                      <wps:txbx>
                        <w:txbxContent>
                          <w:p>
                            <w:pPr>
                              <w:spacing w:line="240" w:lineRule="auto"/>
                              <w:ind w:firstLine="0" w:firstLineChars="0"/>
                            </w:pPr>
                            <w:r>
                              <w:rPr>
                                <w:rFonts w:eastAsia="方正粗黑宋简体" w:cs="Times New Roman"/>
                                <w:b/>
                                <w:kern w:val="24"/>
                                <w:sz w:val="56"/>
                                <w:szCs w:val="56"/>
                              </w:rPr>
                              <w:drawing>
                                <wp:inline distT="0" distB="0" distL="0" distR="0">
                                  <wp:extent cx="2463800" cy="9810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468071" cy="98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pt;margin-top:-65.25pt;height:103.5pt;width:273pt;z-index:251666432;mso-width-relative:page;mso-height-relative:page;" filled="f" stroked="f" coordsize="21600,21600" o:gfxdata="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dI2wzdAAAADAEAAA8AAAAAAAAAAQAgAAAAIgAA&#10;AGRycy9kb3ducmV2LnhtbFBLAQIUABQAAAAIAIdO4kCn2jPfPAIAAGsEAAAOAAAAAAAAAAEAIAAA&#10;ACwBAABkcnMvZTJvRG9jLnhtbFBLBQYAAAAABgAGAFkBAADaBQAAAAA=&#10;">
                <v:fill on="f" focussize="0,0"/>
                <v:stroke on="f" weight="0.5pt"/>
                <v:imagedata o:title=""/>
                <o:lock v:ext="edit" aspectratio="f"/>
                <v:textbox>
                  <w:txbxContent>
                    <w:p>
                      <w:pPr>
                        <w:spacing w:line="240" w:lineRule="auto"/>
                        <w:ind w:firstLine="0" w:firstLineChars="0"/>
                      </w:pPr>
                      <w:r>
                        <w:rPr>
                          <w:rFonts w:eastAsia="方正粗黑宋简体" w:cs="Times New Roman"/>
                          <w:b/>
                          <w:kern w:val="24"/>
                          <w:sz w:val="56"/>
                          <w:szCs w:val="56"/>
                        </w:rPr>
                        <w:drawing>
                          <wp:inline distT="0" distB="0" distL="0" distR="0">
                            <wp:extent cx="2463800" cy="9810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468071" cy="982550"/>
                                    </a:xfrm>
                                    <a:prstGeom prst="rect">
                                      <a:avLst/>
                                    </a:prstGeom>
                                    <a:noFill/>
                                    <a:ln>
                                      <a:noFill/>
                                    </a:ln>
                                  </pic:spPr>
                                </pic:pic>
                              </a:graphicData>
                            </a:graphic>
                          </wp:inline>
                        </w:drawing>
                      </w:r>
                    </w:p>
                  </w:txbxContent>
                </v:textbox>
              </v:shape>
            </w:pict>
          </mc:Fallback>
        </mc:AlternateContent>
      </w:r>
      <w:r>
        <w:drawing>
          <wp:anchor distT="0" distB="0" distL="114300" distR="114300" simplePos="0" relativeHeight="251662336" behindDoc="0" locked="0" layoutInCell="1" allowOverlap="1">
            <wp:simplePos x="0" y="0"/>
            <wp:positionH relativeFrom="page">
              <wp:align>left</wp:align>
            </wp:positionH>
            <wp:positionV relativeFrom="paragraph">
              <wp:posOffset>-914400</wp:posOffset>
            </wp:positionV>
            <wp:extent cx="7587615" cy="3876675"/>
            <wp:effectExtent l="0" t="0" r="0"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587615" cy="3876675"/>
                    </a:xfrm>
                    <a:prstGeom prst="rect">
                      <a:avLst/>
                    </a:prstGeom>
                  </pic:spPr>
                </pic:pic>
              </a:graphicData>
            </a:graphic>
          </wp:anchor>
        </w:drawing>
      </w:r>
    </w:p>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7456" behindDoc="0" locked="0" layoutInCell="1" allowOverlap="1">
                <wp:simplePos x="0" y="0"/>
                <wp:positionH relativeFrom="column">
                  <wp:posOffset>-247650</wp:posOffset>
                </wp:positionH>
                <wp:positionV relativeFrom="paragraph">
                  <wp:posOffset>2200275</wp:posOffset>
                </wp:positionV>
                <wp:extent cx="5200650" cy="5591175"/>
                <wp:effectExtent l="19050" t="19050" r="38100" b="47625"/>
                <wp:wrapNone/>
                <wp:docPr id="114" name="文本框 114"/>
                <wp:cNvGraphicFramePr/>
                <a:graphic xmlns:a="http://schemas.openxmlformats.org/drawingml/2006/main">
                  <a:graphicData uri="http://schemas.microsoft.com/office/word/2010/wordprocessingShape">
                    <wps:wsp>
                      <wps:cNvSpPr txBox="1"/>
                      <wps:spPr>
                        <a:xfrm>
                          <a:off x="0" y="0"/>
                          <a:ext cx="5200650" cy="5591175"/>
                        </a:xfrm>
                        <a:prstGeom prst="rect">
                          <a:avLst/>
                        </a:prstGeom>
                        <a:noFill/>
                        <a:ln w="57150">
                          <a:solidFill>
                            <a:srgbClr val="014F99"/>
                          </a:solidFill>
                        </a:ln>
                      </wps:spPr>
                      <wps:txbx>
                        <w:txbxContent>
                          <w:p>
                            <w:pPr>
                              <w:ind w:left="567" w:leftChars="270" w:right="1080" w:firstLine="0" w:firstLineChars="0"/>
                              <w:jc w:val="right"/>
                              <w:rPr>
                                <w:rFonts w:eastAsia="隶书" w:cs="Times New Roman"/>
                                <w:color w:val="002060"/>
                                <w:sz w:val="72"/>
                                <w:szCs w:val="144"/>
                              </w:rPr>
                            </w:pPr>
                            <w:r>
                              <w:rPr>
                                <w:rFonts w:eastAsia="隶书" w:cs="Times New Roman"/>
                                <w:color w:val="002060"/>
                                <w:sz w:val="72"/>
                                <w:szCs w:val="144"/>
                              </w:rPr>
                              <w:t xml:space="preserve">2021          </w:t>
                            </w:r>
                            <w:r>
                              <w:rPr>
                                <w:rFonts w:eastAsia="隶书" w:cs="Times New Roman"/>
                                <w:color w:val="002060"/>
                                <w:sz w:val="13"/>
                                <w:szCs w:val="13"/>
                              </w:rPr>
                              <w:t xml:space="preserve">  </w:t>
                            </w:r>
                            <w:r>
                              <w:rPr>
                                <w:rFonts w:eastAsia="隶书" w:cs="Times New Roman"/>
                                <w:color w:val="002060"/>
                                <w:sz w:val="72"/>
                                <w:szCs w:val="144"/>
                              </w:rPr>
                              <w:t xml:space="preserve">   </w:t>
                            </w:r>
                          </w:p>
                          <w:p>
                            <w:pPr>
                              <w:ind w:left="850" w:leftChars="405" w:firstLine="0" w:firstLineChars="0"/>
                              <w:jc w:val="left"/>
                              <w:rPr>
                                <w:rFonts w:ascii="黑体" w:hAnsi="黑体" w:eastAsia="黑体"/>
                                <w:b/>
                                <w:bCs/>
                                <w:color w:val="002060"/>
                                <w:sz w:val="96"/>
                                <w:szCs w:val="160"/>
                              </w:rPr>
                            </w:pPr>
                            <w:r>
                              <w:rPr>
                                <w:rFonts w:hint="eastAsia" w:ascii="黑体" w:hAnsi="黑体" w:eastAsia="黑体"/>
                                <w:b/>
                                <w:bCs/>
                                <w:color w:val="002060"/>
                                <w:sz w:val="96"/>
                                <w:szCs w:val="160"/>
                              </w:rPr>
                              <w:t>天津天狮学院</w:t>
                            </w:r>
                          </w:p>
                          <w:p>
                            <w:pPr>
                              <w:ind w:left="850" w:leftChars="405" w:firstLine="0" w:firstLineChars="0"/>
                              <w:jc w:val="left"/>
                              <w:rPr>
                                <w:rFonts w:ascii="黑体" w:hAnsi="黑体" w:eastAsia="黑体"/>
                                <w:color w:val="002060"/>
                                <w:sz w:val="96"/>
                                <w:szCs w:val="160"/>
                              </w:rPr>
                            </w:pPr>
                            <w:r>
                              <w:rPr>
                                <w:rFonts w:hint="eastAsia" w:ascii="黑体" w:hAnsi="黑体" w:eastAsia="黑体"/>
                                <w:color w:val="002060"/>
                                <w:sz w:val="96"/>
                                <w:szCs w:val="160"/>
                              </w:rPr>
                              <w:t>就业质量报告</w:t>
                            </w:r>
                          </w:p>
                          <w:p>
                            <w:pPr>
                              <w:spacing w:line="600" w:lineRule="auto"/>
                              <w:ind w:left="850" w:leftChars="405" w:firstLine="0" w:firstLineChars="0"/>
                              <w:rPr>
                                <w:rFonts w:eastAsia="黑体" w:cs="Times New Roman"/>
                                <w:color w:val="002060"/>
                                <w:sz w:val="96"/>
                                <w:szCs w:val="160"/>
                              </w:rPr>
                            </w:pPr>
                            <w:r>
                              <w:rPr>
                                <w:rFonts w:eastAsia="黑体" w:cs="Times New Roman"/>
                                <w:color w:val="002060"/>
                                <w:spacing w:val="67"/>
                                <w:kern w:val="0"/>
                                <w:sz w:val="96"/>
                                <w:szCs w:val="160"/>
                                <w:fitText w:val="5850" w:id="-1674796030"/>
                              </w:rPr>
                              <w:t>REPORT O</w:t>
                            </w:r>
                            <w:r>
                              <w:rPr>
                                <w:rFonts w:eastAsia="黑体" w:cs="Times New Roman"/>
                                <w:color w:val="002060"/>
                                <w:spacing w:val="7"/>
                                <w:kern w:val="0"/>
                                <w:sz w:val="96"/>
                                <w:szCs w:val="160"/>
                                <w:fitText w:val="5850" w:id="-1674796030"/>
                              </w:rPr>
                              <w:t>N</w:t>
                            </w:r>
                          </w:p>
                          <w:p>
                            <w:pPr>
                              <w:spacing w:line="600" w:lineRule="auto"/>
                              <w:ind w:left="850" w:leftChars="405" w:firstLine="0" w:firstLineChars="0"/>
                              <w:jc w:val="left"/>
                              <w:rPr>
                                <w:rFonts w:eastAsia="黑体" w:cs="Times New Roman"/>
                                <w:b/>
                                <w:bCs/>
                                <w:color w:val="002060"/>
                                <w:spacing w:val="3"/>
                                <w:w w:val="95"/>
                                <w:kern w:val="0"/>
                                <w:sz w:val="72"/>
                                <w:szCs w:val="144"/>
                              </w:rPr>
                            </w:pPr>
                            <w:r>
                              <w:rPr>
                                <w:rFonts w:eastAsia="黑体" w:cs="Times New Roman"/>
                                <w:b/>
                                <w:bCs/>
                                <w:color w:val="002060"/>
                                <w:spacing w:val="51"/>
                                <w:kern w:val="0"/>
                                <w:sz w:val="72"/>
                                <w:szCs w:val="144"/>
                                <w:fitText w:val="5784" w:id="-1674796027"/>
                              </w:rPr>
                              <w:t>EMPLOYMEN</w:t>
                            </w:r>
                            <w:r>
                              <w:rPr>
                                <w:rFonts w:eastAsia="黑体" w:cs="Times New Roman"/>
                                <w:b/>
                                <w:bCs/>
                                <w:color w:val="002060"/>
                                <w:spacing w:val="5"/>
                                <w:kern w:val="0"/>
                                <w:sz w:val="72"/>
                                <w:szCs w:val="144"/>
                                <w:fitText w:val="5784" w:id="-1674796027"/>
                              </w:rPr>
                              <w:t>T</w:t>
                            </w:r>
                          </w:p>
                          <w:p>
                            <w:pPr>
                              <w:spacing w:line="600" w:lineRule="auto"/>
                              <w:ind w:left="850" w:leftChars="405" w:firstLine="0" w:firstLineChars="0"/>
                              <w:jc w:val="left"/>
                              <w:rPr>
                                <w:rFonts w:eastAsia="黑体" w:cs="Times New Roman"/>
                                <w:color w:val="002060"/>
                                <w:spacing w:val="5"/>
                                <w:w w:val="91"/>
                                <w:kern w:val="0"/>
                                <w:sz w:val="56"/>
                                <w:szCs w:val="96"/>
                              </w:rPr>
                            </w:pPr>
                            <w:r>
                              <w:rPr>
                                <w:rFonts w:eastAsia="黑体" w:cs="Times New Roman"/>
                                <w:color w:val="002060"/>
                                <w:spacing w:val="0"/>
                                <w:w w:val="47"/>
                                <w:kern w:val="0"/>
                                <w:sz w:val="56"/>
                                <w:szCs w:val="96"/>
                                <w:fitText w:val="132" w:id="-1674796026"/>
                              </w:rPr>
                              <w:t xml:space="preserve"> </w:t>
                            </w:r>
                            <w:r>
                              <w:rPr>
                                <w:rFonts w:eastAsia="黑体" w:cs="Times New Roman"/>
                                <w:b/>
                                <w:bCs/>
                                <w:color w:val="002060"/>
                                <w:spacing w:val="1"/>
                                <w:w w:val="87"/>
                                <w:kern w:val="0"/>
                                <w:sz w:val="144"/>
                                <w:szCs w:val="180"/>
                                <w:fitText w:val="5900" w:id="-1674795774"/>
                              </w:rPr>
                              <w:t>QUALIT</w:t>
                            </w:r>
                            <w:r>
                              <w:rPr>
                                <w:rFonts w:eastAsia="黑体" w:cs="Times New Roman"/>
                                <w:b/>
                                <w:bCs/>
                                <w:color w:val="002060"/>
                                <w:spacing w:val="47"/>
                                <w:w w:val="87"/>
                                <w:kern w:val="0"/>
                                <w:sz w:val="144"/>
                                <w:szCs w:val="180"/>
                                <w:fitText w:val="5900" w:id="-1674795774"/>
                              </w:rPr>
                              <w:t>Y</w:t>
                            </w:r>
                          </w:p>
                          <w:p>
                            <w:pPr>
                              <w:spacing w:line="600" w:lineRule="auto"/>
                              <w:ind w:left="850" w:leftChars="405" w:firstLine="0" w:firstLineChars="0"/>
                              <w:jc w:val="left"/>
                              <w:rPr>
                                <w:rFonts w:eastAsia="黑体" w:cs="Times New Roman"/>
                                <w:color w:val="002060"/>
                                <w:sz w:val="52"/>
                                <w:szCs w:val="72"/>
                              </w:rPr>
                            </w:pPr>
                            <w:r>
                              <w:rPr>
                                <w:rFonts w:eastAsia="黑体" w:cs="Times New Roman"/>
                                <w:color w:val="002060"/>
                                <w:sz w:val="52"/>
                                <w:szCs w:val="72"/>
                              </w:rPr>
                              <w:t>OF</w:t>
                            </w:r>
                            <w:r>
                              <w:rPr>
                                <w:rFonts w:eastAsia="黑体" w:cs="Times New Roman"/>
                                <w:color w:val="002060"/>
                                <w:sz w:val="96"/>
                                <w:szCs w:val="160"/>
                              </w:rPr>
                              <w:t xml:space="preserve"> </w:t>
                            </w:r>
                            <w:r>
                              <w:rPr>
                                <w:rFonts w:eastAsia="黑体" w:cs="Times New Roman"/>
                                <w:b/>
                                <w:bCs/>
                                <w:color w:val="002060"/>
                                <w:sz w:val="52"/>
                                <w:szCs w:val="72"/>
                              </w:rPr>
                              <w:t>TIANSHI COLLEGE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73.25pt;height:440.25pt;width:409.5pt;z-index:251667456;mso-width-relative:page;mso-height-relative:page;" filled="f" stroked="t" coordsize="21600,21600" o:gfxdata="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6oY02wAAAAwB&#10;AAAPAAAAAAAAAAEAIAAAACIAAABkcnMvZG93bnJldi54bWxQSwECFAAUAAAACACHTuJApDEoXFEC&#10;AACVBAAADgAAAAAAAAABACAAAAAqAQAAZHJzL2Uyb0RvYy54bWxQSwUGAAAAAAYABgBZAQAA7QUA&#10;AAAA&#10;">
                <v:fill on="f" focussize="0,0"/>
                <v:stroke weight="4.5pt" color="#014F99" joinstyle="round"/>
                <v:imagedata o:title=""/>
                <o:lock v:ext="edit" aspectratio="f"/>
                <v:textbox>
                  <w:txbxContent>
                    <w:p>
                      <w:pPr>
                        <w:ind w:left="567" w:leftChars="270" w:right="1080" w:firstLine="0" w:firstLineChars="0"/>
                        <w:jc w:val="right"/>
                        <w:rPr>
                          <w:rFonts w:eastAsia="隶书" w:cs="Times New Roman"/>
                          <w:color w:val="002060"/>
                          <w:sz w:val="72"/>
                          <w:szCs w:val="144"/>
                        </w:rPr>
                      </w:pPr>
                      <w:r>
                        <w:rPr>
                          <w:rFonts w:eastAsia="隶书" w:cs="Times New Roman"/>
                          <w:color w:val="002060"/>
                          <w:sz w:val="72"/>
                          <w:szCs w:val="144"/>
                        </w:rPr>
                        <w:t xml:space="preserve">2021          </w:t>
                      </w:r>
                      <w:r>
                        <w:rPr>
                          <w:rFonts w:eastAsia="隶书" w:cs="Times New Roman"/>
                          <w:color w:val="002060"/>
                          <w:sz w:val="13"/>
                          <w:szCs w:val="13"/>
                        </w:rPr>
                        <w:t xml:space="preserve">  </w:t>
                      </w:r>
                      <w:r>
                        <w:rPr>
                          <w:rFonts w:eastAsia="隶书" w:cs="Times New Roman"/>
                          <w:color w:val="002060"/>
                          <w:sz w:val="72"/>
                          <w:szCs w:val="144"/>
                        </w:rPr>
                        <w:t xml:space="preserve">   </w:t>
                      </w:r>
                    </w:p>
                    <w:p>
                      <w:pPr>
                        <w:ind w:left="850" w:leftChars="405" w:firstLine="0" w:firstLineChars="0"/>
                        <w:jc w:val="left"/>
                        <w:rPr>
                          <w:rFonts w:ascii="黑体" w:hAnsi="黑体" w:eastAsia="黑体"/>
                          <w:b/>
                          <w:bCs/>
                          <w:color w:val="002060"/>
                          <w:sz w:val="96"/>
                          <w:szCs w:val="160"/>
                        </w:rPr>
                      </w:pPr>
                      <w:r>
                        <w:rPr>
                          <w:rFonts w:hint="eastAsia" w:ascii="黑体" w:hAnsi="黑体" w:eastAsia="黑体"/>
                          <w:b/>
                          <w:bCs/>
                          <w:color w:val="002060"/>
                          <w:sz w:val="96"/>
                          <w:szCs w:val="160"/>
                        </w:rPr>
                        <w:t>天津天狮学院</w:t>
                      </w:r>
                    </w:p>
                    <w:p>
                      <w:pPr>
                        <w:ind w:left="850" w:leftChars="405" w:firstLine="0" w:firstLineChars="0"/>
                        <w:jc w:val="left"/>
                        <w:rPr>
                          <w:rFonts w:ascii="黑体" w:hAnsi="黑体" w:eastAsia="黑体"/>
                          <w:color w:val="002060"/>
                          <w:sz w:val="96"/>
                          <w:szCs w:val="160"/>
                        </w:rPr>
                      </w:pPr>
                      <w:r>
                        <w:rPr>
                          <w:rFonts w:hint="eastAsia" w:ascii="黑体" w:hAnsi="黑体" w:eastAsia="黑体"/>
                          <w:color w:val="002060"/>
                          <w:sz w:val="96"/>
                          <w:szCs w:val="160"/>
                        </w:rPr>
                        <w:t>就业质量报告</w:t>
                      </w:r>
                    </w:p>
                    <w:p>
                      <w:pPr>
                        <w:spacing w:line="600" w:lineRule="auto"/>
                        <w:ind w:left="850" w:leftChars="405" w:firstLine="0" w:firstLineChars="0"/>
                        <w:rPr>
                          <w:rFonts w:eastAsia="黑体" w:cs="Times New Roman"/>
                          <w:color w:val="002060"/>
                          <w:sz w:val="96"/>
                          <w:szCs w:val="160"/>
                        </w:rPr>
                      </w:pPr>
                      <w:r>
                        <w:rPr>
                          <w:rFonts w:eastAsia="黑体" w:cs="Times New Roman"/>
                          <w:color w:val="002060"/>
                          <w:spacing w:val="67"/>
                          <w:kern w:val="0"/>
                          <w:sz w:val="96"/>
                          <w:szCs w:val="160"/>
                          <w:fitText w:val="5850" w:id="-1674796030"/>
                        </w:rPr>
                        <w:t>REPORT O</w:t>
                      </w:r>
                      <w:r>
                        <w:rPr>
                          <w:rFonts w:eastAsia="黑体" w:cs="Times New Roman"/>
                          <w:color w:val="002060"/>
                          <w:spacing w:val="7"/>
                          <w:kern w:val="0"/>
                          <w:sz w:val="96"/>
                          <w:szCs w:val="160"/>
                          <w:fitText w:val="5850" w:id="-1674796030"/>
                        </w:rPr>
                        <w:t>N</w:t>
                      </w:r>
                    </w:p>
                    <w:p>
                      <w:pPr>
                        <w:spacing w:line="600" w:lineRule="auto"/>
                        <w:ind w:left="850" w:leftChars="405" w:firstLine="0" w:firstLineChars="0"/>
                        <w:jc w:val="left"/>
                        <w:rPr>
                          <w:rFonts w:eastAsia="黑体" w:cs="Times New Roman"/>
                          <w:b/>
                          <w:bCs/>
                          <w:color w:val="002060"/>
                          <w:spacing w:val="3"/>
                          <w:w w:val="95"/>
                          <w:kern w:val="0"/>
                          <w:sz w:val="72"/>
                          <w:szCs w:val="144"/>
                        </w:rPr>
                      </w:pPr>
                      <w:r>
                        <w:rPr>
                          <w:rFonts w:eastAsia="黑体" w:cs="Times New Roman"/>
                          <w:b/>
                          <w:bCs/>
                          <w:color w:val="002060"/>
                          <w:spacing w:val="51"/>
                          <w:kern w:val="0"/>
                          <w:sz w:val="72"/>
                          <w:szCs w:val="144"/>
                          <w:fitText w:val="5784" w:id="-1674796027"/>
                        </w:rPr>
                        <w:t>EMPLOYMEN</w:t>
                      </w:r>
                      <w:r>
                        <w:rPr>
                          <w:rFonts w:eastAsia="黑体" w:cs="Times New Roman"/>
                          <w:b/>
                          <w:bCs/>
                          <w:color w:val="002060"/>
                          <w:spacing w:val="5"/>
                          <w:kern w:val="0"/>
                          <w:sz w:val="72"/>
                          <w:szCs w:val="144"/>
                          <w:fitText w:val="5784" w:id="-1674796027"/>
                        </w:rPr>
                        <w:t>T</w:t>
                      </w:r>
                    </w:p>
                    <w:p>
                      <w:pPr>
                        <w:spacing w:line="600" w:lineRule="auto"/>
                        <w:ind w:left="850" w:leftChars="405" w:firstLine="0" w:firstLineChars="0"/>
                        <w:jc w:val="left"/>
                        <w:rPr>
                          <w:rFonts w:eastAsia="黑体" w:cs="Times New Roman"/>
                          <w:color w:val="002060"/>
                          <w:spacing w:val="5"/>
                          <w:w w:val="91"/>
                          <w:kern w:val="0"/>
                          <w:sz w:val="56"/>
                          <w:szCs w:val="96"/>
                        </w:rPr>
                      </w:pPr>
                      <w:r>
                        <w:rPr>
                          <w:rFonts w:eastAsia="黑体" w:cs="Times New Roman"/>
                          <w:color w:val="002060"/>
                          <w:spacing w:val="0"/>
                          <w:w w:val="47"/>
                          <w:kern w:val="0"/>
                          <w:sz w:val="56"/>
                          <w:szCs w:val="96"/>
                          <w:fitText w:val="132" w:id="-1674796026"/>
                        </w:rPr>
                        <w:t xml:space="preserve"> </w:t>
                      </w:r>
                      <w:r>
                        <w:rPr>
                          <w:rFonts w:eastAsia="黑体" w:cs="Times New Roman"/>
                          <w:b/>
                          <w:bCs/>
                          <w:color w:val="002060"/>
                          <w:spacing w:val="1"/>
                          <w:w w:val="87"/>
                          <w:kern w:val="0"/>
                          <w:sz w:val="144"/>
                          <w:szCs w:val="180"/>
                          <w:fitText w:val="5900" w:id="-1674795774"/>
                        </w:rPr>
                        <w:t>QUALIT</w:t>
                      </w:r>
                      <w:r>
                        <w:rPr>
                          <w:rFonts w:eastAsia="黑体" w:cs="Times New Roman"/>
                          <w:b/>
                          <w:bCs/>
                          <w:color w:val="002060"/>
                          <w:spacing w:val="47"/>
                          <w:w w:val="87"/>
                          <w:kern w:val="0"/>
                          <w:sz w:val="144"/>
                          <w:szCs w:val="180"/>
                          <w:fitText w:val="5900" w:id="-1674795774"/>
                        </w:rPr>
                        <w:t>Y</w:t>
                      </w:r>
                    </w:p>
                    <w:p>
                      <w:pPr>
                        <w:spacing w:line="600" w:lineRule="auto"/>
                        <w:ind w:left="850" w:leftChars="405" w:firstLine="0" w:firstLineChars="0"/>
                        <w:jc w:val="left"/>
                        <w:rPr>
                          <w:rFonts w:eastAsia="黑体" w:cs="Times New Roman"/>
                          <w:color w:val="002060"/>
                          <w:sz w:val="52"/>
                          <w:szCs w:val="72"/>
                        </w:rPr>
                      </w:pPr>
                      <w:r>
                        <w:rPr>
                          <w:rFonts w:eastAsia="黑体" w:cs="Times New Roman"/>
                          <w:color w:val="002060"/>
                          <w:sz w:val="52"/>
                          <w:szCs w:val="72"/>
                        </w:rPr>
                        <w:t>OF</w:t>
                      </w:r>
                      <w:r>
                        <w:rPr>
                          <w:rFonts w:eastAsia="黑体" w:cs="Times New Roman"/>
                          <w:color w:val="002060"/>
                          <w:sz w:val="96"/>
                          <w:szCs w:val="160"/>
                        </w:rPr>
                        <w:t xml:space="preserve"> </w:t>
                      </w:r>
                      <w:r>
                        <w:rPr>
                          <w:rFonts w:eastAsia="黑体" w:cs="Times New Roman"/>
                          <w:b/>
                          <w:bCs/>
                          <w:color w:val="002060"/>
                          <w:sz w:val="52"/>
                          <w:szCs w:val="72"/>
                        </w:rPr>
                        <w:t>TIANSHI COLLEGE</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1811655</wp:posOffset>
                </wp:positionH>
                <wp:positionV relativeFrom="paragraph">
                  <wp:posOffset>8717915</wp:posOffset>
                </wp:positionV>
                <wp:extent cx="1654175" cy="328295"/>
                <wp:effectExtent l="0" t="0" r="0" b="0"/>
                <wp:wrapNone/>
                <wp:docPr id="48" name="文本框 47"/>
                <wp:cNvGraphicFramePr/>
                <a:graphic xmlns:a="http://schemas.openxmlformats.org/drawingml/2006/main">
                  <a:graphicData uri="http://schemas.microsoft.com/office/word/2010/wordprocessingShape">
                    <wps:wsp>
                      <wps:cNvSpPr txBox="1"/>
                      <wps:spPr>
                        <a:xfrm>
                          <a:off x="0" y="0"/>
                          <a:ext cx="1654175" cy="328295"/>
                        </a:xfrm>
                        <a:prstGeom prst="rect">
                          <a:avLst/>
                        </a:prstGeom>
                      </wps:spPr>
                      <wps:txbx>
                        <w:txbxContent>
                          <w:p>
                            <w:pPr>
                              <w:pStyle w:val="21"/>
                              <w:spacing w:line="288" w:lineRule="auto"/>
                              <w:rPr>
                                <w:bCs/>
                                <w:color w:val="002060"/>
                              </w:rPr>
                            </w:pPr>
                            <w:r>
                              <w:rPr>
                                <w:rFonts w:hint="eastAsia" w:ascii="微软雅黑 Light" w:eastAsia="微软雅黑" w:hAnsiTheme="minorEastAsia"/>
                                <w:bCs/>
                                <w:color w:val="002060"/>
                                <w:kern w:val="24"/>
                                <w:sz w:val="28"/>
                                <w:szCs w:val="28"/>
                              </w:rPr>
                              <w:t>二〇二一年十二月</w:t>
                            </w:r>
                          </w:p>
                        </w:txbxContent>
                      </wps:txbx>
                      <wps:bodyPr wrap="square">
                        <a:spAutoFit/>
                      </wps:bodyPr>
                    </wps:wsp>
                  </a:graphicData>
                </a:graphic>
              </wp:anchor>
            </w:drawing>
          </mc:Choice>
          <mc:Fallback>
            <w:pict>
              <v:shape id="文本框 47" o:spid="_x0000_s1026" o:spt="202" type="#_x0000_t202" style="position:absolute;left:0pt;margin-left:142.65pt;margin-top:686.45pt;height:25.85pt;width:130.25pt;z-index:251665408;mso-width-relative:page;mso-height-relative:page;" filled="f" stroked="f" coordsize="21600,21600" o:gfxdata="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oNO2gAAAA0BAAAPAAAAAAAAAAEAIAAAACIAAABkcnMvZG93bnJldi54bWxQSwECFAAUAAAACACH&#10;TuJA1kjBYbABAABJAwAADgAAAAAAAAABACAAAAApAQAAZHJzL2Uyb0RvYy54bWxQSwUGAAAAAAYA&#10;BgBZAQAASwUAAAAA&#10;">
                <v:fill on="f" focussize="0,0"/>
                <v:stroke on="f"/>
                <v:imagedata o:title=""/>
                <o:lock v:ext="edit" aspectratio="f"/>
                <v:textbox style="mso-fit-shape-to-text:t;">
                  <w:txbxContent>
                    <w:p>
                      <w:pPr>
                        <w:pStyle w:val="21"/>
                        <w:spacing w:line="288" w:lineRule="auto"/>
                        <w:rPr>
                          <w:bCs/>
                          <w:color w:val="002060"/>
                        </w:rPr>
                      </w:pPr>
                      <w:r>
                        <w:rPr>
                          <w:rFonts w:hint="eastAsia" w:ascii="微软雅黑 Light" w:eastAsia="微软雅黑" w:hAnsiTheme="minorEastAsia"/>
                          <w:bCs/>
                          <w:color w:val="002060"/>
                          <w:kern w:val="24"/>
                          <w:sz w:val="28"/>
                          <w:szCs w:val="28"/>
                        </w:rPr>
                        <w:t>二〇二一年十二月</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1638300</wp:posOffset>
                </wp:positionV>
                <wp:extent cx="1085850" cy="828675"/>
                <wp:effectExtent l="0" t="0" r="0" b="9525"/>
                <wp:wrapNone/>
                <wp:docPr id="25" name="矩形 9"/>
                <wp:cNvGraphicFramePr/>
                <a:graphic xmlns:a="http://schemas.openxmlformats.org/drawingml/2006/main">
                  <a:graphicData uri="http://schemas.microsoft.com/office/word/2010/wordprocessingShape">
                    <wps:wsp>
                      <wps:cNvSpPr/>
                      <wps:spPr>
                        <a:xfrm>
                          <a:off x="0" y="0"/>
                          <a:ext cx="1085850" cy="828675"/>
                        </a:xfrm>
                        <a:prstGeom prst="rect">
                          <a:avLst/>
                        </a:prstGeom>
                        <a:solidFill>
                          <a:srgbClr val="014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center"/>
                            </w:pPr>
                          </w:p>
                        </w:txbxContent>
                      </wps:txbx>
                      <wps:bodyPr wrap="square" rtlCol="0" anchor="ctr">
                        <a:noAutofit/>
                      </wps:bodyPr>
                    </wps:wsp>
                  </a:graphicData>
                </a:graphic>
              </wp:anchor>
            </w:drawing>
          </mc:Choice>
          <mc:Fallback>
            <w:pict>
              <v:rect id="矩形 9" o:spid="_x0000_s1026" o:spt="1" style="position:absolute;left:0pt;margin-left:18pt;margin-top:129pt;height:65.25pt;width:85.5pt;z-index:251664384;v-text-anchor:middle;mso-width-relative:page;mso-height-relative:page;" fillcolor="#014F99" filled="t" stroked="f" coordsize="21600,21600" o:gfxdata="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wmTnnWAAAACgEAAA8AAAAAAAAAAQAgAAAAIgAAAGRycy9kb3ducmV2LnhtbFBL&#10;AQIUABQAAAAIAIdO4kDg2tEd+AEAAOMDAAAOAAAAAAAAAAEAIAAAACUBAABkcnMvZTJvRG9jLnht&#10;bFBLBQYAAAAABgAGAFkBAACPBQAAAAA=&#10;">
                <v:fill on="t" focussize="0,0"/>
                <v:stroke on="f" weight="1.25pt"/>
                <v:imagedata o:title=""/>
                <o:lock v:ext="edit" aspectratio="f"/>
                <v:textbox>
                  <w:txbxContent>
                    <w:p>
                      <w:pPr>
                        <w:ind w:firstLine="420"/>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-438150</wp:posOffset>
                </wp:positionH>
                <wp:positionV relativeFrom="paragraph">
                  <wp:posOffset>2028825</wp:posOffset>
                </wp:positionV>
                <wp:extent cx="5556885" cy="5937885"/>
                <wp:effectExtent l="704850" t="552450" r="729615" b="882015"/>
                <wp:wrapNone/>
                <wp:docPr id="26" name="矩形 8"/>
                <wp:cNvGraphicFramePr/>
                <a:graphic xmlns:a="http://schemas.openxmlformats.org/drawingml/2006/main">
                  <a:graphicData uri="http://schemas.microsoft.com/office/word/2010/wordprocessingShape">
                    <wps:wsp>
                      <wps:cNvSpPr/>
                      <wps:spPr>
                        <a:xfrm>
                          <a:off x="0" y="0"/>
                          <a:ext cx="5556885" cy="5937885"/>
                        </a:xfrm>
                        <a:prstGeom prst="rect">
                          <a:avLst/>
                        </a:prstGeom>
                        <a:solidFill>
                          <a:srgbClr val="FDFDFD"/>
                        </a:solidFill>
                        <a:ln>
                          <a:noFill/>
                        </a:ln>
                        <a:effectLst>
                          <a:outerShdw blurRad="965200" dist="38100" dir="5400000" sx="104000" sy="104000" algn="t" rotWithShape="0">
                            <a:prstClr val="black">
                              <a:alpha val="16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right"/>
                            </w:pPr>
                          </w:p>
                        </w:txbxContent>
                      </wps:txbx>
                      <wps:bodyPr wrap="square" rtlCol="0" anchor="ctr">
                        <a:noAutofit/>
                      </wps:bodyPr>
                    </wps:wsp>
                  </a:graphicData>
                </a:graphic>
              </wp:anchor>
            </w:drawing>
          </mc:Choice>
          <mc:Fallback>
            <w:pict>
              <v:rect id="矩形 8" o:spid="_x0000_s1026" o:spt="1" style="position:absolute;left:0pt;margin-left:-34.5pt;margin-top:159.75pt;height:467.55pt;width:437.55pt;z-index:251663360;v-text-anchor:middle;mso-width-relative:page;mso-height-relative:page;" fillcolor="#FDFDFD" filled="t" stroked="f" coordsize="21600,21600" o:gfxdata="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nT&#10;+67cAAAADAEAAA8AAAAAAAAAAQAgAAAAIgAAAGRycy9kb3ducmV2LnhtbFBLAQIUABQAAAAIAIdO&#10;4kCvrPFzWAIAALEEAAAOAAAAAAAAAAEAIAAAACsBAABkcnMvZTJvRG9jLnhtbFBLBQYAAAAABgAG&#10;AFkBAAD1BQAAAAA=&#10;">
                <v:fill on="t" focussize="0,0"/>
                <v:stroke on="f" weight="1.25pt"/>
                <v:imagedata o:title=""/>
                <o:lock v:ext="edit" aspectratio="f"/>
                <v:shadow on="t" type="perspective" color="#000000" opacity="10485f" offset="0pt,3pt" origin="0f,-32768f" matrix="68157f,0f,0f,68157f"/>
                <v:textbox>
                  <w:txbxContent>
                    <w:p>
                      <w:pPr>
                        <w:ind w:firstLine="420"/>
                        <w:jc w:val="right"/>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-1133475</wp:posOffset>
                </wp:positionH>
                <wp:positionV relativeFrom="paragraph">
                  <wp:posOffset>2714625</wp:posOffset>
                </wp:positionV>
                <wp:extent cx="7524750" cy="7048500"/>
                <wp:effectExtent l="0" t="0" r="0" b="0"/>
                <wp:wrapNone/>
                <wp:docPr id="4" name="矩形 3"/>
                <wp:cNvGraphicFramePr/>
                <a:graphic xmlns:a="http://schemas.openxmlformats.org/drawingml/2006/main">
                  <a:graphicData uri="http://schemas.microsoft.com/office/word/2010/wordprocessingShape">
                    <wps:wsp>
                      <wps:cNvSpPr/>
                      <wps:spPr>
                        <a:xfrm>
                          <a:off x="0" y="0"/>
                          <a:ext cx="7524750" cy="70485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center"/>
                            </w:pPr>
                          </w:p>
                        </w:txbxContent>
                      </wps:txbx>
                      <wps:bodyPr wrap="square" rtlCol="0" anchor="ctr">
                        <a:noAutofit/>
                      </wps:bodyPr>
                    </wps:wsp>
                  </a:graphicData>
                </a:graphic>
              </wp:anchor>
            </w:drawing>
          </mc:Choice>
          <mc:Fallback>
            <w:pict>
              <v:rect id="矩形 3" o:spid="_x0000_s1026" o:spt="1" style="position:absolute;left:0pt;margin-left:-89.25pt;margin-top:213.75pt;height:555pt;width:592.5pt;z-index:251660288;v-text-anchor:middle;mso-width-relative:page;mso-height-relative:page;" fillcolor="#FFFFFF" filled="t" stroked="f" coordsize="21600,21600" o:gfxdata="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sWm72AAAAA4BAAAPAAAAAAAAAAEAIAAAACIAAABkcnMvZG93bnJldi54bWxQ&#10;SwECFAAUAAAACACHTuJAZRQF3vcBAADjAwAADgAAAAAAAAABACAAAAAnAQAAZHJzL2Uyb0RvYy54&#10;bWxQSwUGAAAAAAYABgBZAQAAkAUAAAAA&#10;">
                <v:fill on="t" focussize="0,0"/>
                <v:stroke on="f" weight="1.25pt"/>
                <v:imagedata o:title=""/>
                <o:lock v:ext="edit" aspectratio="f"/>
                <v:textbox>
                  <w:txbxContent>
                    <w:p>
                      <w:pPr>
                        <w:ind w:firstLine="420"/>
                        <w:jc w:val="cente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4438650</wp:posOffset>
                </wp:positionV>
                <wp:extent cx="2619375" cy="5324475"/>
                <wp:effectExtent l="0" t="0" r="9525" b="9525"/>
                <wp:wrapNone/>
                <wp:docPr id="27" name="矩形 4"/>
                <wp:cNvGraphicFramePr/>
                <a:graphic xmlns:a="http://schemas.openxmlformats.org/drawingml/2006/main">
                  <a:graphicData uri="http://schemas.microsoft.com/office/word/2010/wordprocessingShape">
                    <wps:wsp>
                      <wps:cNvSpPr/>
                      <wps:spPr>
                        <a:xfrm>
                          <a:off x="0" y="0"/>
                          <a:ext cx="2619375" cy="5324475"/>
                        </a:xfrm>
                        <a:prstGeom prst="rect">
                          <a:avLst/>
                        </a:prstGeom>
                        <a:solidFill>
                          <a:srgbClr val="014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center"/>
                            </w:pPr>
                          </w:p>
                        </w:txbxContent>
                      </wps:txbx>
                      <wps:bodyPr wrap="square" rtlCol="0" anchor="ctr">
                        <a:noAutofit/>
                      </wps:bodyPr>
                    </wps:wsp>
                  </a:graphicData>
                </a:graphic>
              </wp:anchor>
            </w:drawing>
          </mc:Choice>
          <mc:Fallback>
            <w:pict>
              <v:rect id="矩形 4" o:spid="_x0000_s1026" o:spt="1" style="position:absolute;left:0pt;margin-left:297pt;margin-top:349.5pt;height:419.25pt;width:206.25pt;z-index:251661312;v-text-anchor:middle;mso-width-relative:page;mso-height-relative:page;" fillcolor="#014F99" filled="t" stroked="f" coordsize="21600,21600" o:gfxdata="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0OP82QAAAA0BAAAPAAAAAAAAAAEAIAAAACIAAABkcnMvZG93bnJldi54&#10;bWxQSwECFAAUAAAACACHTuJAmAxBbvkBAADkAwAADgAAAAAAAAABACAAAAAoAQAAZHJzL2Uyb0Rv&#10;Yy54bWxQSwUGAAAAAAYABgBZAQAAkwUAAAAA&#10;">
                <v:fill on="t" focussize="0,0"/>
                <v:stroke on="f" weight="1.25pt"/>
                <v:imagedata o:title=""/>
                <o:lock v:ext="edit" aspectratio="f"/>
                <v:textbox>
                  <w:txbxContent>
                    <w:p>
                      <w:pPr>
                        <w:ind w:firstLine="420"/>
                        <w:jc w:val="center"/>
                      </w:pP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-1139825</wp:posOffset>
                </wp:positionH>
                <wp:positionV relativeFrom="paragraph">
                  <wp:posOffset>-909320</wp:posOffset>
                </wp:positionV>
                <wp:extent cx="7559675" cy="10691495"/>
                <wp:effectExtent l="0" t="0" r="3175" b="14605"/>
                <wp:wrapNone/>
                <wp:docPr id="28" name="矩形 2"/>
                <wp:cNvGraphicFramePr/>
                <a:graphic xmlns:a="http://schemas.openxmlformats.org/drawingml/2006/main">
                  <a:graphicData uri="http://schemas.microsoft.com/office/word/2010/wordprocessingShape">
                    <wps:wsp>
                      <wps:cNvSpPr/>
                      <wps:spPr>
                        <a:xfrm>
                          <a:off x="0" y="0"/>
                          <a:ext cx="7559675" cy="10691813"/>
                        </a:xfrm>
                        <a:prstGeom prst="rect">
                          <a:avLst/>
                        </a:prstGeom>
                        <a:solidFill>
                          <a:srgbClr val="EEF3F6"/>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center"/>
                            </w:pPr>
                            <w:r>
                              <w:rPr>
                                <w:rFonts w:hint="eastAsia"/>
                              </w:rPr>
                              <w:drawing>
                                <wp:inline distT="0" distB="0" distL="114300" distR="114300">
                                  <wp:extent cx="1986280" cy="478790"/>
                                  <wp:effectExtent l="0" t="0" r="10160" b="8890"/>
                                  <wp:docPr id="109" name="图片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logo"/>
                                          <pic:cNvPicPr>
                                            <a:picLocks noChangeAspect="1"/>
                                          </pic:cNvPicPr>
                                        </pic:nvPicPr>
                                        <pic:blipFill>
                                          <a:blip r:embed="rId20"/>
                                          <a:stretch>
                                            <a:fillRect/>
                                          </a:stretch>
                                        </pic:blipFill>
                                        <pic:spPr>
                                          <a:xfrm>
                                            <a:off x="0" y="0"/>
                                            <a:ext cx="1986280" cy="478790"/>
                                          </a:xfrm>
                                          <a:prstGeom prst="rect">
                                            <a:avLst/>
                                          </a:prstGeom>
                                        </pic:spPr>
                                      </pic:pic>
                                    </a:graphicData>
                                  </a:graphic>
                                </wp:inline>
                              </w:drawing>
                            </w:r>
                          </w:p>
                        </w:txbxContent>
                      </wps:txbx>
                      <wps:bodyPr wrap="square" rtlCol="0" anchor="ctr">
                        <a:noAutofit/>
                      </wps:bodyPr>
                    </wps:wsp>
                  </a:graphicData>
                </a:graphic>
              </wp:anchor>
            </w:drawing>
          </mc:Choice>
          <mc:Fallback>
            <w:pict>
              <v:rect id="矩形 2" o:spid="_x0000_s1026" o:spt="1" style="position:absolute;left:0pt;margin-left:-89.75pt;margin-top:-71.6pt;height:841.85pt;width:595.25pt;z-index:251659264;v-text-anchor:middle;mso-width-relative:page;mso-height-relative:page;" fillcolor="#EEF3F6" filled="t" stroked="f" coordsize="21600,21600" o:gfxdata="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HWPhNsAAAAPAQAADwAAAAAAAAABACAAAAAiAAAAZHJzL2Rvd25yZXYu&#10;eG1sUEsBAhQAFAAAAAgAh07iQDKKmSj4AQAA4QMAAA4AAAAAAAAAAQAgAAAAKgEAAGRycy9lMm9E&#10;b2MueG1sUEsFBgAAAAAGAAYAWQEAAJQFAAAAAA==&#10;">
                <v:fill on="t" focussize="0,0"/>
                <v:stroke on="f" weight="0pt"/>
                <v:imagedata o:title=""/>
                <o:lock v:ext="edit" aspectratio="f"/>
                <v:textbox>
                  <w:txbxContent>
                    <w:p>
                      <w:pPr>
                        <w:ind w:firstLine="420"/>
                        <w:jc w:val="center"/>
                      </w:pPr>
                      <w:r>
                        <w:rPr>
                          <w:rFonts w:hint="eastAsia"/>
                        </w:rPr>
                        <w:drawing>
                          <wp:inline distT="0" distB="0" distL="114300" distR="114300">
                            <wp:extent cx="1986280" cy="478790"/>
                            <wp:effectExtent l="0" t="0" r="10160" b="8890"/>
                            <wp:docPr id="109" name="图片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logo"/>
                                    <pic:cNvPicPr>
                                      <a:picLocks noChangeAspect="1"/>
                                    </pic:cNvPicPr>
                                  </pic:nvPicPr>
                                  <pic:blipFill>
                                    <a:blip r:embed="rId20"/>
                                    <a:stretch>
                                      <a:fillRect/>
                                    </a:stretch>
                                  </pic:blipFill>
                                  <pic:spPr>
                                    <a:xfrm>
                                      <a:off x="0" y="0"/>
                                      <a:ext cx="1986280" cy="478790"/>
                                    </a:xfrm>
                                    <a:prstGeom prst="rect">
                                      <a:avLst/>
                                    </a:prstGeom>
                                  </pic:spPr>
                                </pic:pic>
                              </a:graphicData>
                            </a:graphic>
                          </wp:inline>
                        </w:drawing>
                      </w:r>
                    </w:p>
                  </w:txbxContent>
                </v:textbox>
              </v:rect>
            </w:pict>
          </mc:Fallback>
        </mc:AlternateContent>
      </w:r>
    </w:p>
    <w:p>
      <w:pPr>
        <w:spacing w:line="300" w:lineRule="auto"/>
        <w:ind w:firstLine="480"/>
        <w:rPr>
          <w:rFonts w:ascii="宋体" w:hAnsi="宋体"/>
          <w:color w:val="000000"/>
          <w:sz w:val="24"/>
          <w:u w:val="single"/>
        </w:rPr>
      </w:pPr>
    </w:p>
    <w:sdt>
      <w:sdtPr>
        <w:rPr>
          <w:lang w:val="zh-CN"/>
        </w:rPr>
        <w:id w:val="-1418703377"/>
        <w:docPartObj>
          <w:docPartGallery w:val="Table of Contents"/>
          <w:docPartUnique/>
        </w:docPartObj>
      </w:sdtPr>
      <w:sdtEndPr>
        <w:rPr>
          <w:b/>
          <w:bCs/>
          <w:lang w:val="zh-CN"/>
        </w:rPr>
      </w:sdtEndPr>
      <w:sdtContent>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0" w:name="_Toc90288196"/>
          <w:bookmarkStart w:id="1" w:name="_Toc89695286"/>
          <w:bookmarkStart w:id="134" w:name="_GoBack"/>
          <w:bookmarkEnd w:id="134"/>
          <w:r>
            <w:rPr>
              <w:rFonts w:hint="eastAsia" w:ascii="宋体" w:hAnsi="宋体"/>
              <w:b/>
              <w:bCs/>
              <w:color w:val="FFFFFF" w:themeColor="background1"/>
              <w:sz w:val="32"/>
              <w:szCs w:val="32"/>
              <w14:textFill>
                <w14:solidFill>
                  <w14:schemeClr w14:val="bg1"/>
                </w14:solidFill>
              </w14:textFill>
            </w:rPr>
            <w:t>目录</w:t>
          </w:r>
          <w:bookmarkEnd w:id="0"/>
          <w:bookmarkEnd w:id="1"/>
        </w:p>
        <w:p>
          <w:pPr>
            <w:pStyle w:val="15"/>
            <w:tabs>
              <w:tab w:val="right" w:leader="dot" w:pos="8296"/>
            </w:tabs>
            <w:ind w:firstLine="422"/>
            <w:rPr>
              <w:rFonts w:cs="Times New Roman"/>
              <w:b/>
              <w:bCs/>
              <w:szCs w:val="21"/>
            </w:rPr>
          </w:pPr>
          <w:r>
            <w:rPr>
              <w:rFonts w:cs="Times New Roman"/>
              <w:b/>
              <w:bCs/>
              <w:szCs w:val="21"/>
            </w:rPr>
            <w:fldChar w:fldCharType="begin"/>
          </w:r>
          <w:r>
            <w:rPr>
              <w:rFonts w:cs="Times New Roman"/>
              <w:b/>
              <w:bCs/>
              <w:szCs w:val="21"/>
            </w:rPr>
            <w:instrText xml:space="preserve"> TOC \o "1-3" \h \z \u </w:instrText>
          </w:r>
          <w:r>
            <w:rPr>
              <w:rFonts w:cs="Times New Roman"/>
              <w:b/>
              <w:bCs/>
              <w:szCs w:val="21"/>
            </w:rPr>
            <w:fldChar w:fldCharType="separate"/>
          </w:r>
          <w:r>
            <w:fldChar w:fldCharType="begin"/>
          </w:r>
          <w:r>
            <w:instrText xml:space="preserve"> HYPERLINK \l "_Toc90288196" </w:instrText>
          </w:r>
          <w:r>
            <w:fldChar w:fldCharType="separate"/>
          </w:r>
          <w:r>
            <w:fldChar w:fldCharType="end"/>
          </w:r>
          <w:r>
            <w:fldChar w:fldCharType="begin"/>
          </w:r>
          <w:r>
            <w:instrText xml:space="preserve"> HYPERLINK \l "_Toc90288197" </w:instrText>
          </w:r>
          <w:r>
            <w:fldChar w:fldCharType="separate"/>
          </w:r>
          <w:r>
            <w:rPr>
              <w:rStyle w:val="25"/>
              <w:rFonts w:cs="Times New Roman"/>
              <w:b/>
              <w:bCs/>
              <w:szCs w:val="21"/>
            </w:rPr>
            <w:t>学校概况</w:t>
          </w:r>
          <w:r>
            <w:rPr>
              <w:rFonts w:cs="Times New Roman"/>
              <w:b/>
              <w:bCs/>
              <w:szCs w:val="21"/>
            </w:rPr>
            <w:tab/>
          </w:r>
          <w:r>
            <w:rPr>
              <w:rFonts w:cs="Times New Roman"/>
              <w:b/>
              <w:bCs/>
              <w:szCs w:val="21"/>
            </w:rPr>
            <w:fldChar w:fldCharType="begin"/>
          </w:r>
          <w:r>
            <w:rPr>
              <w:rFonts w:cs="Times New Roman"/>
              <w:b/>
              <w:bCs/>
              <w:szCs w:val="21"/>
            </w:rPr>
            <w:instrText xml:space="preserve"> PAGEREF _Toc90288197 \h </w:instrText>
          </w:r>
          <w:r>
            <w:rPr>
              <w:rFonts w:cs="Times New Roman"/>
              <w:b/>
              <w:bCs/>
              <w:szCs w:val="21"/>
            </w:rPr>
            <w:fldChar w:fldCharType="separate"/>
          </w:r>
          <w:r>
            <w:rPr>
              <w:rFonts w:cs="Times New Roman"/>
              <w:b/>
              <w:bCs/>
              <w:szCs w:val="21"/>
            </w:rPr>
            <w:t>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"_Toc90288198" </w:instrText>
          </w:r>
          <w:r>
            <w:fldChar w:fldCharType="separate"/>
          </w:r>
          <w:r>
            <w:rPr>
              <w:rStyle w:val="25"/>
              <w:rFonts w:cs="Times New Roman"/>
              <w:b/>
              <w:bCs/>
              <w:szCs w:val="21"/>
            </w:rPr>
            <w:t>一、学校概况</w:t>
          </w:r>
          <w:r>
            <w:rPr>
              <w:rFonts w:cs="Times New Roman"/>
              <w:b/>
              <w:bCs/>
              <w:szCs w:val="21"/>
            </w:rPr>
            <w:tab/>
          </w:r>
          <w:r>
            <w:rPr>
              <w:rFonts w:cs="Times New Roman"/>
              <w:b/>
              <w:bCs/>
              <w:szCs w:val="21"/>
            </w:rPr>
            <w:fldChar w:fldCharType="begin"/>
          </w:r>
          <w:r>
            <w:rPr>
              <w:rFonts w:cs="Times New Roman"/>
              <w:b/>
              <w:bCs/>
              <w:szCs w:val="21"/>
            </w:rPr>
            <w:instrText xml:space="preserve"> PAGEREF _Toc90288198 \h </w:instrText>
          </w:r>
          <w:r>
            <w:rPr>
              <w:rFonts w:cs="Times New Roman"/>
              <w:b/>
              <w:bCs/>
              <w:szCs w:val="21"/>
            </w:rPr>
            <w:fldChar w:fldCharType="separate"/>
          </w:r>
          <w:r>
            <w:rPr>
              <w:rFonts w:cs="Times New Roman"/>
              <w:b/>
              <w:bCs/>
              <w:szCs w:val="21"/>
            </w:rPr>
            <w:t>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"_Toc90288199" </w:instrText>
          </w:r>
          <w:r>
            <w:fldChar w:fldCharType="separate"/>
          </w:r>
          <w:r>
            <w:rPr>
              <w:rStyle w:val="25"/>
              <w:rFonts w:cs="Times New Roman"/>
              <w:b/>
              <w:bCs/>
              <w:szCs w:val="21"/>
            </w:rPr>
            <w:t>二、办学理念</w:t>
          </w:r>
          <w:r>
            <w:rPr>
              <w:rFonts w:cs="Times New Roman"/>
              <w:b/>
              <w:bCs/>
              <w:szCs w:val="21"/>
            </w:rPr>
            <w:tab/>
          </w:r>
          <w:r>
            <w:rPr>
              <w:rFonts w:cs="Times New Roman"/>
              <w:b/>
              <w:bCs/>
              <w:szCs w:val="21"/>
            </w:rPr>
            <w:fldChar w:fldCharType="begin"/>
          </w:r>
          <w:r>
            <w:rPr>
              <w:rFonts w:cs="Times New Roman"/>
              <w:b/>
              <w:bCs/>
              <w:szCs w:val="21"/>
            </w:rPr>
            <w:instrText xml:space="preserve"> PAGEREF _Toc90288199 \h </w:instrText>
          </w:r>
          <w:r>
            <w:rPr>
              <w:rFonts w:cs="Times New Roman"/>
              <w:b/>
              <w:bCs/>
              <w:szCs w:val="21"/>
            </w:rPr>
            <w:fldChar w:fldCharType="separate"/>
          </w:r>
          <w:r>
            <w:rPr>
              <w:rFonts w:cs="Times New Roman"/>
              <w:b/>
              <w:bCs/>
              <w:szCs w:val="21"/>
            </w:rPr>
            <w:t>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"_Toc90288200" </w:instrText>
          </w:r>
          <w:r>
            <w:fldChar w:fldCharType="separate"/>
          </w:r>
          <w:r>
            <w:rPr>
              <w:rStyle w:val="25"/>
              <w:rFonts w:cs="Times New Roman"/>
              <w:b/>
              <w:bCs/>
              <w:szCs w:val="21"/>
            </w:rPr>
            <w:t>三、学科建设与专业建设</w:t>
          </w:r>
          <w:r>
            <w:rPr>
              <w:rFonts w:cs="Times New Roman"/>
              <w:b/>
              <w:bCs/>
              <w:szCs w:val="21"/>
            </w:rPr>
            <w:tab/>
          </w:r>
          <w:r>
            <w:rPr>
              <w:rFonts w:cs="Times New Roman"/>
              <w:b/>
              <w:bCs/>
              <w:szCs w:val="21"/>
            </w:rPr>
            <w:fldChar w:fldCharType="begin"/>
          </w:r>
          <w:r>
            <w:rPr>
              <w:rFonts w:cs="Times New Roman"/>
              <w:b/>
              <w:bCs/>
              <w:szCs w:val="21"/>
            </w:rPr>
            <w:instrText xml:space="preserve"> PAGEREF _Toc90288200 \h </w:instrText>
          </w:r>
          <w:r>
            <w:rPr>
              <w:rFonts w:cs="Times New Roman"/>
              <w:b/>
              <w:bCs/>
              <w:szCs w:val="21"/>
            </w:rPr>
            <w:fldChar w:fldCharType="separate"/>
          </w:r>
          <w:r>
            <w:rPr>
              <w:rFonts w:cs="Times New Roman"/>
              <w:b/>
              <w:bCs/>
              <w:szCs w:val="21"/>
            </w:rPr>
            <w:t>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"_Toc90288201" </w:instrText>
          </w:r>
          <w:r>
            <w:fldChar w:fldCharType="separate"/>
          </w:r>
          <w:r>
            <w:rPr>
              <w:rStyle w:val="25"/>
              <w:rFonts w:cs="Times New Roman"/>
              <w:b/>
              <w:bCs/>
              <w:szCs w:val="21"/>
            </w:rPr>
            <w:t>四、师资力量</w:t>
          </w:r>
          <w:r>
            <w:rPr>
              <w:rFonts w:cs="Times New Roman"/>
              <w:b/>
              <w:bCs/>
              <w:szCs w:val="21"/>
            </w:rPr>
            <w:tab/>
          </w:r>
          <w:r>
            <w:rPr>
              <w:rFonts w:cs="Times New Roman"/>
              <w:b/>
              <w:bCs/>
              <w:szCs w:val="21"/>
            </w:rPr>
            <w:fldChar w:fldCharType="begin"/>
          </w:r>
          <w:r>
            <w:rPr>
              <w:rFonts w:cs="Times New Roman"/>
              <w:b/>
              <w:bCs/>
              <w:szCs w:val="21"/>
            </w:rPr>
            <w:instrText xml:space="preserve"> PAGEREF _Toc90288201 \h </w:instrText>
          </w:r>
          <w:r>
            <w:rPr>
              <w:rFonts w:cs="Times New Roman"/>
              <w:b/>
              <w:bCs/>
              <w:szCs w:val="21"/>
            </w:rPr>
            <w:fldChar w:fldCharType="separate"/>
          </w:r>
          <w:r>
            <w:rPr>
              <w:rFonts w:cs="Times New Roman"/>
              <w:b/>
              <w:bCs/>
              <w:szCs w:val="21"/>
            </w:rPr>
            <w:t>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"_Toc90288202" </w:instrText>
          </w:r>
          <w:r>
            <w:fldChar w:fldCharType="separate"/>
          </w:r>
          <w:r>
            <w:rPr>
              <w:rStyle w:val="25"/>
              <w:rFonts w:cs="Times New Roman"/>
              <w:b/>
              <w:bCs/>
              <w:szCs w:val="21"/>
            </w:rPr>
            <w:t>五、教学特色</w:t>
          </w:r>
          <w:r>
            <w:rPr>
              <w:rFonts w:cs="Times New Roman"/>
              <w:b/>
              <w:bCs/>
              <w:szCs w:val="21"/>
            </w:rPr>
            <w:tab/>
          </w:r>
          <w:r>
            <w:rPr>
              <w:rFonts w:cs="Times New Roman"/>
              <w:b/>
              <w:bCs/>
              <w:szCs w:val="21"/>
            </w:rPr>
            <w:fldChar w:fldCharType="begin"/>
          </w:r>
          <w:r>
            <w:rPr>
              <w:rFonts w:cs="Times New Roman"/>
              <w:b/>
              <w:bCs/>
              <w:szCs w:val="21"/>
            </w:rPr>
            <w:instrText xml:space="preserve"> PAGEREF _Toc90288202 \h </w:instrText>
          </w:r>
          <w:r>
            <w:rPr>
              <w:rFonts w:cs="Times New Roman"/>
              <w:b/>
              <w:bCs/>
              <w:szCs w:val="21"/>
            </w:rPr>
            <w:fldChar w:fldCharType="separate"/>
          </w:r>
          <w:r>
            <w:rPr>
              <w:rFonts w:cs="Times New Roman"/>
              <w:b/>
              <w:bCs/>
              <w:szCs w:val="21"/>
            </w:rPr>
            <w:t>2</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"_Toc90288203" </w:instrText>
          </w:r>
          <w:r>
            <w:fldChar w:fldCharType="separate"/>
          </w:r>
          <w:r>
            <w:rPr>
              <w:rStyle w:val="25"/>
              <w:rFonts w:cs="Times New Roman"/>
              <w:b/>
              <w:bCs/>
              <w:szCs w:val="21"/>
            </w:rPr>
            <w:t>六、国际交流</w:t>
          </w:r>
          <w:r>
            <w:rPr>
              <w:rFonts w:cs="Times New Roman"/>
              <w:b/>
              <w:bCs/>
              <w:szCs w:val="21"/>
            </w:rPr>
            <w:tab/>
          </w:r>
          <w:r>
            <w:rPr>
              <w:rFonts w:cs="Times New Roman"/>
              <w:b/>
              <w:bCs/>
              <w:szCs w:val="21"/>
            </w:rPr>
            <w:fldChar w:fldCharType="begin"/>
          </w:r>
          <w:r>
            <w:rPr>
              <w:rFonts w:cs="Times New Roman"/>
              <w:b/>
              <w:bCs/>
              <w:szCs w:val="21"/>
            </w:rPr>
            <w:instrText xml:space="preserve"> PAGEREF _Toc90288203 \h </w:instrText>
          </w:r>
          <w:r>
            <w:rPr>
              <w:rFonts w:cs="Times New Roman"/>
              <w:b/>
              <w:bCs/>
              <w:szCs w:val="21"/>
            </w:rPr>
            <w:fldChar w:fldCharType="separate"/>
          </w:r>
          <w:r>
            <w:rPr>
              <w:rFonts w:cs="Times New Roman"/>
              <w:b/>
              <w:bCs/>
              <w:szCs w:val="21"/>
            </w:rPr>
            <w:t>2</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"_Toc90288204" </w:instrText>
          </w:r>
          <w:r>
            <w:fldChar w:fldCharType="separate"/>
          </w:r>
          <w:r>
            <w:rPr>
              <w:rStyle w:val="25"/>
              <w:rFonts w:cs="Times New Roman"/>
              <w:b/>
              <w:bCs/>
              <w:szCs w:val="21"/>
            </w:rPr>
            <w:t>报告编制说明</w:t>
          </w:r>
          <w:r>
            <w:rPr>
              <w:rFonts w:cs="Times New Roman"/>
              <w:b/>
              <w:bCs/>
              <w:szCs w:val="21"/>
            </w:rPr>
            <w:tab/>
          </w:r>
          <w:r>
            <w:rPr>
              <w:rFonts w:cs="Times New Roman"/>
              <w:b/>
              <w:bCs/>
              <w:szCs w:val="21"/>
            </w:rPr>
            <w:fldChar w:fldCharType="begin"/>
          </w:r>
          <w:r>
            <w:rPr>
              <w:rFonts w:cs="Times New Roman"/>
              <w:b/>
              <w:bCs/>
              <w:szCs w:val="21"/>
            </w:rPr>
            <w:instrText xml:space="preserve"> PAGEREF _Toc90288204 \h </w:instrText>
          </w:r>
          <w:r>
            <w:rPr>
              <w:rFonts w:cs="Times New Roman"/>
              <w:b/>
              <w:bCs/>
              <w:szCs w:val="21"/>
            </w:rPr>
            <w:fldChar w:fldCharType="separate"/>
          </w:r>
          <w:r>
            <w:rPr>
              <w:rFonts w:cs="Times New Roman"/>
              <w:b/>
              <w:bCs/>
              <w:szCs w:val="21"/>
            </w:rPr>
            <w:t>4</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"_Toc90288205" </w:instrText>
          </w:r>
          <w:r>
            <w:fldChar w:fldCharType="separate"/>
          </w:r>
          <w:r>
            <w:rPr>
              <w:rStyle w:val="25"/>
              <w:rFonts w:cs="Times New Roman"/>
              <w:b/>
              <w:bCs/>
              <w:szCs w:val="21"/>
            </w:rPr>
            <w:t>第一章 毕业生生源结构与毕业去向</w:t>
          </w:r>
          <w:r>
            <w:rPr>
              <w:rFonts w:cs="Times New Roman"/>
              <w:b/>
              <w:bCs/>
              <w:szCs w:val="21"/>
            </w:rPr>
            <w:tab/>
          </w:r>
          <w:r>
            <w:rPr>
              <w:rFonts w:cs="Times New Roman"/>
              <w:b/>
              <w:bCs/>
              <w:szCs w:val="21"/>
            </w:rPr>
            <w:fldChar w:fldCharType="begin"/>
          </w:r>
          <w:r>
            <w:rPr>
              <w:rFonts w:cs="Times New Roman"/>
              <w:b/>
              <w:bCs/>
              <w:szCs w:val="21"/>
            </w:rPr>
            <w:instrText xml:space="preserve"> PAGEREF _Toc90288205 \h </w:instrText>
          </w:r>
          <w:r>
            <w:rPr>
              <w:rFonts w:cs="Times New Roman"/>
              <w:b/>
              <w:bCs/>
              <w:szCs w:val="21"/>
            </w:rPr>
            <w:fldChar w:fldCharType="separate"/>
          </w:r>
          <w:r>
            <w:rPr>
              <w:rFonts w:cs="Times New Roman"/>
              <w:b/>
              <w:bCs/>
              <w:szCs w:val="21"/>
            </w:rPr>
            <w:t>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"_Toc90288206" </w:instrText>
          </w:r>
          <w:r>
            <w:fldChar w:fldCharType="separate"/>
          </w:r>
          <w:r>
            <w:rPr>
              <w:rStyle w:val="25"/>
              <w:rFonts w:cs="Times New Roman"/>
              <w:b/>
              <w:bCs/>
              <w:szCs w:val="21"/>
            </w:rPr>
            <w:t>一、毕业生规模和结构</w:t>
          </w:r>
          <w:r>
            <w:rPr>
              <w:rFonts w:cs="Times New Roman"/>
              <w:b/>
              <w:bCs/>
              <w:szCs w:val="21"/>
            </w:rPr>
            <w:tab/>
          </w:r>
          <w:r>
            <w:rPr>
              <w:rFonts w:cs="Times New Roman"/>
              <w:b/>
              <w:bCs/>
              <w:szCs w:val="21"/>
            </w:rPr>
            <w:fldChar w:fldCharType="begin"/>
          </w:r>
          <w:r>
            <w:rPr>
              <w:rFonts w:cs="Times New Roman"/>
              <w:b/>
              <w:bCs/>
              <w:szCs w:val="21"/>
            </w:rPr>
            <w:instrText xml:space="preserve"> PAGEREF _Toc90288206 \h </w:instrText>
          </w:r>
          <w:r>
            <w:rPr>
              <w:rFonts w:cs="Times New Roman"/>
              <w:b/>
              <w:bCs/>
              <w:szCs w:val="21"/>
            </w:rPr>
            <w:fldChar w:fldCharType="separate"/>
          </w:r>
          <w:r>
            <w:rPr>
              <w:rFonts w:cs="Times New Roman"/>
              <w:b/>
              <w:bCs/>
              <w:szCs w:val="21"/>
            </w:rPr>
            <w:t>5</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"_Toc90288207" </w:instrText>
          </w:r>
          <w:r>
            <w:fldChar w:fldCharType="separate"/>
          </w:r>
          <w:r>
            <w:rPr>
              <w:rStyle w:val="25"/>
              <w:rFonts w:cs="Times New Roman"/>
              <w:b/>
              <w:bCs/>
              <w:szCs w:val="21"/>
            </w:rPr>
            <w:t>（一）毕业生规模</w:t>
          </w:r>
          <w:r>
            <w:rPr>
              <w:rFonts w:cs="Times New Roman"/>
              <w:b/>
              <w:bCs/>
              <w:szCs w:val="21"/>
            </w:rPr>
            <w:tab/>
          </w:r>
          <w:r>
            <w:rPr>
              <w:rFonts w:cs="Times New Roman"/>
              <w:b/>
              <w:bCs/>
              <w:szCs w:val="21"/>
            </w:rPr>
            <w:fldChar w:fldCharType="begin"/>
          </w:r>
          <w:r>
            <w:rPr>
              <w:rFonts w:cs="Times New Roman"/>
              <w:b/>
              <w:bCs/>
              <w:szCs w:val="21"/>
            </w:rPr>
            <w:instrText xml:space="preserve"> PAGEREF _Toc90288207 \h </w:instrText>
          </w:r>
          <w:r>
            <w:rPr>
              <w:rFonts w:cs="Times New Roman"/>
              <w:b/>
              <w:bCs/>
              <w:szCs w:val="21"/>
            </w:rPr>
            <w:fldChar w:fldCharType="separate"/>
          </w:r>
          <w:r>
            <w:rPr>
              <w:rFonts w:cs="Times New Roman"/>
              <w:b/>
              <w:bCs/>
              <w:szCs w:val="21"/>
            </w:rPr>
            <w:t>5</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"_Toc90288208" </w:instrText>
          </w:r>
          <w:r>
            <w:fldChar w:fldCharType="separate"/>
          </w:r>
          <w:r>
            <w:rPr>
              <w:rStyle w:val="25"/>
              <w:rFonts w:cs="Times New Roman"/>
              <w:b/>
              <w:bCs/>
              <w:szCs w:val="21"/>
            </w:rPr>
            <w:t>（二）毕业生结构分布</w:t>
          </w:r>
          <w:r>
            <w:rPr>
              <w:rFonts w:cs="Times New Roman"/>
              <w:b/>
              <w:bCs/>
              <w:szCs w:val="21"/>
            </w:rPr>
            <w:tab/>
          </w:r>
          <w:r>
            <w:rPr>
              <w:rFonts w:cs="Times New Roman"/>
              <w:b/>
              <w:bCs/>
              <w:szCs w:val="21"/>
            </w:rPr>
            <w:fldChar w:fldCharType="begin"/>
          </w:r>
          <w:r>
            <w:rPr>
              <w:rFonts w:cs="Times New Roman"/>
              <w:b/>
              <w:bCs/>
              <w:szCs w:val="21"/>
            </w:rPr>
            <w:instrText xml:space="preserve"> PAGEREF _Toc90288208 \h </w:instrText>
          </w:r>
          <w:r>
            <w:rPr>
              <w:rFonts w:cs="Times New Roman"/>
              <w:b/>
              <w:bCs/>
              <w:szCs w:val="21"/>
            </w:rPr>
            <w:fldChar w:fldCharType="separate"/>
          </w:r>
          <w:r>
            <w:rPr>
              <w:rFonts w:cs="Times New Roman"/>
              <w:b/>
              <w:bCs/>
              <w:szCs w:val="21"/>
            </w:rPr>
            <w:t>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"_Toc90288209" </w:instrText>
          </w:r>
          <w:r>
            <w:fldChar w:fldCharType="separate"/>
          </w:r>
          <w:r>
            <w:rPr>
              <w:rStyle w:val="25"/>
              <w:rFonts w:cs="Times New Roman"/>
              <w:b/>
              <w:bCs/>
              <w:szCs w:val="21"/>
            </w:rPr>
            <w:t>二、毕业生毕业去向落实率及去向</w:t>
          </w:r>
          <w:r>
            <w:rPr>
              <w:rFonts w:cs="Times New Roman"/>
              <w:b/>
              <w:bCs/>
              <w:szCs w:val="21"/>
            </w:rPr>
            <w:tab/>
          </w:r>
          <w:r>
            <w:rPr>
              <w:rFonts w:cs="Times New Roman"/>
              <w:b/>
              <w:bCs/>
              <w:szCs w:val="21"/>
            </w:rPr>
            <w:fldChar w:fldCharType="begin"/>
          </w:r>
          <w:r>
            <w:rPr>
              <w:rFonts w:cs="Times New Roman"/>
              <w:b/>
              <w:bCs/>
              <w:szCs w:val="21"/>
            </w:rPr>
            <w:instrText xml:space="preserve"> PAGEREF _Toc90288209 \h </w:instrText>
          </w:r>
          <w:r>
            <w:rPr>
              <w:rFonts w:cs="Times New Roman"/>
              <w:b/>
              <w:bCs/>
              <w:szCs w:val="21"/>
            </w:rPr>
            <w:fldChar w:fldCharType="separate"/>
          </w:r>
          <w:r>
            <w:rPr>
              <w:rFonts w:cs="Times New Roman"/>
              <w:b/>
              <w:bCs/>
              <w:szCs w:val="21"/>
            </w:rPr>
            <w:t>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"_Toc90288210" </w:instrText>
          </w:r>
          <w:r>
            <w:fldChar w:fldCharType="separate"/>
          </w:r>
          <w:r>
            <w:rPr>
              <w:rStyle w:val="25"/>
              <w:rFonts w:cs="Times New Roman"/>
              <w:b/>
              <w:bCs/>
              <w:szCs w:val="21"/>
            </w:rPr>
            <w:t>（一）各类毕业生的毕业去向落实率</w:t>
          </w:r>
          <w:r>
            <w:rPr>
              <w:rFonts w:cs="Times New Roman"/>
              <w:b/>
              <w:bCs/>
              <w:szCs w:val="21"/>
            </w:rPr>
            <w:tab/>
          </w:r>
          <w:r>
            <w:rPr>
              <w:rFonts w:cs="Times New Roman"/>
              <w:b/>
              <w:bCs/>
              <w:szCs w:val="21"/>
            </w:rPr>
            <w:fldChar w:fldCharType="begin"/>
          </w:r>
          <w:r>
            <w:rPr>
              <w:rFonts w:cs="Times New Roman"/>
              <w:b/>
              <w:bCs/>
              <w:szCs w:val="21"/>
            </w:rPr>
            <w:instrText xml:space="preserve"> PAGEREF _Toc90288210 \h </w:instrText>
          </w:r>
          <w:r>
            <w:rPr>
              <w:rFonts w:cs="Times New Roman"/>
              <w:b/>
              <w:bCs/>
              <w:szCs w:val="21"/>
            </w:rPr>
            <w:fldChar w:fldCharType="separate"/>
          </w:r>
          <w:r>
            <w:rPr>
              <w:rFonts w:cs="Times New Roman"/>
              <w:b/>
              <w:bCs/>
              <w:szCs w:val="21"/>
            </w:rPr>
            <w:t>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"_Toc90288211" </w:instrText>
          </w:r>
          <w:r>
            <w:fldChar w:fldCharType="separate"/>
          </w:r>
          <w:r>
            <w:rPr>
              <w:rStyle w:val="25"/>
              <w:rFonts w:cs="Times New Roman"/>
              <w:b/>
              <w:bCs/>
              <w:szCs w:val="21"/>
            </w:rPr>
            <w:t>（二）各类毕业去向分布</w:t>
          </w:r>
          <w:r>
            <w:rPr>
              <w:rFonts w:cs="Times New Roman"/>
              <w:b/>
              <w:bCs/>
              <w:szCs w:val="21"/>
            </w:rPr>
            <w:tab/>
          </w:r>
          <w:r>
            <w:rPr>
              <w:rFonts w:cs="Times New Roman"/>
              <w:b/>
              <w:bCs/>
              <w:szCs w:val="21"/>
            </w:rPr>
            <w:fldChar w:fldCharType="begin"/>
          </w:r>
          <w:r>
            <w:rPr>
              <w:rFonts w:cs="Times New Roman"/>
              <w:b/>
              <w:bCs/>
              <w:szCs w:val="21"/>
            </w:rPr>
            <w:instrText xml:space="preserve"> PAGEREF _Toc90288211 \h </w:instrText>
          </w:r>
          <w:r>
            <w:rPr>
              <w:rFonts w:cs="Times New Roman"/>
              <w:b/>
              <w:bCs/>
              <w:szCs w:val="21"/>
            </w:rPr>
            <w:fldChar w:fldCharType="separate"/>
          </w:r>
          <w:r>
            <w:rPr>
              <w:rFonts w:cs="Times New Roman"/>
              <w:b/>
              <w:bCs/>
              <w:szCs w:val="21"/>
            </w:rPr>
            <w:t>11</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"_Toc90288212" </w:instrText>
          </w:r>
          <w:r>
            <w:fldChar w:fldCharType="separate"/>
          </w:r>
          <w:r>
            <w:rPr>
              <w:rStyle w:val="25"/>
              <w:rFonts w:cs="Times New Roman"/>
              <w:b/>
              <w:bCs/>
              <w:szCs w:val="21"/>
            </w:rPr>
            <w:t>第二章 毕业生单位就业情况</w:t>
          </w:r>
          <w:r>
            <w:rPr>
              <w:rFonts w:cs="Times New Roman"/>
              <w:b/>
              <w:bCs/>
              <w:szCs w:val="21"/>
            </w:rPr>
            <w:tab/>
          </w:r>
          <w:r>
            <w:rPr>
              <w:rFonts w:cs="Times New Roman"/>
              <w:b/>
              <w:bCs/>
              <w:szCs w:val="21"/>
            </w:rPr>
            <w:fldChar w:fldCharType="begin"/>
          </w:r>
          <w:r>
            <w:rPr>
              <w:rFonts w:cs="Times New Roman"/>
              <w:b/>
              <w:bCs/>
              <w:szCs w:val="21"/>
            </w:rPr>
            <w:instrText xml:space="preserve"> PAGEREF _Toc90288212 \h </w:instrText>
          </w:r>
          <w:r>
            <w:rPr>
              <w:rFonts w:cs="Times New Roman"/>
              <w:b/>
              <w:bCs/>
              <w:szCs w:val="21"/>
            </w:rPr>
            <w:fldChar w:fldCharType="separate"/>
          </w:r>
          <w:r>
            <w:rPr>
              <w:rFonts w:cs="Times New Roman"/>
              <w:b/>
              <w:bCs/>
              <w:szCs w:val="21"/>
            </w:rPr>
            <w:t>13</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"_Toc90288213" </w:instrText>
          </w:r>
          <w:r>
            <w:fldChar w:fldCharType="separate"/>
          </w:r>
          <w:r>
            <w:rPr>
              <w:rStyle w:val="25"/>
              <w:rFonts w:cs="Times New Roman"/>
              <w:b/>
              <w:bCs/>
              <w:szCs w:val="21"/>
            </w:rPr>
            <w:t>一、毕业生就业流向</w:t>
          </w:r>
          <w:r>
            <w:rPr>
              <w:rFonts w:cs="Times New Roman"/>
              <w:b/>
              <w:bCs/>
              <w:szCs w:val="21"/>
            </w:rPr>
            <w:tab/>
          </w:r>
          <w:r>
            <w:rPr>
              <w:rFonts w:cs="Times New Roman"/>
              <w:b/>
              <w:bCs/>
              <w:szCs w:val="21"/>
            </w:rPr>
            <w:fldChar w:fldCharType="begin"/>
          </w:r>
          <w:r>
            <w:rPr>
              <w:rFonts w:cs="Times New Roman"/>
              <w:b/>
              <w:bCs/>
              <w:szCs w:val="21"/>
            </w:rPr>
            <w:instrText xml:space="preserve"> PAGEREF _Toc90288213 \h </w:instrText>
          </w:r>
          <w:r>
            <w:rPr>
              <w:rFonts w:cs="Times New Roman"/>
              <w:b/>
              <w:bCs/>
              <w:szCs w:val="21"/>
            </w:rPr>
            <w:fldChar w:fldCharType="separate"/>
          </w:r>
          <w:r>
            <w:rPr>
              <w:rFonts w:cs="Times New Roman"/>
              <w:b/>
              <w:bCs/>
              <w:szCs w:val="21"/>
            </w:rPr>
            <w:t>13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"_Toc90288214" </w:instrText>
          </w:r>
          <w:r>
            <w:fldChar w:fldCharType="separate"/>
          </w:r>
          <w:r>
            <w:rPr>
              <w:rStyle w:val="25"/>
              <w:rFonts w:cs="Times New Roman"/>
              <w:b/>
              <w:bCs/>
              <w:szCs w:val="21"/>
            </w:rPr>
            <w:t>（一）毕业生就业单位性质</w:t>
          </w:r>
          <w:r>
            <w:rPr>
              <w:rFonts w:cs="Times New Roman"/>
              <w:b/>
              <w:bCs/>
              <w:szCs w:val="21"/>
            </w:rPr>
            <w:tab/>
          </w:r>
          <w:r>
            <w:rPr>
              <w:rFonts w:cs="Times New Roman"/>
              <w:b/>
              <w:bCs/>
              <w:szCs w:val="21"/>
            </w:rPr>
            <w:fldChar w:fldCharType="begin"/>
          </w:r>
          <w:r>
            <w:rPr>
              <w:rFonts w:cs="Times New Roman"/>
              <w:b/>
              <w:bCs/>
              <w:szCs w:val="21"/>
            </w:rPr>
            <w:instrText xml:space="preserve"> PAGEREF _Toc90288214 \h </w:instrText>
          </w:r>
          <w:r>
            <w:rPr>
              <w:rFonts w:cs="Times New Roman"/>
              <w:b/>
              <w:bCs/>
              <w:szCs w:val="21"/>
            </w:rPr>
            <w:fldChar w:fldCharType="separate"/>
          </w:r>
          <w:r>
            <w:rPr>
              <w:rFonts w:cs="Times New Roman"/>
              <w:b/>
              <w:bCs/>
              <w:szCs w:val="21"/>
            </w:rPr>
            <w:t>13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"_Toc90288215" </w:instrText>
          </w:r>
          <w:r>
            <w:fldChar w:fldCharType="separate"/>
          </w:r>
          <w:r>
            <w:rPr>
              <w:rStyle w:val="25"/>
              <w:rFonts w:cs="Times New Roman"/>
              <w:b/>
              <w:bCs/>
              <w:szCs w:val="21"/>
            </w:rPr>
            <w:t>（二）毕业生就业单位行业</w:t>
          </w:r>
          <w:r>
            <w:rPr>
              <w:rFonts w:cs="Times New Roman"/>
              <w:b/>
              <w:bCs/>
              <w:szCs w:val="21"/>
            </w:rPr>
            <w:tab/>
          </w:r>
          <w:r>
            <w:rPr>
              <w:rFonts w:cs="Times New Roman"/>
              <w:b/>
              <w:bCs/>
              <w:szCs w:val="21"/>
            </w:rPr>
            <w:fldChar w:fldCharType="begin"/>
          </w:r>
          <w:r>
            <w:rPr>
              <w:rFonts w:cs="Times New Roman"/>
              <w:b/>
              <w:bCs/>
              <w:szCs w:val="21"/>
            </w:rPr>
            <w:instrText xml:space="preserve"> PAGEREF _Toc90288215 \h </w:instrText>
          </w:r>
          <w:r>
            <w:rPr>
              <w:rFonts w:cs="Times New Roman"/>
              <w:b/>
              <w:bCs/>
              <w:szCs w:val="21"/>
            </w:rPr>
            <w:fldChar w:fldCharType="separate"/>
          </w:r>
          <w:r>
            <w:rPr>
              <w:rFonts w:cs="Times New Roman"/>
              <w:b/>
              <w:bCs/>
              <w:szCs w:val="21"/>
            </w:rPr>
            <w:t>13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"_Toc90288216" </w:instrText>
          </w:r>
          <w:r>
            <w:fldChar w:fldCharType="separate"/>
          </w:r>
          <w:r>
            <w:rPr>
              <w:rStyle w:val="25"/>
              <w:rFonts w:cs="Times New Roman"/>
              <w:b/>
              <w:bCs/>
              <w:szCs w:val="21"/>
            </w:rPr>
            <w:t>（三）毕业生就业职业结构</w:t>
          </w:r>
          <w:r>
            <w:rPr>
              <w:rFonts w:cs="Times New Roman"/>
              <w:b/>
              <w:bCs/>
              <w:szCs w:val="21"/>
            </w:rPr>
            <w:tab/>
          </w:r>
          <w:r>
            <w:rPr>
              <w:rFonts w:cs="Times New Roman"/>
              <w:b/>
              <w:bCs/>
              <w:szCs w:val="21"/>
            </w:rPr>
            <w:fldChar w:fldCharType="begin"/>
          </w:r>
          <w:r>
            <w:rPr>
              <w:rFonts w:cs="Times New Roman"/>
              <w:b/>
              <w:bCs/>
              <w:szCs w:val="21"/>
            </w:rPr>
            <w:instrText xml:space="preserve"> PAGEREF _Toc90288216 \h </w:instrText>
          </w:r>
          <w:r>
            <w:rPr>
              <w:rFonts w:cs="Times New Roman"/>
              <w:b/>
              <w:bCs/>
              <w:szCs w:val="21"/>
            </w:rPr>
            <w:fldChar w:fldCharType="separate"/>
          </w:r>
          <w:r>
            <w:rPr>
              <w:rFonts w:cs="Times New Roman"/>
              <w:b/>
              <w:bCs/>
              <w:szCs w:val="21"/>
            </w:rPr>
            <w:t>13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"_Toc90288217" </w:instrText>
          </w:r>
          <w:r>
            <w:fldChar w:fldCharType="separate"/>
          </w:r>
          <w:r>
            <w:rPr>
              <w:rStyle w:val="25"/>
              <w:rFonts w:cs="Times New Roman"/>
              <w:b/>
              <w:bCs/>
              <w:szCs w:val="21"/>
            </w:rPr>
            <w:t>（四）毕业生就业就业地域流向</w:t>
          </w:r>
          <w:r>
            <w:rPr>
              <w:rFonts w:cs="Times New Roman"/>
              <w:b/>
              <w:bCs/>
              <w:szCs w:val="21"/>
            </w:rPr>
            <w:tab/>
          </w:r>
          <w:r>
            <w:rPr>
              <w:rFonts w:cs="Times New Roman"/>
              <w:b/>
              <w:bCs/>
              <w:szCs w:val="21"/>
            </w:rPr>
            <w:fldChar w:fldCharType="begin"/>
          </w:r>
          <w:r>
            <w:rPr>
              <w:rFonts w:cs="Times New Roman"/>
              <w:b/>
              <w:bCs/>
              <w:szCs w:val="21"/>
            </w:rPr>
            <w:instrText xml:space="preserve"> PAGEREF _Toc90288217 \h </w:instrText>
          </w:r>
          <w:r>
            <w:rPr>
              <w:rFonts w:cs="Times New Roman"/>
              <w:b/>
              <w:bCs/>
              <w:szCs w:val="21"/>
            </w:rPr>
            <w:fldChar w:fldCharType="separate"/>
          </w:r>
          <w:r>
            <w:rPr>
              <w:rFonts w:cs="Times New Roman"/>
              <w:b/>
              <w:bCs/>
              <w:szCs w:val="21"/>
            </w:rPr>
            <w:t>14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"_Toc90288218" </w:instrText>
          </w:r>
          <w:r>
            <w:fldChar w:fldCharType="separate"/>
          </w:r>
          <w:r>
            <w:rPr>
              <w:rStyle w:val="25"/>
              <w:rFonts w:cs="Times New Roman"/>
              <w:b/>
              <w:bCs/>
              <w:szCs w:val="21"/>
            </w:rPr>
            <w:t>（五）高校所在地就业情况</w:t>
          </w:r>
          <w:r>
            <w:rPr>
              <w:rFonts w:cs="Times New Roman"/>
              <w:b/>
              <w:bCs/>
              <w:szCs w:val="21"/>
            </w:rPr>
            <w:tab/>
          </w:r>
          <w:r>
            <w:rPr>
              <w:rFonts w:cs="Times New Roman"/>
              <w:b/>
              <w:bCs/>
              <w:szCs w:val="21"/>
            </w:rPr>
            <w:fldChar w:fldCharType="begin"/>
          </w:r>
          <w:r>
            <w:rPr>
              <w:rFonts w:cs="Times New Roman"/>
              <w:b/>
              <w:bCs/>
              <w:szCs w:val="21"/>
            </w:rPr>
            <w:instrText xml:space="preserve"> PAGEREF _Toc90288218 \h </w:instrText>
          </w:r>
          <w:r>
            <w:rPr>
              <w:rFonts w:cs="Times New Roman"/>
              <w:b/>
              <w:bCs/>
              <w:szCs w:val="21"/>
            </w:rPr>
            <w:fldChar w:fldCharType="separate"/>
          </w:r>
          <w:r>
            <w:rPr>
              <w:rFonts w:cs="Times New Roman"/>
              <w:b/>
              <w:bCs/>
              <w:szCs w:val="21"/>
            </w:rPr>
            <w:t>16</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"_Toc90288219" </w:instrText>
          </w:r>
          <w:r>
            <w:fldChar w:fldCharType="separate"/>
          </w:r>
          <w:r>
            <w:rPr>
              <w:rStyle w:val="25"/>
              <w:rFonts w:cs="Times New Roman"/>
              <w:b/>
              <w:bCs/>
              <w:szCs w:val="21"/>
            </w:rPr>
            <w:t>（六）标签企业就业情况</w:t>
          </w:r>
          <w:r>
            <w:rPr>
              <w:rFonts w:cs="Times New Roman"/>
              <w:b/>
              <w:bCs/>
              <w:szCs w:val="21"/>
            </w:rPr>
            <w:tab/>
          </w:r>
          <w:r>
            <w:rPr>
              <w:rFonts w:cs="Times New Roman"/>
              <w:b/>
              <w:bCs/>
              <w:szCs w:val="21"/>
            </w:rPr>
            <w:fldChar w:fldCharType="begin"/>
          </w:r>
          <w:r>
            <w:rPr>
              <w:rFonts w:cs="Times New Roman"/>
              <w:b/>
              <w:bCs/>
              <w:szCs w:val="21"/>
            </w:rPr>
            <w:instrText xml:space="preserve"> PAGEREF _Toc90288219 \h </w:instrText>
          </w:r>
          <w:r>
            <w:rPr>
              <w:rFonts w:cs="Times New Roman"/>
              <w:b/>
              <w:bCs/>
              <w:szCs w:val="21"/>
            </w:rPr>
            <w:fldChar w:fldCharType="separate"/>
          </w:r>
          <w:r>
            <w:rPr>
              <w:rFonts w:cs="Times New Roman"/>
              <w:b/>
              <w:bCs/>
              <w:szCs w:val="21"/>
            </w:rPr>
            <w:t>17</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"_Toc90288220" </w:instrText>
          </w:r>
          <w:r>
            <w:fldChar w:fldCharType="separate"/>
          </w:r>
          <w:r>
            <w:rPr>
              <w:rStyle w:val="25"/>
              <w:rFonts w:cs="Times New Roman"/>
              <w:b/>
              <w:bCs/>
              <w:szCs w:val="21"/>
            </w:rPr>
            <w:t>二、毕业生就业质量</w:t>
          </w:r>
          <w:r>
            <w:rPr>
              <w:rFonts w:cs="Times New Roman"/>
              <w:b/>
              <w:bCs/>
              <w:szCs w:val="21"/>
            </w:rPr>
            <w:tab/>
          </w:r>
          <w:r>
            <w:rPr>
              <w:rFonts w:cs="Times New Roman"/>
              <w:b/>
              <w:bCs/>
              <w:szCs w:val="21"/>
            </w:rPr>
            <w:fldChar w:fldCharType="begin"/>
          </w:r>
          <w:r>
            <w:rPr>
              <w:rFonts w:cs="Times New Roman"/>
              <w:b/>
              <w:bCs/>
              <w:szCs w:val="21"/>
            </w:rPr>
            <w:instrText xml:space="preserve"> PAGEREF _Toc90288220 \h </w:instrText>
          </w:r>
          <w:r>
            <w:rPr>
              <w:rFonts w:cs="Times New Roman"/>
              <w:b/>
              <w:bCs/>
              <w:szCs w:val="21"/>
            </w:rPr>
            <w:fldChar w:fldCharType="separate"/>
          </w:r>
          <w:r>
            <w:rPr>
              <w:rFonts w:cs="Times New Roman"/>
              <w:b/>
              <w:bCs/>
              <w:szCs w:val="21"/>
            </w:rPr>
            <w:t>18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"_Toc90288221" </w:instrText>
          </w:r>
          <w:r>
            <w:fldChar w:fldCharType="separate"/>
          </w:r>
          <w:r>
            <w:rPr>
              <w:rStyle w:val="25"/>
              <w:rFonts w:cs="Times New Roman"/>
              <w:b/>
              <w:bCs/>
              <w:szCs w:val="21"/>
            </w:rPr>
            <w:t>（一）就业满意度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_Toc90288221 \h </w:instrText>
          </w:r>
          <w:r>
            <w:rPr>
              <w:rFonts w:cs="Times New Roman"/>
              <w:b/>
              <w:bCs/>
              <w:szCs w:val="21"/>
            </w:rPr>
            <w:fldChar w:fldCharType="separate"/>
          </w:r>
          <w:r>
            <w:rPr>
              <w:rFonts w:cs="Times New Roman"/>
              <w:b/>
              <w:bCs/>
              <w:szCs w:val="21"/>
            </w:rPr>
            <w:t>18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"_Toc90288222" </w:instrText>
          </w:r>
          <w:r>
            <w:fldChar w:fldCharType="separate"/>
          </w:r>
          <w:r>
            <w:rPr>
              <w:rStyle w:val="25"/>
              <w:rFonts w:cs="Times New Roman"/>
              <w:b/>
              <w:bCs/>
              <w:szCs w:val="21"/>
            </w:rPr>
            <w:t>（二）福利保障</w:t>
          </w:r>
          <w:r>
            <w:rPr>
              <w:rFonts w:cs="Times New Roman"/>
              <w:b/>
              <w:bCs/>
              <w:szCs w:val="21"/>
            </w:rPr>
            <w:tab/>
          </w:r>
          <w:r>
            <w:rPr>
              <w:rFonts w:cs="Times New Roman"/>
              <w:b/>
              <w:bCs/>
              <w:szCs w:val="21"/>
            </w:rPr>
            <w:fldChar w:fldCharType="begin"/>
          </w:r>
          <w:r>
            <w:rPr>
              <w:rFonts w:cs="Times New Roman"/>
              <w:b/>
              <w:bCs/>
              <w:szCs w:val="21"/>
            </w:rPr>
            <w:instrText xml:space="preserve"> PAGEREF _Toc90288222 \h </w:instrText>
          </w:r>
          <w:r>
            <w:rPr>
              <w:rFonts w:cs="Times New Roman"/>
              <w:b/>
              <w:bCs/>
              <w:szCs w:val="21"/>
            </w:rPr>
            <w:fldChar w:fldCharType="separate"/>
          </w:r>
          <w:r>
            <w:rPr>
              <w:rFonts w:cs="Times New Roman"/>
              <w:b/>
              <w:bCs/>
              <w:szCs w:val="21"/>
            </w:rPr>
            <w:t>19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"_Toc90288223" </w:instrText>
          </w:r>
          <w:r>
            <w:fldChar w:fldCharType="separate"/>
          </w:r>
          <w:r>
            <w:rPr>
              <w:rStyle w:val="25"/>
              <w:rFonts w:cs="Times New Roman"/>
              <w:b/>
              <w:bCs/>
              <w:szCs w:val="21"/>
            </w:rPr>
            <w:t>（三）专业相关度</w:t>
          </w:r>
          <w:r>
            <w:rPr>
              <w:rFonts w:cs="Times New Roman"/>
              <w:b/>
              <w:bCs/>
              <w:szCs w:val="21"/>
            </w:rPr>
            <w:tab/>
          </w:r>
          <w:r>
            <w:rPr>
              <w:rFonts w:cs="Times New Roman"/>
              <w:b/>
              <w:bCs/>
              <w:szCs w:val="21"/>
            </w:rPr>
            <w:fldChar w:fldCharType="begin"/>
          </w:r>
          <w:r>
            <w:rPr>
              <w:rFonts w:cs="Times New Roman"/>
              <w:b/>
              <w:bCs/>
              <w:szCs w:val="21"/>
            </w:rPr>
            <w:instrText xml:space="preserve"> PAGEREF _Toc90288223 \h </w:instrText>
          </w:r>
          <w:r>
            <w:rPr>
              <w:rFonts w:cs="Times New Roman"/>
              <w:b/>
              <w:bCs/>
              <w:szCs w:val="21"/>
            </w:rPr>
            <w:fldChar w:fldCharType="separate"/>
          </w:r>
          <w:r>
            <w:rPr>
              <w:rFonts w:cs="Times New Roman"/>
              <w:b/>
              <w:bCs/>
              <w:szCs w:val="21"/>
            </w:rPr>
            <w:t>20</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"_Toc90288224" </w:instrText>
          </w:r>
          <w:r>
            <w:fldChar w:fldCharType="separate"/>
          </w:r>
          <w:r>
            <w:rPr>
              <w:rStyle w:val="25"/>
              <w:rFonts w:cs="Times New Roman"/>
              <w:b/>
              <w:bCs/>
              <w:szCs w:val="21"/>
            </w:rPr>
            <w:t>（四）期待吻合度</w:t>
          </w:r>
          <w:r>
            <w:rPr>
              <w:rFonts w:cs="Times New Roman"/>
              <w:b/>
              <w:bCs/>
              <w:szCs w:val="21"/>
            </w:rPr>
            <w:tab/>
          </w:r>
          <w:r>
            <w:rPr>
              <w:rFonts w:cs="Times New Roman"/>
              <w:b/>
              <w:bCs/>
              <w:szCs w:val="21"/>
            </w:rPr>
            <w:fldChar w:fldCharType="begin"/>
          </w:r>
          <w:r>
            <w:rPr>
              <w:rFonts w:cs="Times New Roman"/>
              <w:b/>
              <w:bCs/>
              <w:szCs w:val="21"/>
            </w:rPr>
            <w:instrText xml:space="preserve"> PAGEREF _Toc90288224 \h </w:instrText>
          </w:r>
          <w:r>
            <w:rPr>
              <w:rFonts w:cs="Times New Roman"/>
              <w:b/>
              <w:bCs/>
              <w:szCs w:val="21"/>
            </w:rPr>
            <w:fldChar w:fldCharType="separate"/>
          </w:r>
          <w:r>
            <w:rPr>
              <w:rFonts w:cs="Times New Roman"/>
              <w:b/>
              <w:bCs/>
              <w:szCs w:val="21"/>
            </w:rPr>
            <w:t>21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"_Toc90288225" </w:instrText>
          </w:r>
          <w:r>
            <w:fldChar w:fldCharType="separate"/>
          </w:r>
          <w:r>
            <w:rPr>
              <w:rStyle w:val="25"/>
              <w:rFonts w:cs="Times New Roman"/>
              <w:b/>
              <w:bCs/>
              <w:szCs w:val="21"/>
            </w:rPr>
            <w:t>（五）职业发展</w:t>
          </w:r>
          <w:r>
            <w:rPr>
              <w:rFonts w:cs="Times New Roman"/>
              <w:b/>
              <w:bCs/>
              <w:szCs w:val="21"/>
            </w:rPr>
            <w:tab/>
          </w:r>
          <w:r>
            <w:rPr>
              <w:rFonts w:cs="Times New Roman"/>
              <w:b/>
              <w:bCs/>
              <w:szCs w:val="21"/>
            </w:rPr>
            <w:fldChar w:fldCharType="begin"/>
          </w:r>
          <w:r>
            <w:rPr>
              <w:rFonts w:cs="Times New Roman"/>
              <w:b/>
              <w:bCs/>
              <w:szCs w:val="21"/>
            </w:rPr>
            <w:instrText xml:space="preserve"> PAGEREF _Toc90288225 \h </w:instrText>
          </w:r>
          <w:r>
            <w:rPr>
              <w:rFonts w:cs="Times New Roman"/>
              <w:b/>
              <w:bCs/>
              <w:szCs w:val="21"/>
            </w:rPr>
            <w:fldChar w:fldCharType="separate"/>
          </w:r>
          <w:r>
            <w:rPr>
              <w:rFonts w:cs="Times New Roman"/>
              <w:b/>
              <w:bCs/>
              <w:szCs w:val="21"/>
            </w:rPr>
            <w:t>22</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"_Toc90288226" </w:instrText>
          </w:r>
          <w:r>
            <w:fldChar w:fldCharType="separate"/>
          </w:r>
          <w:r>
            <w:rPr>
              <w:rStyle w:val="25"/>
              <w:rFonts w:cs="Times New Roman"/>
              <w:b/>
              <w:bCs/>
              <w:szCs w:val="21"/>
            </w:rPr>
            <w:t>（六）就业稳定性</w:t>
          </w:r>
          <w:r>
            <w:rPr>
              <w:rFonts w:cs="Times New Roman"/>
              <w:b/>
              <w:bCs/>
              <w:szCs w:val="21"/>
            </w:rPr>
            <w:tab/>
          </w:r>
          <w:r>
            <w:rPr>
              <w:rFonts w:cs="Times New Roman"/>
              <w:b/>
              <w:bCs/>
              <w:szCs w:val="21"/>
            </w:rPr>
            <w:fldChar w:fldCharType="begin"/>
          </w:r>
          <w:r>
            <w:rPr>
              <w:rFonts w:cs="Times New Roman"/>
              <w:b/>
              <w:bCs/>
              <w:szCs w:val="21"/>
            </w:rPr>
            <w:instrText xml:space="preserve"> PAGEREF _Toc90288226 \h </w:instrText>
          </w:r>
          <w:r>
            <w:rPr>
              <w:rFonts w:cs="Times New Roman"/>
              <w:b/>
              <w:bCs/>
              <w:szCs w:val="21"/>
            </w:rPr>
            <w:fldChar w:fldCharType="separate"/>
          </w:r>
          <w:r>
            <w:rPr>
              <w:rFonts w:cs="Times New Roman"/>
              <w:b/>
              <w:bCs/>
              <w:szCs w:val="21"/>
            </w:rPr>
            <w:t>22</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"_Toc90288227" </w:instrText>
          </w:r>
          <w:r>
            <w:fldChar w:fldCharType="separate"/>
          </w:r>
          <w:r>
            <w:rPr>
              <w:rStyle w:val="25"/>
              <w:rFonts w:cs="Times New Roman"/>
              <w:b/>
              <w:bCs/>
              <w:szCs w:val="21"/>
            </w:rPr>
            <w:t>第三章 毕业生继续深造情况与自主创业情况</w:t>
          </w:r>
          <w:r>
            <w:rPr>
              <w:rFonts w:cs="Times New Roman"/>
              <w:b/>
              <w:bCs/>
              <w:szCs w:val="21"/>
            </w:rPr>
            <w:tab/>
          </w:r>
          <w:r>
            <w:rPr>
              <w:rFonts w:cs="Times New Roman"/>
              <w:b/>
              <w:bCs/>
              <w:szCs w:val="21"/>
            </w:rPr>
            <w:fldChar w:fldCharType="begin"/>
          </w:r>
          <w:r>
            <w:rPr>
              <w:rFonts w:cs="Times New Roman"/>
              <w:b/>
              <w:bCs/>
              <w:szCs w:val="21"/>
            </w:rPr>
            <w:instrText xml:space="preserve"> PAGEREF _Toc90288227 \h </w:instrText>
          </w:r>
          <w:r>
            <w:rPr>
              <w:rFonts w:cs="Times New Roman"/>
              <w:b/>
              <w:bCs/>
              <w:szCs w:val="21"/>
            </w:rPr>
            <w:fldChar w:fldCharType="separate"/>
          </w:r>
          <w:r>
            <w:rPr>
              <w:rFonts w:cs="Times New Roman"/>
              <w:b/>
              <w:bCs/>
              <w:szCs w:val="21"/>
            </w:rPr>
            <w:t>24</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"_Toc90288228" </w:instrText>
          </w:r>
          <w:r>
            <w:fldChar w:fldCharType="separate"/>
          </w:r>
          <w:r>
            <w:rPr>
              <w:rStyle w:val="25"/>
              <w:rFonts w:cs="Times New Roman"/>
              <w:b/>
              <w:bCs/>
              <w:szCs w:val="21"/>
            </w:rPr>
            <w:t>一、继续深造情况</w:t>
          </w:r>
          <w:r>
            <w:rPr>
              <w:rFonts w:cs="Times New Roman"/>
              <w:b/>
              <w:bCs/>
              <w:szCs w:val="21"/>
            </w:rPr>
            <w:tab/>
          </w:r>
          <w:r>
            <w:rPr>
              <w:rFonts w:cs="Times New Roman"/>
              <w:b/>
              <w:bCs/>
              <w:szCs w:val="21"/>
            </w:rPr>
            <w:fldChar w:fldCharType="begin"/>
          </w:r>
          <w:r>
            <w:rPr>
              <w:rFonts w:cs="Times New Roman"/>
              <w:b/>
              <w:bCs/>
              <w:szCs w:val="21"/>
            </w:rPr>
            <w:instrText xml:space="preserve"> PAGEREF _Toc90288228 \h </w:instrText>
          </w:r>
          <w:r>
            <w:rPr>
              <w:rFonts w:cs="Times New Roman"/>
              <w:b/>
              <w:bCs/>
              <w:szCs w:val="21"/>
            </w:rPr>
            <w:fldChar w:fldCharType="separate"/>
          </w:r>
          <w:r>
            <w:rPr>
              <w:rFonts w:cs="Times New Roman"/>
              <w:b/>
              <w:bCs/>
              <w:szCs w:val="21"/>
            </w:rPr>
            <w:t>24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"_Toc90288229" </w:instrText>
          </w:r>
          <w:r>
            <w:fldChar w:fldCharType="separate"/>
          </w:r>
          <w:r>
            <w:rPr>
              <w:rStyle w:val="25"/>
              <w:rFonts w:cs="Times New Roman"/>
              <w:b/>
              <w:bCs/>
              <w:szCs w:val="21"/>
            </w:rPr>
            <w:t>（一）国内升学情况</w:t>
          </w:r>
          <w:r>
            <w:rPr>
              <w:rFonts w:cs="Times New Roman"/>
              <w:b/>
              <w:bCs/>
              <w:szCs w:val="21"/>
            </w:rPr>
            <w:tab/>
          </w:r>
          <w:r>
            <w:rPr>
              <w:rFonts w:cs="Times New Roman"/>
              <w:b/>
              <w:bCs/>
              <w:szCs w:val="21"/>
            </w:rPr>
            <w:fldChar w:fldCharType="begin"/>
          </w:r>
          <w:r>
            <w:rPr>
              <w:rFonts w:cs="Times New Roman"/>
              <w:b/>
              <w:bCs/>
              <w:szCs w:val="21"/>
            </w:rPr>
            <w:instrText xml:space="preserve"> PAGEREF _Toc90288229 \h </w:instrText>
          </w:r>
          <w:r>
            <w:rPr>
              <w:rFonts w:cs="Times New Roman"/>
              <w:b/>
              <w:bCs/>
              <w:szCs w:val="21"/>
            </w:rPr>
            <w:fldChar w:fldCharType="separate"/>
          </w:r>
          <w:r>
            <w:rPr>
              <w:rFonts w:cs="Times New Roman"/>
              <w:b/>
              <w:bCs/>
              <w:szCs w:val="21"/>
            </w:rPr>
            <w:t>24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"_Toc90288230" </w:instrText>
          </w:r>
          <w:r>
            <w:fldChar w:fldCharType="separate"/>
          </w:r>
          <w:r>
            <w:rPr>
              <w:rStyle w:val="25"/>
              <w:rFonts w:cs="Times New Roman"/>
              <w:b/>
              <w:bCs/>
              <w:szCs w:val="21"/>
            </w:rPr>
            <w:t>（二）继续深造评价与反馈</w:t>
          </w:r>
          <w:r>
            <w:rPr>
              <w:rFonts w:cs="Times New Roman"/>
              <w:b/>
              <w:bCs/>
              <w:szCs w:val="21"/>
            </w:rPr>
            <w:tab/>
          </w:r>
          <w:r>
            <w:rPr>
              <w:rFonts w:cs="Times New Roman"/>
              <w:b/>
              <w:bCs/>
              <w:szCs w:val="21"/>
            </w:rPr>
            <w:fldChar w:fldCharType="begin"/>
          </w:r>
          <w:r>
            <w:rPr>
              <w:rFonts w:cs="Times New Roman"/>
              <w:b/>
              <w:bCs/>
              <w:szCs w:val="21"/>
            </w:rPr>
            <w:instrText xml:space="preserve"> PAGEREF _Toc90288230 \h </w:instrText>
          </w:r>
          <w:r>
            <w:rPr>
              <w:rFonts w:cs="Times New Roman"/>
              <w:b/>
              <w:bCs/>
              <w:szCs w:val="21"/>
            </w:rPr>
            <w:fldChar w:fldCharType="separate"/>
          </w:r>
          <w:r>
            <w:rPr>
              <w:rFonts w:cs="Times New Roman"/>
              <w:b/>
              <w:bCs/>
              <w:szCs w:val="21"/>
            </w:rPr>
            <w:t>25</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"_Toc90288231" </w:instrText>
          </w:r>
          <w:r>
            <w:fldChar w:fldCharType="separate"/>
          </w:r>
          <w:r>
            <w:rPr>
              <w:rStyle w:val="25"/>
              <w:rFonts w:cs="Times New Roman"/>
              <w:b/>
              <w:bCs/>
              <w:szCs w:val="21"/>
            </w:rPr>
            <w:t>第四章 毕业生求职行为与未落实毕业去向情况</w:t>
          </w:r>
          <w:r>
            <w:rPr>
              <w:rFonts w:cs="Times New Roman"/>
              <w:b/>
              <w:bCs/>
              <w:szCs w:val="21"/>
            </w:rPr>
            <w:tab/>
          </w:r>
          <w:r>
            <w:rPr>
              <w:rFonts w:cs="Times New Roman"/>
              <w:b/>
              <w:bCs/>
              <w:szCs w:val="21"/>
            </w:rPr>
            <w:fldChar w:fldCharType="begin"/>
          </w:r>
          <w:r>
            <w:rPr>
              <w:rFonts w:cs="Times New Roman"/>
              <w:b/>
              <w:bCs/>
              <w:szCs w:val="21"/>
            </w:rPr>
            <w:instrText xml:space="preserve"> PAGEREF _Toc90288231 \h </w:instrText>
          </w:r>
          <w:r>
            <w:rPr>
              <w:rFonts w:cs="Times New Roman"/>
              <w:b/>
              <w:bCs/>
              <w:szCs w:val="21"/>
            </w:rPr>
            <w:fldChar w:fldCharType="separate"/>
          </w:r>
          <w:r>
            <w:rPr>
              <w:rFonts w:cs="Times New Roman"/>
              <w:b/>
              <w:bCs/>
              <w:szCs w:val="21"/>
            </w:rPr>
            <w:t>29</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"_Toc90288232" </w:instrText>
          </w:r>
          <w:r>
            <w:fldChar w:fldCharType="separate"/>
          </w:r>
          <w:r>
            <w:rPr>
              <w:rStyle w:val="25"/>
              <w:rFonts w:cs="Times New Roman"/>
              <w:b/>
              <w:bCs/>
              <w:szCs w:val="21"/>
            </w:rPr>
            <w:t>一、未落实毕业去向情况</w:t>
          </w:r>
          <w:r>
            <w:rPr>
              <w:rFonts w:cs="Times New Roman"/>
              <w:b/>
              <w:bCs/>
              <w:szCs w:val="21"/>
            </w:rPr>
            <w:tab/>
          </w:r>
          <w:r>
            <w:rPr>
              <w:rFonts w:cs="Times New Roman"/>
              <w:b/>
              <w:bCs/>
              <w:szCs w:val="21"/>
            </w:rPr>
            <w:fldChar w:fldCharType="begin"/>
          </w:r>
          <w:r>
            <w:rPr>
              <w:rFonts w:cs="Times New Roman"/>
              <w:b/>
              <w:bCs/>
              <w:szCs w:val="21"/>
            </w:rPr>
            <w:instrText xml:space="preserve"> PAGEREF _Toc90288232 \h </w:instrText>
          </w:r>
          <w:r>
            <w:rPr>
              <w:rFonts w:cs="Times New Roman"/>
              <w:b/>
              <w:bCs/>
              <w:szCs w:val="21"/>
            </w:rPr>
            <w:fldChar w:fldCharType="separate"/>
          </w:r>
          <w:r>
            <w:rPr>
              <w:rFonts w:cs="Times New Roman"/>
              <w:b/>
              <w:bCs/>
              <w:szCs w:val="21"/>
            </w:rPr>
            <w:t>29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"_Toc90288233" </w:instrText>
          </w:r>
          <w:r>
            <w:fldChar w:fldCharType="separate"/>
          </w:r>
          <w:r>
            <w:rPr>
              <w:rStyle w:val="25"/>
              <w:rFonts w:cs="Times New Roman"/>
              <w:b/>
              <w:bCs/>
              <w:szCs w:val="21"/>
            </w:rPr>
            <w:t>（一）未落实毕业去向类型</w:t>
          </w:r>
          <w:r>
            <w:rPr>
              <w:rFonts w:cs="Times New Roman"/>
              <w:b/>
              <w:bCs/>
              <w:szCs w:val="21"/>
            </w:rPr>
            <w:tab/>
          </w:r>
          <w:r>
            <w:rPr>
              <w:rFonts w:cs="Times New Roman"/>
              <w:b/>
              <w:bCs/>
              <w:szCs w:val="21"/>
            </w:rPr>
            <w:fldChar w:fldCharType="begin"/>
          </w:r>
          <w:r>
            <w:rPr>
              <w:rFonts w:cs="Times New Roman"/>
              <w:b/>
              <w:bCs/>
              <w:szCs w:val="21"/>
            </w:rPr>
            <w:instrText xml:space="preserve"> PAGEREF _Toc90288233 \h </w:instrText>
          </w:r>
          <w:r>
            <w:rPr>
              <w:rFonts w:cs="Times New Roman"/>
              <w:b/>
              <w:bCs/>
              <w:szCs w:val="21"/>
            </w:rPr>
            <w:fldChar w:fldCharType="separate"/>
          </w:r>
          <w:r>
            <w:rPr>
              <w:rFonts w:cs="Times New Roman"/>
              <w:b/>
              <w:bCs/>
              <w:szCs w:val="21"/>
            </w:rPr>
            <w:t>29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"_Toc90288234" </w:instrText>
          </w:r>
          <w:r>
            <w:fldChar w:fldCharType="separate"/>
          </w:r>
          <w:r>
            <w:rPr>
              <w:rStyle w:val="25"/>
              <w:rFonts w:cs="Times New Roman"/>
              <w:b/>
              <w:bCs/>
              <w:szCs w:val="21"/>
            </w:rPr>
            <w:t>（二）毕业生求职困难</w:t>
          </w:r>
          <w:r>
            <w:rPr>
              <w:rFonts w:cs="Times New Roman"/>
              <w:b/>
              <w:bCs/>
              <w:szCs w:val="21"/>
            </w:rPr>
            <w:tab/>
          </w:r>
          <w:r>
            <w:rPr>
              <w:rFonts w:cs="Times New Roman"/>
              <w:b/>
              <w:bCs/>
              <w:szCs w:val="21"/>
            </w:rPr>
            <w:fldChar w:fldCharType="begin"/>
          </w:r>
          <w:r>
            <w:rPr>
              <w:rFonts w:cs="Times New Roman"/>
              <w:b/>
              <w:bCs/>
              <w:szCs w:val="21"/>
            </w:rPr>
            <w:instrText xml:space="preserve"> PAGEREF _Toc90288234 \h </w:instrText>
          </w:r>
          <w:r>
            <w:rPr>
              <w:rFonts w:cs="Times New Roman"/>
              <w:b/>
              <w:bCs/>
              <w:szCs w:val="21"/>
            </w:rPr>
            <w:fldChar w:fldCharType="separate"/>
          </w:r>
          <w:r>
            <w:rPr>
              <w:rFonts w:cs="Times New Roman"/>
              <w:b/>
              <w:bCs/>
              <w:szCs w:val="21"/>
            </w:rPr>
            <w:t>29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"_Toc90288235" </w:instrText>
          </w:r>
          <w:r>
            <w:fldChar w:fldCharType="separate"/>
          </w:r>
          <w:r>
            <w:rPr>
              <w:rStyle w:val="25"/>
              <w:rFonts w:cs="Times New Roman"/>
              <w:b/>
              <w:bCs/>
              <w:szCs w:val="21"/>
            </w:rPr>
            <w:t>（三）毕业生求职期望</w:t>
          </w:r>
          <w:r>
            <w:rPr>
              <w:rFonts w:cs="Times New Roman"/>
              <w:b/>
              <w:bCs/>
              <w:szCs w:val="21"/>
            </w:rPr>
            <w:tab/>
          </w:r>
          <w:r>
            <w:rPr>
              <w:rFonts w:cs="Times New Roman"/>
              <w:b/>
              <w:bCs/>
              <w:szCs w:val="21"/>
            </w:rPr>
            <w:fldChar w:fldCharType="begin"/>
          </w:r>
          <w:r>
            <w:rPr>
              <w:rFonts w:cs="Times New Roman"/>
              <w:b/>
              <w:bCs/>
              <w:szCs w:val="21"/>
            </w:rPr>
            <w:instrText xml:space="preserve"> PAGEREF _Toc90288235 \h </w:instrText>
          </w:r>
          <w:r>
            <w:rPr>
              <w:rFonts w:cs="Times New Roman"/>
              <w:b/>
              <w:bCs/>
              <w:szCs w:val="21"/>
            </w:rPr>
            <w:fldChar w:fldCharType="separate"/>
          </w:r>
          <w:r>
            <w:rPr>
              <w:rFonts w:cs="Times New Roman"/>
              <w:b/>
              <w:bCs/>
              <w:szCs w:val="21"/>
            </w:rPr>
            <w:t>29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"_Toc90288236" </w:instrText>
          </w:r>
          <w:r>
            <w:fldChar w:fldCharType="separate"/>
          </w:r>
          <w:r>
            <w:rPr>
              <w:rStyle w:val="25"/>
              <w:rFonts w:cs="Times New Roman"/>
              <w:b/>
              <w:bCs/>
              <w:szCs w:val="21"/>
            </w:rPr>
            <w:t>（四）毕业生就业能力提升需求</w:t>
          </w:r>
          <w:r>
            <w:rPr>
              <w:rFonts w:cs="Times New Roman"/>
              <w:b/>
              <w:bCs/>
              <w:szCs w:val="21"/>
            </w:rPr>
            <w:tab/>
          </w:r>
          <w:r>
            <w:rPr>
              <w:rFonts w:cs="Times New Roman"/>
              <w:b/>
              <w:bCs/>
              <w:szCs w:val="21"/>
            </w:rPr>
            <w:fldChar w:fldCharType="begin"/>
          </w:r>
          <w:r>
            <w:rPr>
              <w:rFonts w:cs="Times New Roman"/>
              <w:b/>
              <w:bCs/>
              <w:szCs w:val="21"/>
            </w:rPr>
            <w:instrText xml:space="preserve"> PAGEREF _Toc90288236 \h </w:instrText>
          </w:r>
          <w:r>
            <w:rPr>
              <w:rFonts w:cs="Times New Roman"/>
              <w:b/>
              <w:bCs/>
              <w:szCs w:val="21"/>
            </w:rPr>
            <w:fldChar w:fldCharType="separate"/>
          </w:r>
          <w:r>
            <w:rPr>
              <w:rFonts w:cs="Times New Roman"/>
              <w:b/>
              <w:bCs/>
              <w:szCs w:val="21"/>
            </w:rPr>
            <w:t>30</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"_Toc90288237" </w:instrText>
          </w:r>
          <w:r>
            <w:fldChar w:fldCharType="separate"/>
          </w:r>
          <w:r>
            <w:rPr>
              <w:rStyle w:val="25"/>
              <w:rFonts w:cs="Times New Roman"/>
              <w:b/>
              <w:bCs/>
              <w:szCs w:val="21"/>
            </w:rPr>
            <w:t>二、求职过程</w:t>
          </w:r>
          <w:r>
            <w:rPr>
              <w:rFonts w:cs="Times New Roman"/>
              <w:b/>
              <w:bCs/>
              <w:szCs w:val="21"/>
            </w:rPr>
            <w:tab/>
          </w:r>
          <w:r>
            <w:rPr>
              <w:rFonts w:cs="Times New Roman"/>
              <w:b/>
              <w:bCs/>
              <w:szCs w:val="21"/>
            </w:rPr>
            <w:fldChar w:fldCharType="begin"/>
          </w:r>
          <w:r>
            <w:rPr>
              <w:rFonts w:cs="Times New Roman"/>
              <w:b/>
              <w:bCs/>
              <w:szCs w:val="21"/>
            </w:rPr>
            <w:instrText xml:space="preserve"> PAGEREF _Toc90288237 \h </w:instrText>
          </w:r>
          <w:r>
            <w:rPr>
              <w:rFonts w:cs="Times New Roman"/>
              <w:b/>
              <w:bCs/>
              <w:szCs w:val="21"/>
            </w:rPr>
            <w:fldChar w:fldCharType="separate"/>
          </w:r>
          <w:r>
            <w:rPr>
              <w:rFonts w:cs="Times New Roman"/>
              <w:b/>
              <w:bCs/>
              <w:szCs w:val="21"/>
            </w:rPr>
            <w:t>31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"_Toc90288238" </w:instrText>
          </w:r>
          <w:r>
            <w:fldChar w:fldCharType="separate"/>
          </w:r>
          <w:r>
            <w:rPr>
              <w:rStyle w:val="25"/>
              <w:rFonts w:cs="Times New Roman"/>
              <w:b/>
              <w:bCs/>
              <w:szCs w:val="21"/>
            </w:rPr>
            <w:t>（一）毕业生求职途径</w:t>
          </w:r>
          <w:r>
            <w:rPr>
              <w:rFonts w:cs="Times New Roman"/>
              <w:b/>
              <w:bCs/>
              <w:szCs w:val="21"/>
            </w:rPr>
            <w:tab/>
          </w:r>
          <w:r>
            <w:rPr>
              <w:rFonts w:cs="Times New Roman"/>
              <w:b/>
              <w:bCs/>
              <w:szCs w:val="21"/>
            </w:rPr>
            <w:fldChar w:fldCharType="begin"/>
          </w:r>
          <w:r>
            <w:rPr>
              <w:rFonts w:cs="Times New Roman"/>
              <w:b/>
              <w:bCs/>
              <w:szCs w:val="21"/>
            </w:rPr>
            <w:instrText xml:space="preserve"> PAGEREF _Toc90288238 \h </w:instrText>
          </w:r>
          <w:r>
            <w:rPr>
              <w:rFonts w:cs="Times New Roman"/>
              <w:b/>
              <w:bCs/>
              <w:szCs w:val="21"/>
            </w:rPr>
            <w:fldChar w:fldCharType="separate"/>
          </w:r>
          <w:r>
            <w:rPr>
              <w:rFonts w:cs="Times New Roman"/>
              <w:b/>
              <w:bCs/>
              <w:szCs w:val="21"/>
            </w:rPr>
            <w:t>31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"_Toc90288239" </w:instrText>
          </w:r>
          <w:r>
            <w:fldChar w:fldCharType="separate"/>
          </w:r>
          <w:r>
            <w:rPr>
              <w:rStyle w:val="25"/>
              <w:rFonts w:cs="Times New Roman"/>
              <w:b/>
              <w:bCs/>
              <w:szCs w:val="21"/>
            </w:rPr>
            <w:t>（二）毕业生简历投递、面试机会与OFFER数</w:t>
          </w:r>
          <w:r>
            <w:rPr>
              <w:rFonts w:cs="Times New Roman"/>
              <w:b/>
              <w:bCs/>
              <w:szCs w:val="21"/>
            </w:rPr>
            <w:tab/>
          </w:r>
          <w:r>
            <w:rPr>
              <w:rFonts w:cs="Times New Roman"/>
              <w:b/>
              <w:bCs/>
              <w:szCs w:val="21"/>
            </w:rPr>
            <w:fldChar w:fldCharType="begin"/>
          </w:r>
          <w:r>
            <w:rPr>
              <w:rFonts w:cs="Times New Roman"/>
              <w:b/>
              <w:bCs/>
              <w:szCs w:val="21"/>
            </w:rPr>
            <w:instrText xml:space="preserve"> PAGEREF _Toc90288239 \h </w:instrText>
          </w:r>
          <w:r>
            <w:rPr>
              <w:rFonts w:cs="Times New Roman"/>
              <w:b/>
              <w:bCs/>
              <w:szCs w:val="21"/>
            </w:rPr>
            <w:fldChar w:fldCharType="separate"/>
          </w:r>
          <w:r>
            <w:rPr>
              <w:rFonts w:cs="Times New Roman"/>
              <w:b/>
              <w:bCs/>
              <w:szCs w:val="21"/>
            </w:rPr>
            <w:t>31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"_Toc90288240" </w:instrText>
          </w:r>
          <w:r>
            <w:fldChar w:fldCharType="separate"/>
          </w:r>
          <w:r>
            <w:rPr>
              <w:rStyle w:val="25"/>
              <w:rFonts w:cs="Times New Roman"/>
              <w:b/>
              <w:bCs/>
              <w:szCs w:val="21"/>
            </w:rPr>
            <w:t>（三）毕业生求职成本</w:t>
          </w:r>
          <w:r>
            <w:rPr>
              <w:rFonts w:cs="Times New Roman"/>
              <w:b/>
              <w:bCs/>
              <w:szCs w:val="21"/>
            </w:rPr>
            <w:tab/>
          </w:r>
          <w:r>
            <w:rPr>
              <w:rFonts w:cs="Times New Roman"/>
              <w:b/>
              <w:bCs/>
              <w:szCs w:val="21"/>
            </w:rPr>
            <w:fldChar w:fldCharType="begin"/>
          </w:r>
          <w:r>
            <w:rPr>
              <w:rFonts w:cs="Times New Roman"/>
              <w:b/>
              <w:bCs/>
              <w:szCs w:val="21"/>
            </w:rPr>
            <w:instrText xml:space="preserve"> PAGEREF _Toc90288240 \h </w:instrText>
          </w:r>
          <w:r>
            <w:rPr>
              <w:rFonts w:cs="Times New Roman"/>
              <w:b/>
              <w:bCs/>
              <w:szCs w:val="21"/>
            </w:rPr>
            <w:fldChar w:fldCharType="separate"/>
          </w:r>
          <w:r>
            <w:rPr>
              <w:rFonts w:cs="Times New Roman"/>
              <w:b/>
              <w:bCs/>
              <w:szCs w:val="21"/>
            </w:rPr>
            <w:t>32</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"_Toc90288241" </w:instrText>
          </w:r>
          <w:r>
            <w:fldChar w:fldCharType="separate"/>
          </w:r>
          <w:r>
            <w:rPr>
              <w:rStyle w:val="25"/>
              <w:rFonts w:cs="Times New Roman"/>
              <w:b/>
              <w:bCs/>
              <w:szCs w:val="21"/>
            </w:rPr>
            <w:t>（五）毕业生求职影响因素</w:t>
          </w:r>
          <w:r>
            <w:rPr>
              <w:rFonts w:cs="Times New Roman"/>
              <w:b/>
              <w:bCs/>
              <w:szCs w:val="21"/>
            </w:rPr>
            <w:tab/>
          </w:r>
          <w:r>
            <w:rPr>
              <w:rFonts w:cs="Times New Roman"/>
              <w:b/>
              <w:bCs/>
              <w:szCs w:val="21"/>
            </w:rPr>
            <w:fldChar w:fldCharType="begin"/>
          </w:r>
          <w:r>
            <w:rPr>
              <w:rFonts w:cs="Times New Roman"/>
              <w:b/>
              <w:bCs/>
              <w:szCs w:val="21"/>
            </w:rPr>
            <w:instrText xml:space="preserve"> PAGEREF _Toc90288241 \h </w:instrText>
          </w:r>
          <w:r>
            <w:rPr>
              <w:rFonts w:cs="Times New Roman"/>
              <w:b/>
              <w:bCs/>
              <w:szCs w:val="21"/>
            </w:rPr>
            <w:fldChar w:fldCharType="separate"/>
          </w:r>
          <w:r>
            <w:rPr>
              <w:rFonts w:cs="Times New Roman"/>
              <w:b/>
              <w:bCs/>
              <w:szCs w:val="21"/>
            </w:rPr>
            <w:t>32</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"_Toc90288242" </w:instrText>
          </w:r>
          <w:r>
            <w:fldChar w:fldCharType="separate"/>
          </w:r>
          <w:r>
            <w:rPr>
              <w:rStyle w:val="25"/>
              <w:rFonts w:cs="Times New Roman"/>
              <w:b/>
              <w:bCs/>
              <w:szCs w:val="21"/>
            </w:rPr>
            <w:t>第五章 母校评价</w:t>
          </w:r>
          <w:r>
            <w:rPr>
              <w:rFonts w:cs="Times New Roman"/>
              <w:b/>
              <w:bCs/>
              <w:szCs w:val="21"/>
            </w:rPr>
            <w:tab/>
          </w:r>
          <w:r>
            <w:rPr>
              <w:rFonts w:cs="Times New Roman"/>
              <w:b/>
              <w:bCs/>
              <w:szCs w:val="21"/>
            </w:rPr>
            <w:fldChar w:fldCharType="begin"/>
          </w:r>
          <w:r>
            <w:rPr>
              <w:rFonts w:cs="Times New Roman"/>
              <w:b/>
              <w:bCs/>
              <w:szCs w:val="21"/>
            </w:rPr>
            <w:instrText xml:space="preserve"> PAGEREF _Toc90288242 \h </w:instrText>
          </w:r>
          <w:r>
            <w:rPr>
              <w:rFonts w:cs="Times New Roman"/>
              <w:b/>
              <w:bCs/>
              <w:szCs w:val="21"/>
            </w:rPr>
            <w:fldChar w:fldCharType="separate"/>
          </w:r>
          <w:r>
            <w:rPr>
              <w:rFonts w:cs="Times New Roman"/>
              <w:b/>
              <w:bCs/>
              <w:szCs w:val="21"/>
            </w:rPr>
            <w:t>33</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"_Toc90288243" </w:instrText>
          </w:r>
          <w:r>
            <w:fldChar w:fldCharType="separate"/>
          </w:r>
          <w:r>
            <w:rPr>
              <w:rStyle w:val="25"/>
              <w:rFonts w:cs="Times New Roman"/>
              <w:b/>
              <w:bCs/>
              <w:szCs w:val="21"/>
            </w:rPr>
            <w:t>一、母校满意度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_Toc90288243 \h </w:instrText>
          </w:r>
          <w:r>
            <w:rPr>
              <w:rFonts w:cs="Times New Roman"/>
              <w:b/>
              <w:bCs/>
              <w:szCs w:val="21"/>
            </w:rPr>
            <w:fldChar w:fldCharType="separate"/>
          </w:r>
          <w:r>
            <w:rPr>
              <w:rFonts w:cs="Times New Roman"/>
              <w:b/>
              <w:bCs/>
              <w:szCs w:val="21"/>
            </w:rPr>
            <w:t>33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"_Toc90288244" </w:instrText>
          </w:r>
          <w:r>
            <w:fldChar w:fldCharType="separate"/>
          </w:r>
          <w:r>
            <w:rPr>
              <w:rStyle w:val="25"/>
              <w:rFonts w:cs="Times New Roman"/>
              <w:b/>
              <w:bCs/>
              <w:szCs w:val="21"/>
            </w:rPr>
            <w:t>（一）母校总体满意度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_Toc90288244 \h </w:instrText>
          </w:r>
          <w:r>
            <w:rPr>
              <w:rFonts w:cs="Times New Roman"/>
              <w:b/>
              <w:bCs/>
              <w:szCs w:val="21"/>
            </w:rPr>
            <w:fldChar w:fldCharType="separate"/>
          </w:r>
          <w:r>
            <w:rPr>
              <w:rFonts w:cs="Times New Roman"/>
              <w:b/>
              <w:bCs/>
              <w:szCs w:val="21"/>
            </w:rPr>
            <w:t>33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"_Toc90288245" </w:instrText>
          </w:r>
          <w:r>
            <w:fldChar w:fldCharType="separate"/>
          </w:r>
          <w:r>
            <w:rPr>
              <w:rStyle w:val="25"/>
              <w:rFonts w:cs="Times New Roman"/>
              <w:b/>
              <w:bCs/>
              <w:szCs w:val="21"/>
            </w:rPr>
            <w:t>（二）母校推荐度</w:t>
          </w:r>
          <w:r>
            <w:rPr>
              <w:rFonts w:cs="Times New Roman"/>
              <w:b/>
              <w:bCs/>
              <w:szCs w:val="21"/>
            </w:rPr>
            <w:tab/>
          </w:r>
          <w:r>
            <w:rPr>
              <w:rFonts w:cs="Times New Roman"/>
              <w:b/>
              <w:bCs/>
              <w:szCs w:val="21"/>
            </w:rPr>
            <w:fldChar w:fldCharType="begin"/>
          </w:r>
          <w:r>
            <w:rPr>
              <w:rFonts w:cs="Times New Roman"/>
              <w:b/>
              <w:bCs/>
              <w:szCs w:val="21"/>
            </w:rPr>
            <w:instrText xml:space="preserve"> PAGEREF _Toc90288245 \h </w:instrText>
          </w:r>
          <w:r>
            <w:rPr>
              <w:rFonts w:cs="Times New Roman"/>
              <w:b/>
              <w:bCs/>
              <w:szCs w:val="21"/>
            </w:rPr>
            <w:fldChar w:fldCharType="separate"/>
          </w:r>
          <w:r>
            <w:rPr>
              <w:rFonts w:cs="Times New Roman"/>
              <w:b/>
              <w:bCs/>
              <w:szCs w:val="21"/>
            </w:rPr>
            <w:t>33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"_Toc90288246" </w:instrText>
          </w:r>
          <w:r>
            <w:fldChar w:fldCharType="separate"/>
          </w:r>
          <w:r>
            <w:rPr>
              <w:rStyle w:val="25"/>
              <w:rFonts w:cs="Times New Roman"/>
              <w:b/>
              <w:bCs/>
              <w:szCs w:val="21"/>
            </w:rPr>
            <w:t>（三）对母校分项评价</w:t>
          </w:r>
          <w:r>
            <w:rPr>
              <w:rFonts w:cs="Times New Roman"/>
              <w:b/>
              <w:bCs/>
              <w:szCs w:val="21"/>
            </w:rPr>
            <w:tab/>
          </w:r>
          <w:r>
            <w:rPr>
              <w:rFonts w:cs="Times New Roman"/>
              <w:b/>
              <w:bCs/>
              <w:szCs w:val="21"/>
            </w:rPr>
            <w:fldChar w:fldCharType="begin"/>
          </w:r>
          <w:r>
            <w:rPr>
              <w:rFonts w:cs="Times New Roman"/>
              <w:b/>
              <w:bCs/>
              <w:szCs w:val="21"/>
            </w:rPr>
            <w:instrText xml:space="preserve"> PAGEREF _Toc90288246 \h </w:instrText>
          </w:r>
          <w:r>
            <w:rPr>
              <w:rFonts w:cs="Times New Roman"/>
              <w:b/>
              <w:bCs/>
              <w:szCs w:val="21"/>
            </w:rPr>
            <w:fldChar w:fldCharType="separate"/>
          </w:r>
          <w:r>
            <w:rPr>
              <w:rFonts w:cs="Times New Roman"/>
              <w:b/>
              <w:bCs/>
              <w:szCs w:val="21"/>
            </w:rPr>
            <w:t>33</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"_Toc90288247" </w:instrText>
          </w:r>
          <w:r>
            <w:fldChar w:fldCharType="separate"/>
          </w:r>
          <w:r>
            <w:rPr>
              <w:rStyle w:val="25"/>
              <w:rFonts w:cs="Times New Roman"/>
              <w:b/>
              <w:bCs/>
              <w:szCs w:val="21"/>
            </w:rPr>
            <w:t>二、教育教学评价</w:t>
          </w:r>
          <w:r>
            <w:rPr>
              <w:rFonts w:cs="Times New Roman"/>
              <w:b/>
              <w:bCs/>
              <w:szCs w:val="21"/>
            </w:rPr>
            <w:tab/>
          </w:r>
          <w:r>
            <w:rPr>
              <w:rFonts w:cs="Times New Roman"/>
              <w:b/>
              <w:bCs/>
              <w:szCs w:val="21"/>
            </w:rPr>
            <w:fldChar w:fldCharType="begin"/>
          </w:r>
          <w:r>
            <w:rPr>
              <w:rFonts w:cs="Times New Roman"/>
              <w:b/>
              <w:bCs/>
              <w:szCs w:val="21"/>
            </w:rPr>
            <w:instrText xml:space="preserve"> PAGEREF _Toc90288247 \h </w:instrText>
          </w:r>
          <w:r>
            <w:rPr>
              <w:rFonts w:cs="Times New Roman"/>
              <w:b/>
              <w:bCs/>
              <w:szCs w:val="21"/>
            </w:rPr>
            <w:fldChar w:fldCharType="separate"/>
          </w:r>
          <w:r>
            <w:rPr>
              <w:rFonts w:cs="Times New Roman"/>
              <w:b/>
              <w:bCs/>
              <w:szCs w:val="21"/>
            </w:rPr>
            <w:t>34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"_Toc90288248" </w:instrText>
          </w:r>
          <w:r>
            <w:fldChar w:fldCharType="separate"/>
          </w:r>
          <w:r>
            <w:rPr>
              <w:rStyle w:val="25"/>
              <w:rFonts w:cs="Times New Roman"/>
              <w:b/>
              <w:bCs/>
              <w:szCs w:val="21"/>
            </w:rPr>
            <w:t>（一）教育教学重要性、满意度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_Toc90288248 \h </w:instrText>
          </w:r>
          <w:r>
            <w:rPr>
              <w:rFonts w:cs="Times New Roman"/>
              <w:b/>
              <w:bCs/>
              <w:szCs w:val="21"/>
            </w:rPr>
            <w:fldChar w:fldCharType="separate"/>
          </w:r>
          <w:r>
            <w:rPr>
              <w:rFonts w:cs="Times New Roman"/>
              <w:b/>
              <w:bCs/>
              <w:szCs w:val="21"/>
            </w:rPr>
            <w:t>34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"_Toc90288249" </w:instrText>
          </w:r>
          <w:r>
            <w:fldChar w:fldCharType="separate"/>
          </w:r>
          <w:r>
            <w:rPr>
              <w:rStyle w:val="25"/>
              <w:rFonts w:cs="Times New Roman"/>
              <w:b/>
              <w:bCs/>
              <w:szCs w:val="21"/>
            </w:rPr>
            <w:t>（二）实践教学重要性、满意度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_Toc90288249 \h </w:instrText>
          </w:r>
          <w:r>
            <w:rPr>
              <w:rFonts w:cs="Times New Roman"/>
              <w:b/>
              <w:bCs/>
              <w:szCs w:val="21"/>
            </w:rPr>
            <w:fldChar w:fldCharType="separate"/>
          </w:r>
          <w:r>
            <w:rPr>
              <w:rFonts w:cs="Times New Roman"/>
              <w:b/>
              <w:bCs/>
              <w:szCs w:val="21"/>
            </w:rPr>
            <w:t>34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"_Toc90288250" </w:instrText>
          </w:r>
          <w:r>
            <w:fldChar w:fldCharType="separate"/>
          </w:r>
          <w:r>
            <w:rPr>
              <w:rStyle w:val="25"/>
              <w:rFonts w:cs="Times New Roman"/>
              <w:b/>
              <w:bCs/>
              <w:szCs w:val="21"/>
            </w:rPr>
            <w:t>（三）教师素质重要性、满意度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_Toc90288250 \h </w:instrText>
          </w:r>
          <w:r>
            <w:rPr>
              <w:rFonts w:cs="Times New Roman"/>
              <w:b/>
              <w:bCs/>
              <w:szCs w:val="21"/>
            </w:rPr>
            <w:fldChar w:fldCharType="separate"/>
          </w:r>
          <w:r>
            <w:rPr>
              <w:rFonts w:cs="Times New Roman"/>
              <w:b/>
              <w:bCs/>
              <w:szCs w:val="21"/>
            </w:rPr>
            <w:t>35</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"_Toc90288251" </w:instrText>
          </w:r>
          <w:r>
            <w:fldChar w:fldCharType="separate"/>
          </w:r>
          <w:r>
            <w:rPr>
              <w:rStyle w:val="25"/>
              <w:rFonts w:cs="Times New Roman"/>
              <w:b/>
              <w:bCs/>
              <w:szCs w:val="21"/>
            </w:rPr>
            <w:t>（四）毕业生自身素质增长评价</w:t>
          </w:r>
          <w:r>
            <w:rPr>
              <w:rFonts w:cs="Times New Roman"/>
              <w:b/>
              <w:bCs/>
              <w:szCs w:val="21"/>
            </w:rPr>
            <w:tab/>
          </w:r>
          <w:r>
            <w:rPr>
              <w:rFonts w:cs="Times New Roman"/>
              <w:b/>
              <w:bCs/>
              <w:szCs w:val="21"/>
            </w:rPr>
            <w:fldChar w:fldCharType="begin"/>
          </w:r>
          <w:r>
            <w:rPr>
              <w:rFonts w:cs="Times New Roman"/>
              <w:b/>
              <w:bCs/>
              <w:szCs w:val="21"/>
            </w:rPr>
            <w:instrText xml:space="preserve"> PAGEREF _Toc90288251 \h </w:instrText>
          </w:r>
          <w:r>
            <w:rPr>
              <w:rFonts w:cs="Times New Roman"/>
              <w:b/>
              <w:bCs/>
              <w:szCs w:val="21"/>
            </w:rPr>
            <w:fldChar w:fldCharType="separate"/>
          </w:r>
          <w:r>
            <w:rPr>
              <w:rFonts w:cs="Times New Roman"/>
              <w:b/>
              <w:bCs/>
              <w:szCs w:val="21"/>
            </w:rPr>
            <w:t>36</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"_Toc90288252" </w:instrText>
          </w:r>
          <w:r>
            <w:fldChar w:fldCharType="separate"/>
          </w:r>
          <w:r>
            <w:rPr>
              <w:rStyle w:val="25"/>
              <w:rFonts w:cs="Times New Roman"/>
              <w:b/>
              <w:bCs/>
              <w:szCs w:val="21"/>
            </w:rPr>
            <w:t>三、就业服务评价</w:t>
          </w:r>
          <w:r>
            <w:rPr>
              <w:rFonts w:cs="Times New Roman"/>
              <w:b/>
              <w:bCs/>
              <w:szCs w:val="21"/>
            </w:rPr>
            <w:tab/>
          </w:r>
          <w:r>
            <w:rPr>
              <w:rFonts w:cs="Times New Roman"/>
              <w:b/>
              <w:bCs/>
              <w:szCs w:val="21"/>
            </w:rPr>
            <w:fldChar w:fldCharType="begin"/>
          </w:r>
          <w:r>
            <w:rPr>
              <w:rFonts w:cs="Times New Roman"/>
              <w:b/>
              <w:bCs/>
              <w:szCs w:val="21"/>
            </w:rPr>
            <w:instrText xml:space="preserve"> PAGEREF _Toc90288252 \h </w:instrText>
          </w:r>
          <w:r>
            <w:rPr>
              <w:rFonts w:cs="Times New Roman"/>
              <w:b/>
              <w:bCs/>
              <w:szCs w:val="21"/>
            </w:rPr>
            <w:fldChar w:fldCharType="separate"/>
          </w:r>
          <w:r>
            <w:rPr>
              <w:rFonts w:cs="Times New Roman"/>
              <w:b/>
              <w:bCs/>
              <w:szCs w:val="21"/>
            </w:rPr>
            <w:t>36</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"_Toc90288253" </w:instrText>
          </w:r>
          <w:r>
            <w:fldChar w:fldCharType="separate"/>
          </w:r>
          <w:r>
            <w:rPr>
              <w:rStyle w:val="25"/>
              <w:rFonts w:cs="Times New Roman"/>
              <w:b/>
              <w:bCs/>
              <w:szCs w:val="21"/>
            </w:rPr>
            <w:t>（一）就业服务总体满意度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_Toc90288253 \h </w:instrText>
          </w:r>
          <w:r>
            <w:rPr>
              <w:rFonts w:cs="Times New Roman"/>
              <w:b/>
              <w:bCs/>
              <w:szCs w:val="21"/>
            </w:rPr>
            <w:fldChar w:fldCharType="separate"/>
          </w:r>
          <w:r>
            <w:rPr>
              <w:rFonts w:cs="Times New Roman"/>
              <w:b/>
              <w:bCs/>
              <w:szCs w:val="21"/>
            </w:rPr>
            <w:t>36</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"_Toc90288254" </w:instrText>
          </w:r>
          <w:r>
            <w:fldChar w:fldCharType="separate"/>
          </w:r>
          <w:r>
            <w:rPr>
              <w:rStyle w:val="25"/>
              <w:rFonts w:cs="Times New Roman"/>
              <w:b/>
              <w:bCs/>
              <w:szCs w:val="21"/>
            </w:rPr>
            <w:t>（二）各项就业服务参与度、有效性</w:t>
          </w:r>
          <w:r>
            <w:rPr>
              <w:rFonts w:cs="Times New Roman"/>
              <w:b/>
              <w:bCs/>
              <w:szCs w:val="21"/>
            </w:rPr>
            <w:tab/>
          </w:r>
          <w:r>
            <w:rPr>
              <w:rFonts w:cs="Times New Roman"/>
              <w:b/>
              <w:bCs/>
              <w:szCs w:val="21"/>
            </w:rPr>
            <w:fldChar w:fldCharType="begin"/>
          </w:r>
          <w:r>
            <w:rPr>
              <w:rFonts w:cs="Times New Roman"/>
              <w:b/>
              <w:bCs/>
              <w:szCs w:val="21"/>
            </w:rPr>
            <w:instrText xml:space="preserve"> PAGEREF _Toc90288254 \h </w:instrText>
          </w:r>
          <w:r>
            <w:rPr>
              <w:rFonts w:cs="Times New Roman"/>
              <w:b/>
              <w:bCs/>
              <w:szCs w:val="21"/>
            </w:rPr>
            <w:fldChar w:fldCharType="separate"/>
          </w:r>
          <w:r>
            <w:rPr>
              <w:rFonts w:cs="Times New Roman"/>
              <w:b/>
              <w:bCs/>
              <w:szCs w:val="21"/>
            </w:rPr>
            <w:t>37</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"_Toc90288255" </w:instrText>
          </w:r>
          <w:r>
            <w:fldChar w:fldCharType="separate"/>
          </w:r>
          <w:r>
            <w:rPr>
              <w:rStyle w:val="25"/>
              <w:rFonts w:cs="Times New Roman"/>
              <w:b/>
              <w:bCs/>
              <w:szCs w:val="21"/>
            </w:rPr>
            <w:t>第六章 社会评价</w:t>
          </w:r>
          <w:r>
            <w:rPr>
              <w:rFonts w:cs="Times New Roman"/>
              <w:b/>
              <w:bCs/>
              <w:szCs w:val="21"/>
            </w:rPr>
            <w:tab/>
          </w:r>
          <w:r>
            <w:rPr>
              <w:rFonts w:cs="Times New Roman"/>
              <w:b/>
              <w:bCs/>
              <w:szCs w:val="21"/>
            </w:rPr>
            <w:fldChar w:fldCharType="begin"/>
          </w:r>
          <w:r>
            <w:rPr>
              <w:rFonts w:cs="Times New Roman"/>
              <w:b/>
              <w:bCs/>
              <w:szCs w:val="21"/>
            </w:rPr>
            <w:instrText xml:space="preserve"> PAGEREF _Toc90288255 \h </w:instrText>
          </w:r>
          <w:r>
            <w:rPr>
              <w:rFonts w:cs="Times New Roman"/>
              <w:b/>
              <w:bCs/>
              <w:szCs w:val="21"/>
            </w:rPr>
            <w:fldChar w:fldCharType="separate"/>
          </w:r>
          <w:r>
            <w:rPr>
              <w:rFonts w:cs="Times New Roman"/>
              <w:b/>
              <w:bCs/>
              <w:szCs w:val="21"/>
            </w:rPr>
            <w:t>38</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"_Toc90288256" </w:instrText>
          </w:r>
          <w:r>
            <w:fldChar w:fldCharType="separate"/>
          </w:r>
          <w:r>
            <w:rPr>
              <w:rStyle w:val="25"/>
              <w:rFonts w:cs="Times New Roman"/>
              <w:b/>
              <w:bCs/>
              <w:szCs w:val="21"/>
            </w:rPr>
            <w:t>一、单位情况</w:t>
          </w:r>
          <w:r>
            <w:rPr>
              <w:rFonts w:cs="Times New Roman"/>
              <w:b/>
              <w:bCs/>
              <w:szCs w:val="21"/>
            </w:rPr>
            <w:tab/>
          </w:r>
          <w:r>
            <w:rPr>
              <w:rFonts w:cs="Times New Roman"/>
              <w:b/>
              <w:bCs/>
              <w:szCs w:val="21"/>
            </w:rPr>
            <w:fldChar w:fldCharType="begin"/>
          </w:r>
          <w:r>
            <w:rPr>
              <w:rFonts w:cs="Times New Roman"/>
              <w:b/>
              <w:bCs/>
              <w:szCs w:val="21"/>
            </w:rPr>
            <w:instrText xml:space="preserve"> PAGEREF _Toc90288256 \h </w:instrText>
          </w:r>
          <w:r>
            <w:rPr>
              <w:rFonts w:cs="Times New Roman"/>
              <w:b/>
              <w:bCs/>
              <w:szCs w:val="21"/>
            </w:rPr>
            <w:fldChar w:fldCharType="separate"/>
          </w:r>
          <w:r>
            <w:rPr>
              <w:rFonts w:cs="Times New Roman"/>
              <w:b/>
              <w:bCs/>
              <w:szCs w:val="21"/>
            </w:rPr>
            <w:t>38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"_Toc90288257" </w:instrText>
          </w:r>
          <w:r>
            <w:fldChar w:fldCharType="separate"/>
          </w:r>
          <w:r>
            <w:rPr>
              <w:rStyle w:val="25"/>
              <w:rFonts w:cs="Times New Roman"/>
              <w:b/>
              <w:bCs/>
              <w:szCs w:val="21"/>
            </w:rPr>
            <w:t>（一）用人单位性质</w:t>
          </w:r>
          <w:r>
            <w:rPr>
              <w:rFonts w:cs="Times New Roman"/>
              <w:b/>
              <w:bCs/>
              <w:szCs w:val="21"/>
            </w:rPr>
            <w:tab/>
          </w:r>
          <w:r>
            <w:rPr>
              <w:rFonts w:cs="Times New Roman"/>
              <w:b/>
              <w:bCs/>
              <w:szCs w:val="21"/>
            </w:rPr>
            <w:fldChar w:fldCharType="begin"/>
          </w:r>
          <w:r>
            <w:rPr>
              <w:rFonts w:cs="Times New Roman"/>
              <w:b/>
              <w:bCs/>
              <w:szCs w:val="21"/>
            </w:rPr>
            <w:instrText xml:space="preserve"> PAGEREF _Toc90288257 \h </w:instrText>
          </w:r>
          <w:r>
            <w:rPr>
              <w:rFonts w:cs="Times New Roman"/>
              <w:b/>
              <w:bCs/>
              <w:szCs w:val="21"/>
            </w:rPr>
            <w:fldChar w:fldCharType="separate"/>
          </w:r>
          <w:r>
            <w:rPr>
              <w:rFonts w:cs="Times New Roman"/>
              <w:b/>
              <w:bCs/>
              <w:szCs w:val="21"/>
            </w:rPr>
            <w:t>38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"_Toc90288258" </w:instrText>
          </w:r>
          <w:r>
            <w:fldChar w:fldCharType="separate"/>
          </w:r>
          <w:r>
            <w:rPr>
              <w:rStyle w:val="25"/>
              <w:rFonts w:cs="Times New Roman"/>
              <w:b/>
              <w:bCs/>
              <w:szCs w:val="21"/>
            </w:rPr>
            <w:t>（二）用人单位规模</w:t>
          </w:r>
          <w:r>
            <w:rPr>
              <w:rFonts w:cs="Times New Roman"/>
              <w:b/>
              <w:bCs/>
              <w:szCs w:val="21"/>
            </w:rPr>
            <w:tab/>
          </w:r>
          <w:r>
            <w:rPr>
              <w:rFonts w:cs="Times New Roman"/>
              <w:b/>
              <w:bCs/>
              <w:szCs w:val="21"/>
            </w:rPr>
            <w:fldChar w:fldCharType="begin"/>
          </w:r>
          <w:r>
            <w:rPr>
              <w:rFonts w:cs="Times New Roman"/>
              <w:b/>
              <w:bCs/>
              <w:szCs w:val="21"/>
            </w:rPr>
            <w:instrText xml:space="preserve"> PAGEREF _Toc90288258 \h </w:instrText>
          </w:r>
          <w:r>
            <w:rPr>
              <w:rFonts w:cs="Times New Roman"/>
              <w:b/>
              <w:bCs/>
              <w:szCs w:val="21"/>
            </w:rPr>
            <w:fldChar w:fldCharType="separate"/>
          </w:r>
          <w:r>
            <w:rPr>
              <w:rFonts w:cs="Times New Roman"/>
              <w:b/>
              <w:bCs/>
              <w:szCs w:val="21"/>
            </w:rPr>
            <w:t>38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"_Toc90288259" </w:instrText>
          </w:r>
          <w:r>
            <w:fldChar w:fldCharType="separate"/>
          </w:r>
          <w:r>
            <w:rPr>
              <w:rStyle w:val="25"/>
              <w:rFonts w:cs="Times New Roman"/>
              <w:b/>
              <w:bCs/>
              <w:szCs w:val="21"/>
            </w:rPr>
            <w:t>（三）用人单位行业</w:t>
          </w:r>
          <w:r>
            <w:rPr>
              <w:rFonts w:cs="Times New Roman"/>
              <w:b/>
              <w:bCs/>
              <w:szCs w:val="21"/>
            </w:rPr>
            <w:tab/>
          </w:r>
          <w:r>
            <w:rPr>
              <w:rFonts w:cs="Times New Roman"/>
              <w:b/>
              <w:bCs/>
              <w:szCs w:val="21"/>
            </w:rPr>
            <w:fldChar w:fldCharType="begin"/>
          </w:r>
          <w:r>
            <w:rPr>
              <w:rFonts w:cs="Times New Roman"/>
              <w:b/>
              <w:bCs/>
              <w:szCs w:val="21"/>
            </w:rPr>
            <w:instrText xml:space="preserve"> PAGEREF _Toc90288259 \h </w:instrText>
          </w:r>
          <w:r>
            <w:rPr>
              <w:rFonts w:cs="Times New Roman"/>
              <w:b/>
              <w:bCs/>
              <w:szCs w:val="21"/>
            </w:rPr>
            <w:fldChar w:fldCharType="separate"/>
          </w:r>
          <w:r>
            <w:rPr>
              <w:rFonts w:cs="Times New Roman"/>
              <w:b/>
              <w:bCs/>
              <w:szCs w:val="21"/>
            </w:rPr>
            <w:t>38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"_Toc90288260" </w:instrText>
          </w:r>
          <w:r>
            <w:fldChar w:fldCharType="separate"/>
          </w:r>
          <w:r>
            <w:rPr>
              <w:rStyle w:val="25"/>
              <w:rFonts w:cs="Times New Roman"/>
              <w:b/>
              <w:bCs/>
              <w:szCs w:val="21"/>
            </w:rPr>
            <w:t>（四）用人单位地区分布</w:t>
          </w:r>
          <w:r>
            <w:rPr>
              <w:rFonts w:cs="Times New Roman"/>
              <w:b/>
              <w:bCs/>
              <w:szCs w:val="21"/>
            </w:rPr>
            <w:tab/>
          </w:r>
          <w:r>
            <w:rPr>
              <w:rFonts w:cs="Times New Roman"/>
              <w:b/>
              <w:bCs/>
              <w:szCs w:val="21"/>
            </w:rPr>
            <w:fldChar w:fldCharType="begin"/>
          </w:r>
          <w:r>
            <w:rPr>
              <w:rFonts w:cs="Times New Roman"/>
              <w:b/>
              <w:bCs/>
              <w:szCs w:val="21"/>
            </w:rPr>
            <w:instrText xml:space="preserve"> PAGEREF _Toc90288260 \h </w:instrText>
          </w:r>
          <w:r>
            <w:rPr>
              <w:rFonts w:cs="Times New Roman"/>
              <w:b/>
              <w:bCs/>
              <w:szCs w:val="21"/>
            </w:rPr>
            <w:fldChar w:fldCharType="separate"/>
          </w:r>
          <w:r>
            <w:rPr>
              <w:rFonts w:cs="Times New Roman"/>
              <w:b/>
              <w:bCs/>
              <w:szCs w:val="21"/>
            </w:rPr>
            <w:t>39</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"_Toc90288261" </w:instrText>
          </w:r>
          <w:r>
            <w:fldChar w:fldCharType="separate"/>
          </w:r>
          <w:r>
            <w:rPr>
              <w:rStyle w:val="25"/>
              <w:rFonts w:cs="Times New Roman"/>
              <w:b/>
              <w:bCs/>
              <w:szCs w:val="21"/>
            </w:rPr>
            <w:t>二、招聘分析</w:t>
          </w:r>
          <w:r>
            <w:rPr>
              <w:rFonts w:cs="Times New Roman"/>
              <w:b/>
              <w:bCs/>
              <w:szCs w:val="21"/>
            </w:rPr>
            <w:tab/>
          </w:r>
          <w:r>
            <w:rPr>
              <w:rFonts w:cs="Times New Roman"/>
              <w:b/>
              <w:bCs/>
              <w:szCs w:val="21"/>
            </w:rPr>
            <w:fldChar w:fldCharType="begin"/>
          </w:r>
          <w:r>
            <w:rPr>
              <w:rFonts w:cs="Times New Roman"/>
              <w:b/>
              <w:bCs/>
              <w:szCs w:val="21"/>
            </w:rPr>
            <w:instrText xml:space="preserve"> PAGEREF _Toc90288261 \h </w:instrText>
          </w:r>
          <w:r>
            <w:rPr>
              <w:rFonts w:cs="Times New Roman"/>
              <w:b/>
              <w:bCs/>
              <w:szCs w:val="21"/>
            </w:rPr>
            <w:fldChar w:fldCharType="separate"/>
          </w:r>
          <w:r>
            <w:rPr>
              <w:rFonts w:cs="Times New Roman"/>
              <w:b/>
              <w:bCs/>
              <w:szCs w:val="21"/>
            </w:rPr>
            <w:t>39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"_Toc90288262" </w:instrText>
          </w:r>
          <w:r>
            <w:fldChar w:fldCharType="separate"/>
          </w:r>
          <w:r>
            <w:rPr>
              <w:rStyle w:val="25"/>
              <w:rFonts w:cs="Times New Roman"/>
              <w:b/>
              <w:bCs/>
              <w:szCs w:val="21"/>
            </w:rPr>
            <w:t>（一）招聘规模变化</w:t>
          </w:r>
          <w:r>
            <w:rPr>
              <w:rFonts w:cs="Times New Roman"/>
              <w:b/>
              <w:bCs/>
              <w:szCs w:val="21"/>
            </w:rPr>
            <w:tab/>
          </w:r>
          <w:r>
            <w:rPr>
              <w:rFonts w:cs="Times New Roman"/>
              <w:b/>
              <w:bCs/>
              <w:szCs w:val="21"/>
            </w:rPr>
            <w:fldChar w:fldCharType="begin"/>
          </w:r>
          <w:r>
            <w:rPr>
              <w:rFonts w:cs="Times New Roman"/>
              <w:b/>
              <w:bCs/>
              <w:szCs w:val="21"/>
            </w:rPr>
            <w:instrText xml:space="preserve"> PAGEREF _Toc90288262 \h </w:instrText>
          </w:r>
          <w:r>
            <w:rPr>
              <w:rFonts w:cs="Times New Roman"/>
              <w:b/>
              <w:bCs/>
              <w:szCs w:val="21"/>
            </w:rPr>
            <w:fldChar w:fldCharType="separate"/>
          </w:r>
          <w:r>
            <w:rPr>
              <w:rFonts w:cs="Times New Roman"/>
              <w:b/>
              <w:bCs/>
              <w:szCs w:val="21"/>
            </w:rPr>
            <w:t>39</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"_Toc90288263" </w:instrText>
          </w:r>
          <w:r>
            <w:fldChar w:fldCharType="separate"/>
          </w:r>
          <w:r>
            <w:rPr>
              <w:rStyle w:val="25"/>
              <w:rFonts w:cs="Times New Roman"/>
              <w:b/>
              <w:bCs/>
              <w:szCs w:val="21"/>
            </w:rPr>
            <w:t>（二）单位粘稠度</w:t>
          </w:r>
          <w:r>
            <w:rPr>
              <w:rFonts w:cs="Times New Roman"/>
              <w:b/>
              <w:bCs/>
              <w:szCs w:val="21"/>
            </w:rPr>
            <w:tab/>
          </w:r>
          <w:r>
            <w:rPr>
              <w:rFonts w:cs="Times New Roman"/>
              <w:b/>
              <w:bCs/>
              <w:szCs w:val="21"/>
            </w:rPr>
            <w:fldChar w:fldCharType="begin"/>
          </w:r>
          <w:r>
            <w:rPr>
              <w:rFonts w:cs="Times New Roman"/>
              <w:b/>
              <w:bCs/>
              <w:szCs w:val="21"/>
            </w:rPr>
            <w:instrText xml:space="preserve"> PAGEREF _Toc90288263 \h </w:instrText>
          </w:r>
          <w:r>
            <w:rPr>
              <w:rFonts w:cs="Times New Roman"/>
              <w:b/>
              <w:bCs/>
              <w:szCs w:val="21"/>
            </w:rPr>
            <w:fldChar w:fldCharType="separate"/>
          </w:r>
          <w:r>
            <w:rPr>
              <w:rFonts w:cs="Times New Roman"/>
              <w:b/>
              <w:bCs/>
              <w:szCs w:val="21"/>
            </w:rPr>
            <w:t>40</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"_Toc90288264" </w:instrText>
          </w:r>
          <w:r>
            <w:fldChar w:fldCharType="separate"/>
          </w:r>
          <w:r>
            <w:rPr>
              <w:rStyle w:val="25"/>
              <w:rFonts w:cs="Times New Roman"/>
              <w:b/>
              <w:bCs/>
              <w:szCs w:val="21"/>
            </w:rPr>
            <w:t>（三）专业关注度</w:t>
          </w:r>
          <w:r>
            <w:rPr>
              <w:rFonts w:cs="Times New Roman"/>
              <w:b/>
              <w:bCs/>
              <w:szCs w:val="21"/>
            </w:rPr>
            <w:tab/>
          </w:r>
          <w:r>
            <w:rPr>
              <w:rFonts w:cs="Times New Roman"/>
              <w:b/>
              <w:bCs/>
              <w:szCs w:val="21"/>
            </w:rPr>
            <w:fldChar w:fldCharType="begin"/>
          </w:r>
          <w:r>
            <w:rPr>
              <w:rFonts w:cs="Times New Roman"/>
              <w:b/>
              <w:bCs/>
              <w:szCs w:val="21"/>
            </w:rPr>
            <w:instrText xml:space="preserve"> PAGEREF _Toc90288264 \h </w:instrText>
          </w:r>
          <w:r>
            <w:rPr>
              <w:rFonts w:cs="Times New Roman"/>
              <w:b/>
              <w:bCs/>
              <w:szCs w:val="21"/>
            </w:rPr>
            <w:fldChar w:fldCharType="separate"/>
          </w:r>
          <w:r>
            <w:rPr>
              <w:rFonts w:cs="Times New Roman"/>
              <w:b/>
              <w:bCs/>
              <w:szCs w:val="21"/>
            </w:rPr>
            <w:t>40</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"_Toc90288265" </w:instrText>
          </w:r>
          <w:r>
            <w:fldChar w:fldCharType="separate"/>
          </w:r>
          <w:r>
            <w:rPr>
              <w:rStyle w:val="25"/>
              <w:rFonts w:cs="Times New Roman"/>
              <w:b/>
              <w:bCs/>
              <w:szCs w:val="21"/>
            </w:rPr>
            <w:t>（四）招聘遇到的困难</w:t>
          </w:r>
          <w:r>
            <w:rPr>
              <w:rFonts w:cs="Times New Roman"/>
              <w:b/>
              <w:bCs/>
              <w:szCs w:val="21"/>
            </w:rPr>
            <w:tab/>
          </w:r>
          <w:r>
            <w:rPr>
              <w:rFonts w:cs="Times New Roman"/>
              <w:b/>
              <w:bCs/>
              <w:szCs w:val="21"/>
            </w:rPr>
            <w:fldChar w:fldCharType="begin"/>
          </w:r>
          <w:r>
            <w:rPr>
              <w:rFonts w:cs="Times New Roman"/>
              <w:b/>
              <w:bCs/>
              <w:szCs w:val="21"/>
            </w:rPr>
            <w:instrText xml:space="preserve"> PAGEREF _Toc90288265 \h </w:instrText>
          </w:r>
          <w:r>
            <w:rPr>
              <w:rFonts w:cs="Times New Roman"/>
              <w:b/>
              <w:bCs/>
              <w:szCs w:val="21"/>
            </w:rPr>
            <w:fldChar w:fldCharType="separate"/>
          </w:r>
          <w:r>
            <w:rPr>
              <w:rFonts w:cs="Times New Roman"/>
              <w:b/>
              <w:bCs/>
              <w:szCs w:val="21"/>
            </w:rPr>
            <w:t>41</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"_Toc90288266" </w:instrText>
          </w:r>
          <w:r>
            <w:fldChar w:fldCharType="separate"/>
          </w:r>
          <w:r>
            <w:rPr>
              <w:rStyle w:val="25"/>
              <w:rFonts w:cs="Times New Roman"/>
              <w:b/>
              <w:bCs/>
              <w:szCs w:val="21"/>
            </w:rPr>
            <w:t>三、聘用评价</w:t>
          </w:r>
          <w:r>
            <w:rPr>
              <w:rFonts w:cs="Times New Roman"/>
              <w:b/>
              <w:bCs/>
              <w:szCs w:val="21"/>
            </w:rPr>
            <w:tab/>
          </w:r>
          <w:r>
            <w:rPr>
              <w:rFonts w:cs="Times New Roman"/>
              <w:b/>
              <w:bCs/>
              <w:szCs w:val="21"/>
            </w:rPr>
            <w:fldChar w:fldCharType="begin"/>
          </w:r>
          <w:r>
            <w:rPr>
              <w:rFonts w:cs="Times New Roman"/>
              <w:b/>
              <w:bCs/>
              <w:szCs w:val="21"/>
            </w:rPr>
            <w:instrText xml:space="preserve"> PAGEREF _Toc90288266 \h </w:instrText>
          </w:r>
          <w:r>
            <w:rPr>
              <w:rFonts w:cs="Times New Roman"/>
              <w:b/>
              <w:bCs/>
              <w:szCs w:val="21"/>
            </w:rPr>
            <w:fldChar w:fldCharType="separate"/>
          </w:r>
          <w:r>
            <w:rPr>
              <w:rFonts w:cs="Times New Roman"/>
              <w:b/>
              <w:bCs/>
              <w:szCs w:val="21"/>
            </w:rPr>
            <w:t>41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"_Toc90288267" </w:instrText>
          </w:r>
          <w:r>
            <w:fldChar w:fldCharType="separate"/>
          </w:r>
          <w:r>
            <w:rPr>
              <w:rStyle w:val="25"/>
              <w:rFonts w:cs="Times New Roman"/>
              <w:b/>
              <w:bCs/>
              <w:szCs w:val="21"/>
            </w:rPr>
            <w:t>（一）对毕业生满意度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_Toc90288267 \h </w:instrText>
          </w:r>
          <w:r>
            <w:rPr>
              <w:rFonts w:cs="Times New Roman"/>
              <w:b/>
              <w:bCs/>
              <w:szCs w:val="21"/>
            </w:rPr>
            <w:fldChar w:fldCharType="separate"/>
          </w:r>
          <w:r>
            <w:rPr>
              <w:rFonts w:cs="Times New Roman"/>
              <w:b/>
              <w:bCs/>
              <w:szCs w:val="21"/>
            </w:rPr>
            <w:t>41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"_Toc90288268" </w:instrText>
          </w:r>
          <w:r>
            <w:fldChar w:fldCharType="separate"/>
          </w:r>
          <w:r>
            <w:rPr>
              <w:rStyle w:val="25"/>
              <w:rFonts w:cs="Times New Roman"/>
              <w:b/>
              <w:bCs/>
              <w:szCs w:val="21"/>
            </w:rPr>
            <w:t>（二）毕业生岗位胜任力评价</w:t>
          </w:r>
          <w:r>
            <w:rPr>
              <w:rFonts w:cs="Times New Roman"/>
              <w:b/>
              <w:bCs/>
              <w:szCs w:val="21"/>
            </w:rPr>
            <w:tab/>
          </w:r>
          <w:r>
            <w:rPr>
              <w:rFonts w:cs="Times New Roman"/>
              <w:b/>
              <w:bCs/>
              <w:szCs w:val="21"/>
            </w:rPr>
            <w:fldChar w:fldCharType="begin"/>
          </w:r>
          <w:r>
            <w:rPr>
              <w:rFonts w:cs="Times New Roman"/>
              <w:b/>
              <w:bCs/>
              <w:szCs w:val="21"/>
            </w:rPr>
            <w:instrText xml:space="preserve"> PAGEREF _Toc90288268 \h </w:instrText>
          </w:r>
          <w:r>
            <w:rPr>
              <w:rFonts w:cs="Times New Roman"/>
              <w:b/>
              <w:bCs/>
              <w:szCs w:val="21"/>
            </w:rPr>
            <w:fldChar w:fldCharType="separate"/>
          </w:r>
          <w:r>
            <w:rPr>
              <w:rFonts w:cs="Times New Roman"/>
              <w:b/>
              <w:bCs/>
              <w:szCs w:val="21"/>
            </w:rPr>
            <w:t>42</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"_Toc90288269" </w:instrText>
          </w:r>
          <w:r>
            <w:fldChar w:fldCharType="separate"/>
          </w:r>
          <w:r>
            <w:rPr>
              <w:rStyle w:val="25"/>
              <w:rFonts w:cs="Times New Roman"/>
              <w:b/>
              <w:bCs/>
              <w:szCs w:val="21"/>
            </w:rPr>
            <w:t>四、就业服务评价</w:t>
          </w:r>
          <w:r>
            <w:rPr>
              <w:rFonts w:cs="Times New Roman"/>
              <w:b/>
              <w:bCs/>
              <w:szCs w:val="21"/>
            </w:rPr>
            <w:tab/>
          </w:r>
          <w:r>
            <w:rPr>
              <w:rFonts w:cs="Times New Roman"/>
              <w:b/>
              <w:bCs/>
              <w:szCs w:val="21"/>
            </w:rPr>
            <w:fldChar w:fldCharType="begin"/>
          </w:r>
          <w:r>
            <w:rPr>
              <w:rFonts w:cs="Times New Roman"/>
              <w:b/>
              <w:bCs/>
              <w:szCs w:val="21"/>
            </w:rPr>
            <w:instrText xml:space="preserve"> PAGEREF _Toc90288269 \h </w:instrText>
          </w:r>
          <w:r>
            <w:rPr>
              <w:rFonts w:cs="Times New Roman"/>
              <w:b/>
              <w:bCs/>
              <w:szCs w:val="21"/>
            </w:rPr>
            <w:fldChar w:fldCharType="separate"/>
          </w:r>
          <w:r>
            <w:rPr>
              <w:rFonts w:cs="Times New Roman"/>
              <w:b/>
              <w:bCs/>
              <w:szCs w:val="21"/>
            </w:rPr>
            <w:t>43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"_Toc90288270" </w:instrText>
          </w:r>
          <w:r>
            <w:fldChar w:fldCharType="separate"/>
          </w:r>
          <w:r>
            <w:rPr>
              <w:rStyle w:val="25"/>
              <w:rFonts w:cs="Times New Roman"/>
              <w:b/>
              <w:bCs/>
              <w:szCs w:val="21"/>
            </w:rPr>
            <w:t>（一）就业服务总体满意度</w:t>
          </w:r>
          <w:r>
            <w:rPr>
              <w:rFonts w:cs="Times New Roman"/>
              <w:b/>
              <w:bCs/>
              <w:szCs w:val="21"/>
            </w:rPr>
            <w:tab/>
          </w:r>
          <w:r>
            <w:rPr>
              <w:rFonts w:cs="Times New Roman"/>
              <w:b/>
              <w:bCs/>
              <w:szCs w:val="21"/>
            </w:rPr>
            <w:fldChar w:fldCharType="begin"/>
          </w:r>
          <w:r>
            <w:rPr>
              <w:rFonts w:cs="Times New Roman"/>
              <w:b/>
              <w:bCs/>
              <w:szCs w:val="21"/>
            </w:rPr>
            <w:instrText xml:space="preserve"> PAGEREF _Toc90288270 \h </w:instrText>
          </w:r>
          <w:r>
            <w:rPr>
              <w:rFonts w:cs="Times New Roman"/>
              <w:b/>
              <w:bCs/>
              <w:szCs w:val="21"/>
            </w:rPr>
            <w:fldChar w:fldCharType="separate"/>
          </w:r>
          <w:r>
            <w:rPr>
              <w:rFonts w:cs="Times New Roman"/>
              <w:b/>
              <w:bCs/>
              <w:szCs w:val="21"/>
            </w:rPr>
            <w:t>43</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"_Toc90288271" </w:instrText>
          </w:r>
          <w:r>
            <w:fldChar w:fldCharType="separate"/>
          </w:r>
          <w:r>
            <w:rPr>
              <w:rStyle w:val="25"/>
              <w:rFonts w:cs="Times New Roman"/>
              <w:b/>
              <w:bCs/>
              <w:szCs w:val="21"/>
            </w:rPr>
            <w:t>（二）各项就业服务满意度、重要性</w:t>
          </w:r>
          <w:r>
            <w:rPr>
              <w:rFonts w:cs="Times New Roman"/>
              <w:b/>
              <w:bCs/>
              <w:szCs w:val="21"/>
            </w:rPr>
            <w:tab/>
          </w:r>
          <w:r>
            <w:rPr>
              <w:rFonts w:cs="Times New Roman"/>
              <w:b/>
              <w:bCs/>
              <w:szCs w:val="21"/>
            </w:rPr>
            <w:fldChar w:fldCharType="begin"/>
          </w:r>
          <w:r>
            <w:rPr>
              <w:rFonts w:cs="Times New Roman"/>
              <w:b/>
              <w:bCs/>
              <w:szCs w:val="21"/>
            </w:rPr>
            <w:instrText xml:space="preserve"> PAGEREF _Toc90288271 \h </w:instrText>
          </w:r>
          <w:r>
            <w:rPr>
              <w:rFonts w:cs="Times New Roman"/>
              <w:b/>
              <w:bCs/>
              <w:szCs w:val="21"/>
            </w:rPr>
            <w:fldChar w:fldCharType="separate"/>
          </w:r>
          <w:r>
            <w:rPr>
              <w:rFonts w:cs="Times New Roman"/>
              <w:b/>
              <w:bCs/>
              <w:szCs w:val="21"/>
            </w:rPr>
            <w:t>43</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"_Toc90288272" </w:instrText>
          </w:r>
          <w:r>
            <w:fldChar w:fldCharType="separate"/>
          </w:r>
          <w:r>
            <w:rPr>
              <w:rStyle w:val="25"/>
              <w:rFonts w:cs="Times New Roman"/>
              <w:b/>
              <w:bCs/>
              <w:szCs w:val="21"/>
            </w:rPr>
            <w:t>第七章 就业创业工作举措</w:t>
          </w:r>
          <w:r>
            <w:rPr>
              <w:rFonts w:cs="Times New Roman"/>
              <w:b/>
              <w:bCs/>
              <w:szCs w:val="21"/>
            </w:rPr>
            <w:tab/>
          </w:r>
          <w:r>
            <w:rPr>
              <w:rFonts w:cs="Times New Roman"/>
              <w:b/>
              <w:bCs/>
              <w:szCs w:val="21"/>
            </w:rPr>
            <w:fldChar w:fldCharType="begin"/>
          </w:r>
          <w:r>
            <w:rPr>
              <w:rFonts w:cs="Times New Roman"/>
              <w:b/>
              <w:bCs/>
              <w:szCs w:val="21"/>
            </w:rPr>
            <w:instrText xml:space="preserve"> PAGEREF _Toc90288272 \h </w:instrText>
          </w:r>
          <w:r>
            <w:rPr>
              <w:rFonts w:cs="Times New Roman"/>
              <w:b/>
              <w:bCs/>
              <w:szCs w:val="21"/>
            </w:rPr>
            <w:fldChar w:fldCharType="separate"/>
          </w:r>
          <w:r>
            <w:rPr>
              <w:rFonts w:cs="Times New Roman"/>
              <w:b/>
              <w:bCs/>
              <w:szCs w:val="21"/>
            </w:rPr>
            <w:t>45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"_Toc90288273" </w:instrText>
          </w:r>
          <w:r>
            <w:fldChar w:fldCharType="separate"/>
          </w:r>
          <w:r>
            <w:rPr>
              <w:rStyle w:val="25"/>
              <w:rFonts w:cs="Times New Roman"/>
              <w:b/>
              <w:bCs/>
              <w:szCs w:val="21"/>
            </w:rPr>
            <w:t>一、提高政治站位，夯实工作责任</w:t>
          </w:r>
          <w:r>
            <w:rPr>
              <w:rFonts w:cs="Times New Roman"/>
              <w:b/>
              <w:bCs/>
              <w:szCs w:val="21"/>
            </w:rPr>
            <w:tab/>
          </w:r>
          <w:r>
            <w:rPr>
              <w:rFonts w:cs="Times New Roman"/>
              <w:b/>
              <w:bCs/>
              <w:szCs w:val="21"/>
            </w:rPr>
            <w:fldChar w:fldCharType="begin"/>
          </w:r>
          <w:r>
            <w:rPr>
              <w:rFonts w:cs="Times New Roman"/>
              <w:b/>
              <w:bCs/>
              <w:szCs w:val="21"/>
            </w:rPr>
            <w:instrText xml:space="preserve"> PAGEREF _Toc90288273 \h </w:instrText>
          </w:r>
          <w:r>
            <w:rPr>
              <w:rFonts w:cs="Times New Roman"/>
              <w:b/>
              <w:bCs/>
              <w:szCs w:val="21"/>
            </w:rPr>
            <w:fldChar w:fldCharType="separate"/>
          </w:r>
          <w:r>
            <w:rPr>
              <w:rFonts w:cs="Times New Roman"/>
              <w:b/>
              <w:bCs/>
              <w:szCs w:val="21"/>
            </w:rPr>
            <w:t>45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"_Toc90288274" </w:instrText>
          </w:r>
          <w:r>
            <w:fldChar w:fldCharType="separate"/>
          </w:r>
          <w:r>
            <w:rPr>
              <w:rStyle w:val="25"/>
              <w:rFonts w:cs="Times New Roman"/>
              <w:b/>
              <w:bCs/>
              <w:szCs w:val="21"/>
            </w:rPr>
            <w:t>二、加强数据核查，做好精准跟踪</w:t>
          </w:r>
          <w:r>
            <w:rPr>
              <w:rFonts w:cs="Times New Roman"/>
              <w:b/>
              <w:bCs/>
              <w:szCs w:val="21"/>
            </w:rPr>
            <w:tab/>
          </w:r>
          <w:r>
            <w:rPr>
              <w:rFonts w:cs="Times New Roman"/>
              <w:b/>
              <w:bCs/>
              <w:szCs w:val="21"/>
            </w:rPr>
            <w:fldChar w:fldCharType="begin"/>
          </w:r>
          <w:r>
            <w:rPr>
              <w:rFonts w:cs="Times New Roman"/>
              <w:b/>
              <w:bCs/>
              <w:szCs w:val="21"/>
            </w:rPr>
            <w:instrText xml:space="preserve"> PAGEREF _Toc90288274 \h </w:instrText>
          </w:r>
          <w:r>
            <w:rPr>
              <w:rFonts w:cs="Times New Roman"/>
              <w:b/>
              <w:bCs/>
              <w:szCs w:val="21"/>
            </w:rPr>
            <w:fldChar w:fldCharType="separate"/>
          </w:r>
          <w:r>
            <w:rPr>
              <w:rFonts w:cs="Times New Roman"/>
              <w:b/>
              <w:bCs/>
              <w:szCs w:val="21"/>
            </w:rPr>
            <w:t>45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"_Toc90288275" </w:instrText>
          </w:r>
          <w:r>
            <w:fldChar w:fldCharType="separate"/>
          </w:r>
          <w:r>
            <w:rPr>
              <w:rStyle w:val="25"/>
              <w:rFonts w:cs="Times New Roman"/>
              <w:b/>
              <w:bCs/>
              <w:szCs w:val="21"/>
            </w:rPr>
            <w:t>三、多措并举，积极推动毕业生就业</w:t>
          </w:r>
          <w:r>
            <w:rPr>
              <w:rFonts w:cs="Times New Roman"/>
              <w:b/>
              <w:bCs/>
              <w:szCs w:val="21"/>
            </w:rPr>
            <w:tab/>
          </w:r>
          <w:r>
            <w:rPr>
              <w:rFonts w:cs="Times New Roman"/>
              <w:b/>
              <w:bCs/>
              <w:szCs w:val="21"/>
            </w:rPr>
            <w:fldChar w:fldCharType="begin"/>
          </w:r>
          <w:r>
            <w:rPr>
              <w:rFonts w:cs="Times New Roman"/>
              <w:b/>
              <w:bCs/>
              <w:szCs w:val="21"/>
            </w:rPr>
            <w:instrText xml:space="preserve"> PAGEREF _Toc90288275 \h </w:instrText>
          </w:r>
          <w:r>
            <w:rPr>
              <w:rFonts w:cs="Times New Roman"/>
              <w:b/>
              <w:bCs/>
              <w:szCs w:val="21"/>
            </w:rPr>
            <w:fldChar w:fldCharType="separate"/>
          </w:r>
          <w:r>
            <w:rPr>
              <w:rFonts w:cs="Times New Roman"/>
              <w:b/>
              <w:bCs/>
              <w:szCs w:val="21"/>
            </w:rPr>
            <w:t>45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"_Toc90288276" </w:instrText>
          </w:r>
          <w:r>
            <w:fldChar w:fldCharType="separate"/>
          </w:r>
          <w:r>
            <w:rPr>
              <w:rStyle w:val="25"/>
              <w:rFonts w:cs="Times New Roman"/>
              <w:b/>
              <w:bCs/>
              <w:szCs w:val="21"/>
            </w:rPr>
            <w:t>四、强化价值引领，响应国家需求</w:t>
          </w:r>
          <w:r>
            <w:rPr>
              <w:rFonts w:cs="Times New Roman"/>
              <w:b/>
              <w:bCs/>
              <w:szCs w:val="21"/>
            </w:rPr>
            <w:tab/>
          </w:r>
          <w:r>
            <w:rPr>
              <w:rFonts w:cs="Times New Roman"/>
              <w:b/>
              <w:bCs/>
              <w:szCs w:val="21"/>
            </w:rPr>
            <w:fldChar w:fldCharType="begin"/>
          </w:r>
          <w:r>
            <w:rPr>
              <w:rFonts w:cs="Times New Roman"/>
              <w:b/>
              <w:bCs/>
              <w:szCs w:val="21"/>
            </w:rPr>
            <w:instrText xml:space="preserve"> PAGEREF _Toc90288276 \h </w:instrText>
          </w:r>
          <w:r>
            <w:rPr>
              <w:rFonts w:cs="Times New Roman"/>
              <w:b/>
              <w:bCs/>
              <w:szCs w:val="21"/>
            </w:rPr>
            <w:fldChar w:fldCharType="separate"/>
          </w:r>
          <w:r>
            <w:rPr>
              <w:rFonts w:cs="Times New Roman"/>
              <w:b/>
              <w:bCs/>
              <w:szCs w:val="21"/>
            </w:rPr>
            <w:t>46</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"_Toc90288277" </w:instrText>
          </w:r>
          <w:r>
            <w:fldChar w:fldCharType="separate"/>
          </w:r>
          <w:r>
            <w:rPr>
              <w:rStyle w:val="25"/>
              <w:rFonts w:cs="Times New Roman"/>
              <w:b/>
              <w:bCs/>
              <w:szCs w:val="21"/>
            </w:rPr>
            <w:t>第八章 优秀就业毕业生典型案例</w:t>
          </w:r>
          <w:r>
            <w:rPr>
              <w:rFonts w:cs="Times New Roman"/>
              <w:b/>
              <w:bCs/>
              <w:szCs w:val="21"/>
            </w:rPr>
            <w:tab/>
          </w:r>
          <w:r>
            <w:rPr>
              <w:rFonts w:cs="Times New Roman"/>
              <w:b/>
              <w:bCs/>
              <w:szCs w:val="21"/>
            </w:rPr>
            <w:fldChar w:fldCharType="begin"/>
          </w:r>
          <w:r>
            <w:rPr>
              <w:rFonts w:cs="Times New Roman"/>
              <w:b/>
              <w:bCs/>
              <w:szCs w:val="21"/>
            </w:rPr>
            <w:instrText xml:space="preserve"> PAGEREF _Toc90288277 \h </w:instrText>
          </w:r>
          <w:r>
            <w:rPr>
              <w:rFonts w:cs="Times New Roman"/>
              <w:b/>
              <w:bCs/>
              <w:szCs w:val="21"/>
            </w:rPr>
            <w:fldChar w:fldCharType="separate"/>
          </w:r>
          <w:r>
            <w:rPr>
              <w:rFonts w:cs="Times New Roman"/>
              <w:b/>
              <w:bCs/>
              <w:szCs w:val="21"/>
            </w:rPr>
            <w:t>47</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"_Toc90288278" </w:instrText>
          </w:r>
          <w:r>
            <w:fldChar w:fldCharType="separate"/>
          </w:r>
          <w:r>
            <w:rPr>
              <w:rStyle w:val="25"/>
              <w:rFonts w:cs="Times New Roman"/>
              <w:b/>
              <w:bCs/>
              <w:szCs w:val="21"/>
            </w:rPr>
            <w:t>（一）考研</w:t>
          </w:r>
          <w:r>
            <w:rPr>
              <w:rFonts w:cs="Times New Roman"/>
              <w:b/>
              <w:bCs/>
              <w:szCs w:val="21"/>
            </w:rPr>
            <w:tab/>
          </w:r>
          <w:r>
            <w:rPr>
              <w:rFonts w:cs="Times New Roman"/>
              <w:b/>
              <w:bCs/>
              <w:szCs w:val="21"/>
            </w:rPr>
            <w:fldChar w:fldCharType="begin"/>
          </w:r>
          <w:r>
            <w:rPr>
              <w:rFonts w:cs="Times New Roman"/>
              <w:b/>
              <w:bCs/>
              <w:szCs w:val="21"/>
            </w:rPr>
            <w:instrText xml:space="preserve"> PAGEREF _Toc90288278 \h </w:instrText>
          </w:r>
          <w:r>
            <w:rPr>
              <w:rFonts w:cs="Times New Roman"/>
              <w:b/>
              <w:bCs/>
              <w:szCs w:val="21"/>
            </w:rPr>
            <w:fldChar w:fldCharType="separate"/>
          </w:r>
          <w:r>
            <w:rPr>
              <w:rFonts w:cs="Times New Roman"/>
              <w:b/>
              <w:bCs/>
              <w:szCs w:val="21"/>
            </w:rPr>
            <w:t>47</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"_Toc90288279" </w:instrText>
          </w:r>
          <w:r>
            <w:fldChar w:fldCharType="separate"/>
          </w:r>
          <w:r>
            <w:rPr>
              <w:rStyle w:val="25"/>
              <w:rFonts w:cs="Times New Roman"/>
              <w:b/>
              <w:bCs/>
              <w:szCs w:val="21"/>
            </w:rPr>
            <w:t>（二）国有企业</w:t>
          </w:r>
          <w:r>
            <w:rPr>
              <w:rFonts w:cs="Times New Roman"/>
              <w:b/>
              <w:bCs/>
              <w:szCs w:val="21"/>
            </w:rPr>
            <w:tab/>
          </w:r>
          <w:r>
            <w:rPr>
              <w:rFonts w:cs="Times New Roman"/>
              <w:b/>
              <w:bCs/>
              <w:szCs w:val="21"/>
            </w:rPr>
            <w:fldChar w:fldCharType="begin"/>
          </w:r>
          <w:r>
            <w:rPr>
              <w:rFonts w:cs="Times New Roman"/>
              <w:b/>
              <w:bCs/>
              <w:szCs w:val="21"/>
            </w:rPr>
            <w:instrText xml:space="preserve"> PAGEREF _Toc90288279 \h </w:instrText>
          </w:r>
          <w:r>
            <w:rPr>
              <w:rFonts w:cs="Times New Roman"/>
              <w:b/>
              <w:bCs/>
              <w:szCs w:val="21"/>
            </w:rPr>
            <w:fldChar w:fldCharType="separate"/>
          </w:r>
          <w:r>
            <w:rPr>
              <w:rFonts w:cs="Times New Roman"/>
              <w:b/>
              <w:bCs/>
              <w:szCs w:val="21"/>
            </w:rPr>
            <w:t>48</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"_Toc90288280" </w:instrText>
          </w:r>
          <w:r>
            <w:fldChar w:fldCharType="separate"/>
          </w:r>
          <w:r>
            <w:rPr>
              <w:rStyle w:val="25"/>
              <w:rFonts w:cs="Times New Roman"/>
              <w:b/>
              <w:bCs/>
              <w:szCs w:val="21"/>
            </w:rPr>
            <w:t>（三）事业单位</w:t>
          </w:r>
          <w:r>
            <w:rPr>
              <w:rFonts w:cs="Times New Roman"/>
              <w:b/>
              <w:bCs/>
              <w:szCs w:val="21"/>
            </w:rPr>
            <w:tab/>
          </w:r>
          <w:r>
            <w:rPr>
              <w:rFonts w:cs="Times New Roman"/>
              <w:b/>
              <w:bCs/>
              <w:szCs w:val="21"/>
            </w:rPr>
            <w:fldChar w:fldCharType="begin"/>
          </w:r>
          <w:r>
            <w:rPr>
              <w:rFonts w:cs="Times New Roman"/>
              <w:b/>
              <w:bCs/>
              <w:szCs w:val="21"/>
            </w:rPr>
            <w:instrText xml:space="preserve"> PAGEREF _Toc90288280 \h </w:instrText>
          </w:r>
          <w:r>
            <w:rPr>
              <w:rFonts w:cs="Times New Roman"/>
              <w:b/>
              <w:bCs/>
              <w:szCs w:val="21"/>
            </w:rPr>
            <w:fldChar w:fldCharType="separate"/>
          </w:r>
          <w:r>
            <w:rPr>
              <w:rFonts w:cs="Times New Roman"/>
              <w:b/>
              <w:bCs/>
              <w:szCs w:val="21"/>
            </w:rPr>
            <w:t>50</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"_Toc90288281" </w:instrText>
          </w:r>
          <w:r>
            <w:fldChar w:fldCharType="separate"/>
          </w:r>
          <w:r>
            <w:rPr>
              <w:rStyle w:val="25"/>
              <w:rFonts w:cs="Times New Roman"/>
              <w:b/>
              <w:bCs/>
              <w:szCs w:val="21"/>
            </w:rPr>
            <w:t>（四）社区工作者 （党务工作者）</w:t>
          </w:r>
          <w:r>
            <w:rPr>
              <w:rFonts w:cs="Times New Roman"/>
              <w:b/>
              <w:bCs/>
              <w:szCs w:val="21"/>
            </w:rPr>
            <w:tab/>
          </w:r>
          <w:r>
            <w:rPr>
              <w:rFonts w:cs="Times New Roman"/>
              <w:b/>
              <w:bCs/>
              <w:szCs w:val="21"/>
            </w:rPr>
            <w:fldChar w:fldCharType="begin"/>
          </w:r>
          <w:r>
            <w:rPr>
              <w:rFonts w:cs="Times New Roman"/>
              <w:b/>
              <w:bCs/>
              <w:szCs w:val="21"/>
            </w:rPr>
            <w:instrText xml:space="preserve"> PAGEREF _Toc90288281 \h </w:instrText>
          </w:r>
          <w:r>
            <w:rPr>
              <w:rFonts w:cs="Times New Roman"/>
              <w:b/>
              <w:bCs/>
              <w:szCs w:val="21"/>
            </w:rPr>
            <w:fldChar w:fldCharType="separate"/>
          </w:r>
          <w:r>
            <w:rPr>
              <w:rFonts w:cs="Times New Roman"/>
              <w:b/>
              <w:bCs/>
              <w:szCs w:val="21"/>
            </w:rPr>
            <w:t>51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"_Toc90288282" </w:instrText>
          </w:r>
          <w:r>
            <w:fldChar w:fldCharType="separate"/>
          </w:r>
          <w:r>
            <w:rPr>
              <w:rStyle w:val="25"/>
              <w:rFonts w:cs="Times New Roman"/>
              <w:b/>
              <w:bCs/>
              <w:szCs w:val="21"/>
            </w:rPr>
            <w:t>（五）其他企业</w:t>
          </w:r>
          <w:r>
            <w:rPr>
              <w:rFonts w:cs="Times New Roman"/>
              <w:b/>
              <w:bCs/>
              <w:szCs w:val="21"/>
            </w:rPr>
            <w:tab/>
          </w:r>
          <w:r>
            <w:rPr>
              <w:rFonts w:cs="Times New Roman"/>
              <w:b/>
              <w:bCs/>
              <w:szCs w:val="21"/>
            </w:rPr>
            <w:fldChar w:fldCharType="begin"/>
          </w:r>
          <w:r>
            <w:rPr>
              <w:rFonts w:cs="Times New Roman"/>
              <w:b/>
              <w:bCs/>
              <w:szCs w:val="21"/>
            </w:rPr>
            <w:instrText xml:space="preserve"> PAGEREF _Toc90288282 \h </w:instrText>
          </w:r>
          <w:r>
            <w:rPr>
              <w:rFonts w:cs="Times New Roman"/>
              <w:b/>
              <w:bCs/>
              <w:szCs w:val="21"/>
            </w:rPr>
            <w:fldChar w:fldCharType="separate"/>
          </w:r>
          <w:r>
            <w:rPr>
              <w:rFonts w:cs="Times New Roman"/>
              <w:b/>
              <w:bCs/>
              <w:szCs w:val="21"/>
            </w:rPr>
            <w:t>51</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"_Toc90288283" </w:instrText>
          </w:r>
          <w:r>
            <w:fldChar w:fldCharType="separate"/>
          </w:r>
          <w:r>
            <w:rPr>
              <w:rStyle w:val="25"/>
              <w:rFonts w:cs="Times New Roman"/>
              <w:b/>
              <w:bCs/>
              <w:szCs w:val="21"/>
            </w:rPr>
            <w:t>（六）西部计划</w:t>
          </w:r>
          <w:r>
            <w:rPr>
              <w:rFonts w:cs="Times New Roman"/>
              <w:b/>
              <w:bCs/>
              <w:szCs w:val="21"/>
            </w:rPr>
            <w:tab/>
          </w:r>
          <w:r>
            <w:rPr>
              <w:rFonts w:cs="Times New Roman"/>
              <w:b/>
              <w:bCs/>
              <w:szCs w:val="21"/>
            </w:rPr>
            <w:fldChar w:fldCharType="begin"/>
          </w:r>
          <w:r>
            <w:rPr>
              <w:rFonts w:cs="Times New Roman"/>
              <w:b/>
              <w:bCs/>
              <w:szCs w:val="21"/>
            </w:rPr>
            <w:instrText xml:space="preserve"> PAGEREF _Toc90288283 \h </w:instrText>
          </w:r>
          <w:r>
            <w:rPr>
              <w:rFonts w:cs="Times New Roman"/>
              <w:b/>
              <w:bCs/>
              <w:szCs w:val="21"/>
            </w:rPr>
            <w:fldChar w:fldCharType="separate"/>
          </w:r>
          <w:r>
            <w:rPr>
              <w:rFonts w:cs="Times New Roman"/>
              <w:b/>
              <w:bCs/>
              <w:szCs w:val="21"/>
            </w:rPr>
            <w:t>53</w:t>
          </w:r>
          <w:r>
            <w:rPr>
              <w:rFonts w:cs="Times New Roman"/>
              <w:b/>
              <w:bCs/>
              <w:szCs w:val="21"/>
            </w:rPr>
            <w:fldChar w:fldCharType="end"/>
          </w:r>
          <w:r>
            <w:rPr>
              <w:rFonts w:cs="Times New Roman"/>
              <w:b/>
              <w:bCs/>
              <w:szCs w:val="21"/>
            </w:rPr>
            <w:fldChar w:fldCharType="end"/>
          </w:r>
        </w:p>
        <w:p>
          <w:pPr>
            <w:pStyle w:val="15"/>
            <w:tabs>
              <w:tab w:val="right" w:leader="dot" w:pos="8296"/>
            </w:tabs>
            <w:ind w:firstLine="422"/>
            <w:rPr>
              <w:rFonts w:cs="Times New Roman"/>
              <w:b/>
              <w:bCs/>
              <w:szCs w:val="21"/>
            </w:rPr>
          </w:pPr>
          <w:r>
            <w:fldChar w:fldCharType="begin"/>
          </w:r>
          <w:r>
            <w:instrText xml:space="preserve"> HYPERLINK \l "_Toc90288284" </w:instrText>
          </w:r>
          <w:r>
            <w:fldChar w:fldCharType="separate"/>
          </w:r>
          <w:r>
            <w:rPr>
              <w:rStyle w:val="25"/>
              <w:rFonts w:cs="Times New Roman"/>
              <w:b/>
              <w:bCs/>
              <w:szCs w:val="21"/>
            </w:rPr>
            <w:t>第九章 趋势分析与总结</w:t>
          </w:r>
          <w:r>
            <w:rPr>
              <w:rFonts w:cs="Times New Roman"/>
              <w:b/>
              <w:bCs/>
              <w:szCs w:val="21"/>
            </w:rPr>
            <w:tab/>
          </w:r>
          <w:r>
            <w:rPr>
              <w:rFonts w:cs="Times New Roman"/>
              <w:b/>
              <w:bCs/>
              <w:szCs w:val="21"/>
            </w:rPr>
            <w:fldChar w:fldCharType="begin"/>
          </w:r>
          <w:r>
            <w:rPr>
              <w:rFonts w:cs="Times New Roman"/>
              <w:b/>
              <w:bCs/>
              <w:szCs w:val="21"/>
            </w:rPr>
            <w:instrText xml:space="preserve"> PAGEREF _Toc90288284 \h </w:instrText>
          </w:r>
          <w:r>
            <w:rPr>
              <w:rFonts w:cs="Times New Roman"/>
              <w:b/>
              <w:bCs/>
              <w:szCs w:val="21"/>
            </w:rPr>
            <w:fldChar w:fldCharType="separate"/>
          </w:r>
          <w:r>
            <w:rPr>
              <w:rFonts w:cs="Times New Roman"/>
              <w:b/>
              <w:bCs/>
              <w:szCs w:val="21"/>
            </w:rPr>
            <w:t>54</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"_Toc90288285" </w:instrText>
          </w:r>
          <w:r>
            <w:fldChar w:fldCharType="separate"/>
          </w:r>
          <w:r>
            <w:rPr>
              <w:rStyle w:val="25"/>
              <w:rFonts w:cs="Times New Roman"/>
              <w:b/>
              <w:bCs/>
              <w:szCs w:val="21"/>
            </w:rPr>
            <w:t>一、就业发展趋势对比</w:t>
          </w:r>
          <w:r>
            <w:rPr>
              <w:rFonts w:cs="Times New Roman"/>
              <w:b/>
              <w:bCs/>
              <w:szCs w:val="21"/>
            </w:rPr>
            <w:tab/>
          </w:r>
          <w:r>
            <w:rPr>
              <w:rFonts w:cs="Times New Roman"/>
              <w:b/>
              <w:bCs/>
              <w:szCs w:val="21"/>
            </w:rPr>
            <w:fldChar w:fldCharType="begin"/>
          </w:r>
          <w:r>
            <w:rPr>
              <w:rFonts w:cs="Times New Roman"/>
              <w:b/>
              <w:bCs/>
              <w:szCs w:val="21"/>
            </w:rPr>
            <w:instrText xml:space="preserve"> PAGEREF _Toc90288285 \h </w:instrText>
          </w:r>
          <w:r>
            <w:rPr>
              <w:rFonts w:cs="Times New Roman"/>
              <w:b/>
              <w:bCs/>
              <w:szCs w:val="21"/>
            </w:rPr>
            <w:fldChar w:fldCharType="separate"/>
          </w:r>
          <w:r>
            <w:rPr>
              <w:rFonts w:cs="Times New Roman"/>
              <w:b/>
              <w:bCs/>
              <w:szCs w:val="21"/>
            </w:rPr>
            <w:t>54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"_Toc90288286" </w:instrText>
          </w:r>
          <w:r>
            <w:fldChar w:fldCharType="separate"/>
          </w:r>
          <w:r>
            <w:rPr>
              <w:rStyle w:val="25"/>
              <w:rFonts w:cs="Times New Roman"/>
              <w:b/>
              <w:bCs/>
              <w:szCs w:val="21"/>
            </w:rPr>
            <w:t>（一）就业质量变化趋势</w:t>
          </w:r>
          <w:r>
            <w:rPr>
              <w:rFonts w:cs="Times New Roman"/>
              <w:b/>
              <w:bCs/>
              <w:szCs w:val="21"/>
            </w:rPr>
            <w:tab/>
          </w:r>
          <w:r>
            <w:rPr>
              <w:rFonts w:cs="Times New Roman"/>
              <w:b/>
              <w:bCs/>
              <w:szCs w:val="21"/>
            </w:rPr>
            <w:fldChar w:fldCharType="begin"/>
          </w:r>
          <w:r>
            <w:rPr>
              <w:rFonts w:cs="Times New Roman"/>
              <w:b/>
              <w:bCs/>
              <w:szCs w:val="21"/>
            </w:rPr>
            <w:instrText xml:space="preserve"> PAGEREF _Toc90288286 \h </w:instrText>
          </w:r>
          <w:r>
            <w:rPr>
              <w:rFonts w:cs="Times New Roman"/>
              <w:b/>
              <w:bCs/>
              <w:szCs w:val="21"/>
            </w:rPr>
            <w:fldChar w:fldCharType="separate"/>
          </w:r>
          <w:r>
            <w:rPr>
              <w:rFonts w:cs="Times New Roman"/>
              <w:b/>
              <w:bCs/>
              <w:szCs w:val="21"/>
            </w:rPr>
            <w:t>54</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"_Toc90288287" </w:instrText>
          </w:r>
          <w:r>
            <w:fldChar w:fldCharType="separate"/>
          </w:r>
          <w:r>
            <w:rPr>
              <w:rStyle w:val="25"/>
              <w:rFonts w:cs="Times New Roman"/>
              <w:b/>
              <w:bCs/>
              <w:szCs w:val="21"/>
            </w:rPr>
            <w:t>（二）就业结构变化趋势</w:t>
          </w:r>
          <w:r>
            <w:rPr>
              <w:rFonts w:cs="Times New Roman"/>
              <w:b/>
              <w:bCs/>
              <w:szCs w:val="21"/>
            </w:rPr>
            <w:tab/>
          </w:r>
          <w:r>
            <w:rPr>
              <w:rFonts w:cs="Times New Roman"/>
              <w:b/>
              <w:bCs/>
              <w:szCs w:val="21"/>
            </w:rPr>
            <w:fldChar w:fldCharType="begin"/>
          </w:r>
          <w:r>
            <w:rPr>
              <w:rFonts w:cs="Times New Roman"/>
              <w:b/>
              <w:bCs/>
              <w:szCs w:val="21"/>
            </w:rPr>
            <w:instrText xml:space="preserve"> PAGEREF _Toc90288287 \h </w:instrText>
          </w:r>
          <w:r>
            <w:rPr>
              <w:rFonts w:cs="Times New Roman"/>
              <w:b/>
              <w:bCs/>
              <w:szCs w:val="21"/>
            </w:rPr>
            <w:fldChar w:fldCharType="separate"/>
          </w:r>
          <w:r>
            <w:rPr>
              <w:rFonts w:cs="Times New Roman"/>
              <w:b/>
              <w:bCs/>
              <w:szCs w:val="21"/>
            </w:rPr>
            <w:t>55</w:t>
          </w:r>
          <w:r>
            <w:rPr>
              <w:rFonts w:cs="Times New Roman"/>
              <w:b/>
              <w:bCs/>
              <w:szCs w:val="21"/>
            </w:rPr>
            <w:fldChar w:fldCharType="end"/>
          </w:r>
          <w:r>
            <w:rPr>
              <w:rFonts w:cs="Times New Roman"/>
              <w:b/>
              <w:bCs/>
              <w:szCs w:val="21"/>
            </w:rPr>
            <w:fldChar w:fldCharType="end"/>
          </w:r>
        </w:p>
        <w:p>
          <w:pPr>
            <w:pStyle w:val="19"/>
            <w:tabs>
              <w:tab w:val="right" w:leader="dot" w:pos="8296"/>
            </w:tabs>
            <w:ind w:firstLine="422"/>
            <w:rPr>
              <w:rFonts w:cs="Times New Roman"/>
              <w:b/>
              <w:bCs/>
              <w:szCs w:val="21"/>
            </w:rPr>
          </w:pPr>
          <w:r>
            <w:fldChar w:fldCharType="begin"/>
          </w:r>
          <w:r>
            <w:instrText xml:space="preserve"> HYPERLINK \l "_Toc90288288" </w:instrText>
          </w:r>
          <w:r>
            <w:fldChar w:fldCharType="separate"/>
          </w:r>
          <w:r>
            <w:rPr>
              <w:rStyle w:val="25"/>
              <w:rFonts w:cs="Times New Roman"/>
              <w:b/>
              <w:bCs/>
              <w:szCs w:val="21"/>
            </w:rPr>
            <w:t>二、总结</w:t>
          </w:r>
          <w:r>
            <w:rPr>
              <w:rFonts w:cs="Times New Roman"/>
              <w:b/>
              <w:bCs/>
              <w:szCs w:val="21"/>
            </w:rPr>
            <w:tab/>
          </w:r>
          <w:r>
            <w:rPr>
              <w:rFonts w:cs="Times New Roman"/>
              <w:b/>
              <w:bCs/>
              <w:szCs w:val="21"/>
            </w:rPr>
            <w:fldChar w:fldCharType="begin"/>
          </w:r>
          <w:r>
            <w:rPr>
              <w:rFonts w:cs="Times New Roman"/>
              <w:b/>
              <w:bCs/>
              <w:szCs w:val="21"/>
            </w:rPr>
            <w:instrText xml:space="preserve"> PAGEREF _Toc90288288 \h </w:instrText>
          </w:r>
          <w:r>
            <w:rPr>
              <w:rFonts w:cs="Times New Roman"/>
              <w:b/>
              <w:bCs/>
              <w:szCs w:val="21"/>
            </w:rPr>
            <w:fldChar w:fldCharType="separate"/>
          </w:r>
          <w:r>
            <w:rPr>
              <w:rFonts w:cs="Times New Roman"/>
              <w:b/>
              <w:bCs/>
              <w:szCs w:val="21"/>
            </w:rPr>
            <w:t>56</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"_Toc90288289" </w:instrText>
          </w:r>
          <w:r>
            <w:fldChar w:fldCharType="separate"/>
          </w:r>
          <w:r>
            <w:rPr>
              <w:rStyle w:val="25"/>
              <w:rFonts w:cs="Times New Roman"/>
              <w:b/>
              <w:bCs/>
              <w:szCs w:val="21"/>
            </w:rPr>
            <w:t>（一）就业基本情况</w:t>
          </w:r>
          <w:r>
            <w:rPr>
              <w:rFonts w:cs="Times New Roman"/>
              <w:b/>
              <w:bCs/>
              <w:szCs w:val="21"/>
            </w:rPr>
            <w:tab/>
          </w:r>
          <w:r>
            <w:rPr>
              <w:rFonts w:cs="Times New Roman"/>
              <w:b/>
              <w:bCs/>
              <w:szCs w:val="21"/>
            </w:rPr>
            <w:fldChar w:fldCharType="begin"/>
          </w:r>
          <w:r>
            <w:rPr>
              <w:rFonts w:cs="Times New Roman"/>
              <w:b/>
              <w:bCs/>
              <w:szCs w:val="21"/>
            </w:rPr>
            <w:instrText xml:space="preserve"> PAGEREF _Toc90288289 \h </w:instrText>
          </w:r>
          <w:r>
            <w:rPr>
              <w:rFonts w:cs="Times New Roman"/>
              <w:b/>
              <w:bCs/>
              <w:szCs w:val="21"/>
            </w:rPr>
            <w:fldChar w:fldCharType="separate"/>
          </w:r>
          <w:r>
            <w:rPr>
              <w:rFonts w:cs="Times New Roman"/>
              <w:b/>
              <w:bCs/>
              <w:szCs w:val="21"/>
            </w:rPr>
            <w:t>56</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"_Toc90288290" </w:instrText>
          </w:r>
          <w:r>
            <w:fldChar w:fldCharType="separate"/>
          </w:r>
          <w:r>
            <w:rPr>
              <w:rStyle w:val="25"/>
              <w:rFonts w:cs="Times New Roman"/>
              <w:b/>
              <w:bCs/>
              <w:szCs w:val="21"/>
            </w:rPr>
            <w:t>（二）就业质量分析</w:t>
          </w:r>
          <w:r>
            <w:rPr>
              <w:rFonts w:cs="Times New Roman"/>
              <w:b/>
              <w:bCs/>
              <w:szCs w:val="21"/>
            </w:rPr>
            <w:tab/>
          </w:r>
          <w:r>
            <w:rPr>
              <w:rFonts w:cs="Times New Roman"/>
              <w:b/>
              <w:bCs/>
              <w:szCs w:val="21"/>
            </w:rPr>
            <w:fldChar w:fldCharType="begin"/>
          </w:r>
          <w:r>
            <w:rPr>
              <w:rFonts w:cs="Times New Roman"/>
              <w:b/>
              <w:bCs/>
              <w:szCs w:val="21"/>
            </w:rPr>
            <w:instrText xml:space="preserve"> PAGEREF _Toc90288290 \h </w:instrText>
          </w:r>
          <w:r>
            <w:rPr>
              <w:rFonts w:cs="Times New Roman"/>
              <w:b/>
              <w:bCs/>
              <w:szCs w:val="21"/>
            </w:rPr>
            <w:fldChar w:fldCharType="separate"/>
          </w:r>
          <w:r>
            <w:rPr>
              <w:rFonts w:cs="Times New Roman"/>
              <w:b/>
              <w:bCs/>
              <w:szCs w:val="21"/>
            </w:rPr>
            <w:t>57</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"_Toc90288291" </w:instrText>
          </w:r>
          <w:r>
            <w:fldChar w:fldCharType="separate"/>
          </w:r>
          <w:r>
            <w:rPr>
              <w:rStyle w:val="25"/>
              <w:rFonts w:cs="Times New Roman"/>
              <w:b/>
              <w:bCs/>
              <w:szCs w:val="21"/>
            </w:rPr>
            <w:t>（三）毕业生对母校的反馈情况</w:t>
          </w:r>
          <w:r>
            <w:rPr>
              <w:rFonts w:cs="Times New Roman"/>
              <w:b/>
              <w:bCs/>
              <w:szCs w:val="21"/>
            </w:rPr>
            <w:tab/>
          </w:r>
          <w:r>
            <w:rPr>
              <w:rFonts w:cs="Times New Roman"/>
              <w:b/>
              <w:bCs/>
              <w:szCs w:val="21"/>
            </w:rPr>
            <w:fldChar w:fldCharType="begin"/>
          </w:r>
          <w:r>
            <w:rPr>
              <w:rFonts w:cs="Times New Roman"/>
              <w:b/>
              <w:bCs/>
              <w:szCs w:val="21"/>
            </w:rPr>
            <w:instrText xml:space="preserve"> PAGEREF _Toc90288291 \h </w:instrText>
          </w:r>
          <w:r>
            <w:rPr>
              <w:rFonts w:cs="Times New Roman"/>
              <w:b/>
              <w:bCs/>
              <w:szCs w:val="21"/>
            </w:rPr>
            <w:fldChar w:fldCharType="separate"/>
          </w:r>
          <w:r>
            <w:rPr>
              <w:rFonts w:cs="Times New Roman"/>
              <w:b/>
              <w:bCs/>
              <w:szCs w:val="21"/>
            </w:rPr>
            <w:t>57</w:t>
          </w:r>
          <w:r>
            <w:rPr>
              <w:rFonts w:cs="Times New Roman"/>
              <w:b/>
              <w:bCs/>
              <w:szCs w:val="21"/>
            </w:rPr>
            <w:fldChar w:fldCharType="end"/>
          </w:r>
          <w:r>
            <w:rPr>
              <w:rFonts w:cs="Times New Roman"/>
              <w:b/>
              <w:bCs/>
              <w:szCs w:val="21"/>
            </w:rPr>
            <w:fldChar w:fldCharType="end"/>
          </w:r>
        </w:p>
        <w:p>
          <w:pPr>
            <w:pStyle w:val="11"/>
            <w:tabs>
              <w:tab w:val="right" w:leader="dot" w:pos="8296"/>
            </w:tabs>
            <w:ind w:firstLine="422"/>
            <w:rPr>
              <w:rFonts w:cs="Times New Roman"/>
              <w:b/>
              <w:bCs/>
              <w:szCs w:val="21"/>
            </w:rPr>
          </w:pPr>
          <w:r>
            <w:fldChar w:fldCharType="begin"/>
          </w:r>
          <w:r>
            <w:instrText xml:space="preserve"> HYPERLINK \l "_Toc90288292" </w:instrText>
          </w:r>
          <w:r>
            <w:fldChar w:fldCharType="separate"/>
          </w:r>
          <w:r>
            <w:rPr>
              <w:rStyle w:val="25"/>
              <w:rFonts w:cs="Times New Roman"/>
              <w:b/>
              <w:bCs/>
              <w:szCs w:val="21"/>
            </w:rPr>
            <w:t>（四）用人单位评价</w:t>
          </w:r>
          <w:r>
            <w:rPr>
              <w:rFonts w:cs="Times New Roman"/>
              <w:b/>
              <w:bCs/>
              <w:szCs w:val="21"/>
            </w:rPr>
            <w:tab/>
          </w:r>
          <w:r>
            <w:rPr>
              <w:rFonts w:cs="Times New Roman"/>
              <w:b/>
              <w:bCs/>
              <w:szCs w:val="21"/>
            </w:rPr>
            <w:fldChar w:fldCharType="begin"/>
          </w:r>
          <w:r>
            <w:rPr>
              <w:rFonts w:cs="Times New Roman"/>
              <w:b/>
              <w:bCs/>
              <w:szCs w:val="21"/>
            </w:rPr>
            <w:instrText xml:space="preserve"> PAGEREF _Toc90288292 \h </w:instrText>
          </w:r>
          <w:r>
            <w:rPr>
              <w:rFonts w:cs="Times New Roman"/>
              <w:b/>
              <w:bCs/>
              <w:szCs w:val="21"/>
            </w:rPr>
            <w:fldChar w:fldCharType="separate"/>
          </w:r>
          <w:r>
            <w:rPr>
              <w:rFonts w:cs="Times New Roman"/>
              <w:b/>
              <w:bCs/>
              <w:szCs w:val="21"/>
            </w:rPr>
            <w:t>57</w:t>
          </w:r>
          <w:r>
            <w:rPr>
              <w:rFonts w:cs="Times New Roman"/>
              <w:b/>
              <w:bCs/>
              <w:szCs w:val="21"/>
            </w:rPr>
            <w:fldChar w:fldCharType="end"/>
          </w:r>
          <w:r>
            <w:rPr>
              <w:rFonts w:cs="Times New Roman"/>
              <w:b/>
              <w:bCs/>
              <w:szCs w:val="21"/>
            </w:rPr>
            <w:fldChar w:fldCharType="end"/>
          </w:r>
        </w:p>
        <w:p>
          <w:pPr>
            <w:ind w:firstLine="422"/>
          </w:pPr>
          <w:r>
            <w:rPr>
              <w:rFonts w:cs="Times New Roman"/>
              <w:b/>
              <w:bCs/>
              <w:szCs w:val="21"/>
              <w:lang w:val="zh-CN"/>
            </w:rPr>
            <w:fldChar w:fldCharType="end"/>
          </w:r>
        </w:p>
      </w:sdtContent>
    </w:sdt>
    <w:p>
      <w:pPr>
        <w:spacing w:line="300" w:lineRule="auto"/>
        <w:ind w:firstLine="480"/>
        <w:rPr>
          <w:rFonts w:ascii="宋体" w:hAnsi="宋体"/>
          <w:color w:val="000000"/>
          <w:sz w:val="24"/>
          <w:u w:val="single"/>
        </w:rPr>
        <w:sectPr>
          <w:headerReference r:id="rId11" w:type="default"/>
          <w:footerReference r:id="rId13" w:type="default"/>
          <w:headerReference r:id="rId12" w:type="even"/>
          <w:footerReference r:id="rId14" w:type="even"/>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2" w:name="_Toc90288197"/>
      <w:r>
        <w:rPr>
          <w:rFonts w:hint="eastAsia" w:ascii="宋体" w:hAnsi="宋体"/>
          <w:b/>
          <w:bCs/>
          <w:color w:val="FFFFFF" w:themeColor="background1"/>
          <w:sz w:val="32"/>
          <w:szCs w:val="32"/>
          <w14:textFill>
            <w14:solidFill>
              <w14:schemeClr w14:val="bg1"/>
            </w14:solidFill>
          </w14:textFill>
        </w:rPr>
        <w:t>学校概况</w:t>
      </w:r>
      <w:bookmarkEnd w:id="2"/>
    </w:p>
    <w:p>
      <w:pPr>
        <w:ind w:firstLine="602"/>
        <w:outlineLvl w:val="1"/>
        <w:rPr>
          <w:rFonts w:cs="Times New Roman"/>
          <w:b/>
          <w:bCs/>
          <w:color w:val="005099"/>
          <w:sz w:val="30"/>
          <w:szCs w:val="30"/>
        </w:rPr>
      </w:pPr>
      <w:bookmarkStart w:id="3" w:name="_Toc89695288"/>
      <w:bookmarkStart w:id="4" w:name="_Toc90288198"/>
      <w:r>
        <w:rPr>
          <w:rFonts w:hint="eastAsia" w:cs="Times New Roman"/>
          <w:b/>
          <w:bCs/>
          <w:color w:val="005099"/>
          <w:sz w:val="30"/>
          <w:szCs w:val="30"/>
        </w:rPr>
        <w:t>一、学校概况</w:t>
      </w:r>
      <w:bookmarkEnd w:id="3"/>
      <w:bookmarkEnd w:id="4"/>
    </w:p>
    <w:p>
      <w:pPr>
        <w:ind w:firstLine="420"/>
        <w:rPr>
          <w:rFonts w:cs="Times New Roman"/>
          <w:szCs w:val="21"/>
        </w:rPr>
      </w:pPr>
      <w:r>
        <w:rPr>
          <w:rFonts w:hint="eastAsia" w:cs="Times New Roman"/>
          <w:szCs w:val="21"/>
        </w:rPr>
        <w:t>天津天狮学院源于1999年成立的天津天狮职业技术学院，2008年经国家教育部批准升格为天津市属的全日制民办普通本科院校。学校由天狮集团投资兴办，坐落在“京津走廊”的天津市武清区龙凤河畔，占地面积约3.2平方公里，规划建筑面积210万平方米，整体校园融中华传统建筑文化之精髄和西方现代建筑理念于一体，采取一流规划、一流设计、一流标准建设而成，是书香气息与园林景观交相辉映的现代化、公园式大学校园，可容纳4万名学生同时在校学习生活。现有6个二级学院、3个教学部，下设38个专业，形成以工、管、经、艺、文、医多学科协调发展的专业建设新格局，目前在校学生1万余人。建校22年来，学校始终坚持树德育人根本职责，认真实践天狮集团董事长李金元先生"教育报国"之情怀，先后为社会培养了2万多名德智体美劳全面发展、具有创新精神和人文底蕴的各类人才，受到社会广泛赞誉。站在新的历史起点，学校将紧紧抓住国家发展战略对教育发展提供的历史机遇，秉持“明德、至善、求实、创新”的校训，立足天津、服务京津冀、面向全国，以社会需求为导向，以产教融合为抓手，大力发展校企合作育人新路径，努力建设“产学研创一体化”的应用型大学。</w:t>
      </w:r>
    </w:p>
    <w:p>
      <w:pPr>
        <w:ind w:firstLine="602"/>
        <w:outlineLvl w:val="1"/>
        <w:rPr>
          <w:rFonts w:cs="Times New Roman"/>
          <w:b/>
          <w:bCs/>
          <w:color w:val="005099"/>
          <w:sz w:val="30"/>
          <w:szCs w:val="30"/>
        </w:rPr>
      </w:pPr>
      <w:bookmarkStart w:id="5" w:name="_Toc90288199"/>
      <w:bookmarkStart w:id="6" w:name="_Toc89695289"/>
      <w:r>
        <w:rPr>
          <w:rFonts w:hint="eastAsia" w:cs="Times New Roman"/>
          <w:b/>
          <w:bCs/>
          <w:color w:val="005099"/>
          <w:sz w:val="30"/>
          <w:szCs w:val="30"/>
        </w:rPr>
        <w:t>二、办学理念</w:t>
      </w:r>
      <w:bookmarkEnd w:id="5"/>
      <w:bookmarkEnd w:id="6"/>
    </w:p>
    <w:p>
      <w:pPr>
        <w:ind w:firstLine="420"/>
        <w:rPr>
          <w:rFonts w:cs="Times New Roman"/>
          <w:szCs w:val="21"/>
        </w:rPr>
      </w:pPr>
      <w:r>
        <w:rPr>
          <w:rFonts w:hint="eastAsia" w:cs="Times New Roman"/>
          <w:szCs w:val="21"/>
        </w:rPr>
        <w:t>秉承“人文底蕴养成人格，工匠精神培育技能”的培养理念，围绕立德树人的根本任务，以一流本科专业和一流课程建设为龙头，以双师型师资队伍为支撑，以经济与社会需求变革为导向，不断创新培养模式，不断提升人才培养、科学研究、专业建设、社会服务、文化传承水平和办学质量，立足天津，服务京津冀，面向全国，培养中国未来发展需要有社会责任感、有担当的创新型、复合型应用人才。</w:t>
      </w:r>
    </w:p>
    <w:p>
      <w:pPr>
        <w:ind w:firstLine="602"/>
        <w:outlineLvl w:val="1"/>
        <w:rPr>
          <w:rFonts w:cs="Times New Roman"/>
          <w:b/>
          <w:bCs/>
          <w:color w:val="005099"/>
          <w:sz w:val="30"/>
          <w:szCs w:val="30"/>
        </w:rPr>
      </w:pPr>
      <w:bookmarkStart w:id="7" w:name="_Toc89695290"/>
      <w:bookmarkStart w:id="8" w:name="_Toc90288200"/>
      <w:r>
        <w:rPr>
          <w:rFonts w:hint="eastAsia" w:cs="Times New Roman"/>
          <w:b/>
          <w:bCs/>
          <w:color w:val="005099"/>
          <w:sz w:val="30"/>
          <w:szCs w:val="30"/>
        </w:rPr>
        <w:t>三、学科建设与专业建设</w:t>
      </w:r>
      <w:bookmarkEnd w:id="7"/>
      <w:bookmarkEnd w:id="8"/>
    </w:p>
    <w:p>
      <w:pPr>
        <w:ind w:firstLine="420"/>
        <w:rPr>
          <w:rFonts w:cs="Times New Roman"/>
          <w:szCs w:val="21"/>
        </w:rPr>
      </w:pPr>
      <w:r>
        <w:rPr>
          <w:rFonts w:hint="eastAsia" w:cs="Times New Roman"/>
          <w:szCs w:val="21"/>
        </w:rPr>
        <w:t>学校以本科教育为主，适度开展专科教育，积极开展国际交流与合作教育。以社会需求为牵引，推进工、管、经、艺、文、医多学科协调发展，构建面向天津市产业布局中的主导产业，如信息技术和生物工程等高新技术产业，同时进行社会健康产业和跨境电商产业等多学科专业布局。学校现有3个天津市一流本科专业建设点和7个天津市一流本科课程建设项目，随着专业与课程建设的推进，学校逐步形成了教学资源共享、相互融合的良好专业生态系统。</w:t>
      </w:r>
    </w:p>
    <w:p>
      <w:pPr>
        <w:ind w:firstLine="602"/>
        <w:outlineLvl w:val="1"/>
        <w:rPr>
          <w:rFonts w:cs="Times New Roman"/>
          <w:b/>
          <w:bCs/>
          <w:color w:val="005099"/>
          <w:sz w:val="30"/>
          <w:szCs w:val="30"/>
        </w:rPr>
      </w:pPr>
      <w:bookmarkStart w:id="9" w:name="_Toc89695291"/>
      <w:bookmarkStart w:id="10" w:name="_Toc90288201"/>
      <w:r>
        <w:rPr>
          <w:rFonts w:hint="eastAsia" w:cs="Times New Roman"/>
          <w:b/>
          <w:bCs/>
          <w:color w:val="005099"/>
          <w:sz w:val="30"/>
          <w:szCs w:val="30"/>
        </w:rPr>
        <w:t>四、师资力量</w:t>
      </w:r>
      <w:bookmarkEnd w:id="9"/>
      <w:bookmarkEnd w:id="10"/>
    </w:p>
    <w:p>
      <w:pPr>
        <w:ind w:firstLine="420"/>
        <w:rPr>
          <w:rFonts w:cs="Times New Roman"/>
          <w:szCs w:val="21"/>
        </w:rPr>
      </w:pPr>
      <w:r>
        <w:rPr>
          <w:rFonts w:hint="eastAsia" w:cs="Times New Roman"/>
          <w:szCs w:val="21"/>
        </w:rPr>
        <w:t>自建校以来，学校坚持将师资队伍建设作为强校之本，以提高师资队伍教育教学能力和应用实践能力为导向，以搭建校企合作平台和机制为路径，以完善人才培养和激励机制为手段，坚持师德要求和能力要求并举、制度建设和平台搭建并抓、人才引进和培养培训并重、自有教师和外聘教师并行的思路，打造了一支数量适当、结构合理、专兼结合，能满足学校发展需要、有理想信念、有道德情操、有扎实学识、有仁爱之心、协同共融的优秀师资队伍。</w:t>
      </w:r>
    </w:p>
    <w:p>
      <w:pPr>
        <w:ind w:firstLine="420"/>
        <w:rPr>
          <w:rFonts w:cs="Times New Roman"/>
          <w:szCs w:val="21"/>
        </w:rPr>
      </w:pPr>
      <w:r>
        <w:rPr>
          <w:rFonts w:hint="eastAsia" w:cs="Times New Roman"/>
          <w:szCs w:val="21"/>
        </w:rPr>
        <w:t>聚焦应用型大学转型要求，在明确学科专业定位的前提下，学校加大柔性引进具有企业工作经历、工程经验、行业背景的高层次人才的力度，有效推进校企深度合作，持续加强“双师双能型”教师、行业背景人才和工程背景人才所组成的应用型教师队伍建设。不断创新机制，通过提供发展平台和提高待遇，形成稳定人才和吸引人才的良性机制。</w:t>
      </w:r>
    </w:p>
    <w:p>
      <w:pPr>
        <w:ind w:firstLine="420"/>
        <w:rPr>
          <w:rFonts w:cs="Times New Roman"/>
          <w:szCs w:val="21"/>
        </w:rPr>
      </w:pPr>
      <w:r>
        <w:rPr>
          <w:rFonts w:hint="eastAsia" w:cs="Times New Roman"/>
          <w:szCs w:val="21"/>
        </w:rPr>
        <w:t>学校将面向全国广揽贤才，积极营造有利于人才成长的良好环境，进一步加强学校师资队伍建设，推动师资队伍健康持续发展，提升师资队伍专业素养、学术水平、创新能力和区域竞争力，增强学校整体水平和综合实力，为建成“产学研创一体化”的应用型大学提供坚实的人才支撑。</w:t>
      </w:r>
    </w:p>
    <w:p>
      <w:pPr>
        <w:ind w:firstLine="602"/>
        <w:outlineLvl w:val="1"/>
        <w:rPr>
          <w:rFonts w:cs="Times New Roman"/>
          <w:b/>
          <w:bCs/>
          <w:color w:val="005099"/>
          <w:sz w:val="30"/>
          <w:szCs w:val="30"/>
        </w:rPr>
      </w:pPr>
      <w:bookmarkStart w:id="11" w:name="_Toc89695292"/>
      <w:bookmarkStart w:id="12" w:name="_Toc90288202"/>
      <w:r>
        <w:rPr>
          <w:rFonts w:hint="eastAsia" w:cs="Times New Roman"/>
          <w:b/>
          <w:bCs/>
          <w:color w:val="005099"/>
          <w:sz w:val="30"/>
          <w:szCs w:val="30"/>
        </w:rPr>
        <w:t>五、教学特色</w:t>
      </w:r>
      <w:bookmarkEnd w:id="11"/>
      <w:bookmarkEnd w:id="12"/>
    </w:p>
    <w:p>
      <w:pPr>
        <w:ind w:firstLine="420"/>
        <w:rPr>
          <w:rFonts w:cs="Times New Roman"/>
          <w:szCs w:val="21"/>
        </w:rPr>
      </w:pPr>
      <w:r>
        <w:rPr>
          <w:rFonts w:hint="eastAsia" w:cs="Times New Roman"/>
          <w:szCs w:val="21"/>
        </w:rPr>
        <w:t>立足地方和学校实际，学校积极创新人才培养机制，充分发挥企业办学的优势推进校企合作，把企业的经营优势转化为学校的办学优势，在深入推进学校与集团的产教融合的基础上，积极探索校企合作、协同育人的应用型人才培养模式改革。着力加强以制度建设为保障，搭建产学研合作育人平台。同时，根据各专业特性不同，实施“一院一策”的产学研融合方案，助力产学研创一体化应用型大学建设目标，在应用型人才培养模式改革、共建产教深度融合的应用型专业、提升师资队伍的实践教学及应用研究核心竞争力、实现校企合作的协同科研体系等方面实现多角度产教融合共赢，不断优化人才培养成效。</w:t>
      </w:r>
    </w:p>
    <w:p>
      <w:pPr>
        <w:ind w:firstLine="420"/>
        <w:rPr>
          <w:rFonts w:cs="Times New Roman"/>
          <w:szCs w:val="21"/>
        </w:rPr>
      </w:pPr>
      <w:r>
        <w:rPr>
          <w:rFonts w:hint="eastAsia" w:cs="Times New Roman"/>
          <w:szCs w:val="21"/>
        </w:rPr>
        <w:t>作为一所应用型大学，学校致力于通过不断优化人才培养方案、校企“双导师制”等一系列举措，提高学校人才培养与市场需求的吻合度，在确保学生理论基础的前提下，努力提高学生实操能力，进而提升学生就业竞争力。</w:t>
      </w:r>
    </w:p>
    <w:p>
      <w:pPr>
        <w:ind w:firstLine="602"/>
        <w:outlineLvl w:val="1"/>
        <w:rPr>
          <w:rFonts w:cs="Times New Roman"/>
          <w:b/>
          <w:bCs/>
          <w:color w:val="005099"/>
          <w:sz w:val="30"/>
          <w:szCs w:val="30"/>
        </w:rPr>
      </w:pPr>
      <w:bookmarkStart w:id="13" w:name="_Toc89695293"/>
      <w:bookmarkStart w:id="14" w:name="_Toc90288203"/>
      <w:r>
        <w:rPr>
          <w:rFonts w:hint="eastAsia" w:cs="Times New Roman"/>
          <w:b/>
          <w:bCs/>
          <w:color w:val="005099"/>
          <w:sz w:val="30"/>
          <w:szCs w:val="30"/>
        </w:rPr>
        <w:t>六、国际交流</w:t>
      </w:r>
      <w:bookmarkEnd w:id="13"/>
      <w:bookmarkEnd w:id="14"/>
    </w:p>
    <w:p>
      <w:pPr>
        <w:ind w:firstLine="420"/>
        <w:rPr>
          <w:rFonts w:cs="Times New Roman"/>
          <w:szCs w:val="21"/>
        </w:rPr>
      </w:pPr>
      <w:r>
        <w:rPr>
          <w:rFonts w:hint="eastAsia" w:cs="Times New Roman"/>
          <w:szCs w:val="21"/>
        </w:rPr>
        <w:t>坚持开放办学，利用天狮集团全球化营销、国际化经营的深度和广度，加强与国外先进应用型大学交流合作，扩大国际学术交流与合作。以应用性大学建设为导向，推进各种国际合作项目，助力产学研一体化发展，增强师生的国际视野和职业竞争力。</w:t>
      </w:r>
    </w:p>
    <w:p>
      <w:pPr>
        <w:ind w:firstLine="420"/>
        <w:rPr>
          <w:rFonts w:cs="Times New Roman"/>
          <w:szCs w:val="21"/>
        </w:rPr>
      </w:pPr>
      <w:r>
        <w:rPr>
          <w:rFonts w:hint="eastAsia" w:cs="Times New Roman"/>
          <w:szCs w:val="21"/>
        </w:rPr>
        <w:t>我校与美国南佛罗里达大学和新泽西州立罗格斯大学的教师培养、学生联合培养等项目也已启动。同时，学校还与亚利桑那大学签署了合作协议，构建国际化人才培养的新机制，继续加大力度与国际高水平应用型大学开展合作交流。2021年，与韩国世翰大学、英国威尔士班戈大学建立联系，正在提升本校生学历教育等方面进行积极探索，将计划选拔优秀学生参加上述国际交流项目，并提供奖助学金。另外，学校积极吸引国际留学生，近年来已有来自哈萨克斯坦、俄罗斯、加拿大、吉尔吉斯、蒙古、南非等国家的400 余名学生来校学习并完成学业。</w:t>
      </w:r>
    </w:p>
    <w:p>
      <w:pPr>
        <w:spacing w:line="300" w:lineRule="auto"/>
        <w:ind w:firstLine="480"/>
        <w:rPr>
          <w:rFonts w:ascii="宋体" w:hAnsi="宋体"/>
          <w:color w:val="000000"/>
          <w:sz w:val="24"/>
          <w:u w:val="single"/>
        </w:rPr>
      </w:pPr>
    </w:p>
    <w:p>
      <w:pPr>
        <w:spacing w:line="300" w:lineRule="auto"/>
        <w:ind w:firstLine="480"/>
        <w:rPr>
          <w:rFonts w:ascii="宋体" w:hAnsi="宋体"/>
          <w:color w:val="000000"/>
          <w:sz w:val="24"/>
          <w:u w:val="single"/>
        </w:rPr>
        <w:sectPr>
          <w:headerReference r:id="rId15" w:type="default"/>
          <w:headerReference r:id="rId16" w:type="even"/>
          <w:pgSz w:w="11906" w:h="16838"/>
          <w:pgMar w:top="1440" w:right="1134" w:bottom="1440" w:left="1418" w:header="851" w:footer="992" w:gutter="0"/>
          <w:pgNumType w:start="1"/>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15" w:name="_Toc90288204"/>
      <w:r>
        <w:rPr>
          <w:rFonts w:hint="eastAsia" w:ascii="宋体" w:hAnsi="宋体"/>
          <w:b/>
          <w:bCs/>
          <w:color w:val="FFFFFF" w:themeColor="background1"/>
          <w:sz w:val="32"/>
          <w:szCs w:val="32"/>
          <w14:textFill>
            <w14:solidFill>
              <w14:schemeClr w14:val="bg1"/>
            </w14:solidFill>
          </w14:textFill>
        </w:rPr>
        <w:t>报告编制说明</w:t>
      </w:r>
      <w:bookmarkEnd w:id="15"/>
    </w:p>
    <w:p>
      <w:pPr>
        <w:spacing w:line="300" w:lineRule="auto"/>
        <w:ind w:firstLine="420"/>
        <w:rPr>
          <w:rFonts w:cs="Times New Roman"/>
          <w:color w:val="000000"/>
          <w:szCs w:val="21"/>
        </w:rPr>
      </w:pPr>
      <w:r>
        <w:rPr>
          <w:rFonts w:hint="eastAsia" w:cs="Times New Roman"/>
          <w:color w:val="000000"/>
          <w:szCs w:val="21"/>
        </w:rPr>
        <w:t>高校毕业生就业质量是高等学校教育教学和人才培养质量的重要反映。为了全面系统反映学校毕业生就业工作情况，进一步推动就业、招生和人才培养的联动，并不断健全和完善就业与人才培养良性互动的长效机制，学校根据</w:t>
      </w:r>
      <w:r>
        <w:rPr>
          <w:rFonts w:hint="eastAsia" w:cs="Times New Roman"/>
          <w:b/>
          <w:bCs/>
          <w:color w:val="000000"/>
          <w:szCs w:val="21"/>
        </w:rPr>
        <w:t>《教育部关于做好2021届全国普通高等学校毕业生就业创业工作的通知》（教学〔2020〕5号）、《教育部办公厅关于编制发布高校毕业生就业质量年度报告的通知》（教学厅函[2013]25号）</w:t>
      </w:r>
      <w:r>
        <w:rPr>
          <w:rFonts w:hint="eastAsia" w:cs="Times New Roman"/>
          <w:color w:val="000000"/>
          <w:szCs w:val="21"/>
        </w:rPr>
        <w:t>等文件和要求，结合学校实际情况，编制发布本报告。</w:t>
      </w:r>
    </w:p>
    <w:p>
      <w:pPr>
        <w:spacing w:line="300" w:lineRule="auto"/>
        <w:ind w:firstLine="420"/>
        <w:rPr>
          <w:rFonts w:cs="Times New Roman"/>
          <w:color w:val="000000"/>
          <w:szCs w:val="21"/>
        </w:rPr>
      </w:pPr>
      <w:r>
        <w:rPr>
          <w:rFonts w:hint="eastAsia" w:cs="Times New Roman"/>
          <w:color w:val="000000"/>
          <w:szCs w:val="21"/>
        </w:rPr>
        <w:t>本报告内容包括毕业生就业基本情况、就业特点、就业相关分析、就业发展趋势以及对教育教学的反馈。本报告数据主要来源于：</w:t>
      </w:r>
    </w:p>
    <w:p>
      <w:pPr>
        <w:spacing w:line="300" w:lineRule="auto"/>
        <w:ind w:firstLine="420"/>
        <w:rPr>
          <w:rFonts w:cs="Times New Roman"/>
          <w:color w:val="000000"/>
          <w:szCs w:val="21"/>
        </w:rPr>
      </w:pPr>
      <w:r>
        <w:rPr>
          <w:rFonts w:hint="eastAsia" w:cs="Times New Roman"/>
          <w:color w:val="000000"/>
          <w:szCs w:val="21"/>
        </w:rPr>
        <w:t>1.天津天狮学院2021届毕业生就业数据。数据统计截止日期为2021年8月31日，主要涵盖就业基本情况等方面内容。</w:t>
      </w:r>
    </w:p>
    <w:p>
      <w:pPr>
        <w:spacing w:line="300" w:lineRule="auto"/>
        <w:ind w:firstLine="420"/>
        <w:rPr>
          <w:rFonts w:cs="Times New Roman"/>
          <w:color w:val="000000"/>
          <w:szCs w:val="21"/>
        </w:rPr>
      </w:pPr>
      <w:r>
        <w:rPr>
          <w:rFonts w:hint="eastAsia" w:cs="Times New Roman"/>
          <w:color w:val="000000"/>
          <w:szCs w:val="21"/>
        </w:rPr>
        <w:t>2.第三方专业机构调研数据。</w:t>
      </w:r>
    </w:p>
    <w:p>
      <w:pPr>
        <w:spacing w:line="300" w:lineRule="auto"/>
        <w:ind w:firstLine="420"/>
        <w:rPr>
          <w:rFonts w:ascii="宋体" w:hAnsi="宋体"/>
          <w:color w:val="000000"/>
          <w:sz w:val="24"/>
        </w:rPr>
      </w:pPr>
      <w:r>
        <w:rPr>
          <w:rFonts w:hint="eastAsia" w:cs="Times New Roman"/>
          <w:color w:val="000000"/>
          <w:szCs w:val="21"/>
        </w:rPr>
        <w:t>毕业生调研数据：调查面向全校2021届本科毕业生1566人，共回收有效问卷507份，回收问卷数量占本科毕业生总人数的32.38%；专科毕业生233人，共回收有效问卷28份，回收问卷数量占专科毕业生总人数的12.02%，主要涵盖就业特点、就业相关分析、就业对教育教学的反馈等方面内容。</w:t>
      </w:r>
    </w:p>
    <w:p>
      <w:pPr>
        <w:spacing w:line="300" w:lineRule="auto"/>
        <w:ind w:firstLine="480"/>
        <w:rPr>
          <w:rFonts w:ascii="宋体" w:hAnsi="宋体"/>
          <w:color w:val="000000"/>
          <w:sz w:val="24"/>
        </w:rPr>
        <w:sectPr>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16" w:name="_Toc90288205"/>
      <w:r>
        <w:rPr>
          <w:rFonts w:hint="eastAsia" w:ascii="宋体" w:hAnsi="宋体"/>
          <w:b/>
          <w:bCs/>
          <w:color w:val="FFFFFF" w:themeColor="background1"/>
          <w:sz w:val="32"/>
          <w:szCs w:val="32"/>
          <w14:textFill>
            <w14:solidFill>
              <w14:schemeClr w14:val="bg1"/>
            </w14:solidFill>
          </w14:textFill>
        </w:rPr>
        <w:t>第一章</w:t>
      </w:r>
      <w:r>
        <w:rPr>
          <w:rFonts w:ascii="宋体" w:hAnsi="宋体"/>
          <w:b/>
          <w:bCs/>
          <w:color w:val="FFFFFF" w:themeColor="background1"/>
          <w:sz w:val="32"/>
          <w:szCs w:val="32"/>
          <w14:textFill>
            <w14:solidFill>
              <w14:schemeClr w14:val="bg1"/>
            </w14:solidFill>
          </w14:textFill>
        </w:rPr>
        <w:t xml:space="preserve"> </w:t>
      </w:r>
      <w:r>
        <w:rPr>
          <w:rFonts w:hint="eastAsia" w:ascii="宋体" w:hAnsi="宋体"/>
          <w:b/>
          <w:bCs/>
          <w:color w:val="FFFFFF" w:themeColor="background1"/>
          <w:sz w:val="32"/>
          <w:szCs w:val="32"/>
          <w14:textFill>
            <w14:solidFill>
              <w14:schemeClr w14:val="bg1"/>
            </w14:solidFill>
          </w14:textFill>
        </w:rPr>
        <w:t>毕业生生源结构与毕业去向</w:t>
      </w:r>
      <w:bookmarkEnd w:id="16"/>
    </w:p>
    <w:p>
      <w:pPr>
        <w:ind w:firstLine="602"/>
        <w:outlineLvl w:val="1"/>
        <w:rPr>
          <w:rFonts w:cs="Times New Roman"/>
          <w:b/>
          <w:bCs/>
          <w:color w:val="005099"/>
          <w:sz w:val="30"/>
          <w:szCs w:val="30"/>
        </w:rPr>
      </w:pPr>
      <w:bookmarkStart w:id="17" w:name="_Toc90288206"/>
      <w:r>
        <w:rPr>
          <w:rFonts w:cs="Times New Roman"/>
          <w:b/>
          <w:bCs/>
          <w:color w:val="005099"/>
          <w:sz w:val="30"/>
          <w:szCs w:val="30"/>
        </w:rPr>
        <w:t>一、毕业生规模和结构</w:t>
      </w:r>
      <w:bookmarkEnd w:id="17"/>
    </w:p>
    <w:p>
      <w:pPr>
        <w:ind w:firstLine="482"/>
        <w:outlineLvl w:val="2"/>
        <w:rPr>
          <w:rFonts w:cs="Times New Roman"/>
          <w:b/>
          <w:bCs/>
          <w:color w:val="005099"/>
          <w:sz w:val="24"/>
        </w:rPr>
      </w:pPr>
      <w:bookmarkStart w:id="18" w:name="_Toc90288207"/>
      <w:r>
        <w:rPr>
          <w:rFonts w:hint="eastAsia" w:cs="Times New Roman"/>
          <w:b/>
          <w:bCs/>
          <w:color w:val="005099"/>
          <w:sz w:val="24"/>
        </w:rPr>
        <w:t>（一）毕业生规模</w:t>
      </w:r>
      <w:bookmarkEnd w:id="18"/>
    </w:p>
    <w:p>
      <w:pPr>
        <w:ind w:firstLine="420"/>
        <w:rPr>
          <w:rFonts w:cs="Times New Roman"/>
          <w:szCs w:val="21"/>
        </w:rPr>
      </w:pPr>
      <w:r>
        <w:rPr>
          <w:rFonts w:cs="Times New Roman"/>
          <w:szCs w:val="21"/>
        </w:rPr>
        <w:t>2021届毕业生共1799人，其中</w:t>
      </w:r>
      <w:r>
        <w:rPr>
          <w:rFonts w:hint="eastAsia" w:cs="Times New Roman"/>
          <w:szCs w:val="21"/>
        </w:rPr>
        <w:t>本科</w:t>
      </w:r>
      <w:r>
        <w:rPr>
          <w:rFonts w:cs="Times New Roman"/>
          <w:szCs w:val="21"/>
        </w:rPr>
        <w:t>毕业生1566人，占毕业生总人数的87.05%；</w:t>
      </w:r>
      <w:r>
        <w:rPr>
          <w:rFonts w:hint="eastAsia" w:cs="Times New Roman"/>
          <w:szCs w:val="21"/>
        </w:rPr>
        <w:t>专科</w:t>
      </w:r>
      <w:r>
        <w:rPr>
          <w:rFonts w:cs="Times New Roman"/>
          <w:szCs w:val="21"/>
        </w:rPr>
        <w:t>毕业生233人，占毕业生总人数的12.95%。</w:t>
      </w:r>
      <w:r>
        <w:rPr>
          <w:rFonts w:hint="eastAsia" w:cs="Times New Roman"/>
          <w:szCs w:val="21"/>
        </w:rPr>
        <w:t>从性别结构来看，男生共</w:t>
      </w:r>
      <w:r>
        <w:rPr>
          <w:rFonts w:cs="Times New Roman"/>
          <w:szCs w:val="21"/>
        </w:rPr>
        <w:t>686</w:t>
      </w:r>
      <w:r>
        <w:rPr>
          <w:rFonts w:hint="eastAsia" w:cs="Times New Roman"/>
          <w:szCs w:val="21"/>
        </w:rPr>
        <w:t>人，占比</w:t>
      </w:r>
      <w:r>
        <w:rPr>
          <w:rFonts w:cs="Times New Roman"/>
          <w:szCs w:val="21"/>
        </w:rPr>
        <w:t>38.13</w:t>
      </w:r>
      <w:r>
        <w:rPr>
          <w:rFonts w:hint="eastAsia" w:cs="Times New Roman"/>
          <w:szCs w:val="21"/>
        </w:rPr>
        <w:t>%；女生共</w:t>
      </w:r>
      <w:r>
        <w:rPr>
          <w:rFonts w:cs="Times New Roman"/>
          <w:szCs w:val="21"/>
        </w:rPr>
        <w:t>1113</w:t>
      </w:r>
      <w:r>
        <w:rPr>
          <w:rFonts w:hint="eastAsia" w:cs="Times New Roman"/>
          <w:szCs w:val="21"/>
        </w:rPr>
        <w:t>人，占比</w:t>
      </w:r>
      <w:r>
        <w:rPr>
          <w:rFonts w:cs="Times New Roman"/>
          <w:szCs w:val="21"/>
        </w:rPr>
        <w:t>61.87</w:t>
      </w:r>
      <w:r>
        <w:rPr>
          <w:rFonts w:hint="eastAsia" w:cs="Times New Roman"/>
          <w:szCs w:val="21"/>
        </w:rPr>
        <w:t>%。具体分学历层次来看，本科毕业生中，男生共</w:t>
      </w:r>
      <w:r>
        <w:rPr>
          <w:rFonts w:cs="Times New Roman"/>
          <w:szCs w:val="21"/>
        </w:rPr>
        <w:t>568</w:t>
      </w:r>
      <w:r>
        <w:rPr>
          <w:rFonts w:hint="eastAsia" w:cs="Times New Roman"/>
          <w:szCs w:val="21"/>
        </w:rPr>
        <w:t>人，占比</w:t>
      </w:r>
      <w:r>
        <w:rPr>
          <w:rFonts w:cs="Times New Roman"/>
          <w:szCs w:val="21"/>
        </w:rPr>
        <w:t>36.27</w:t>
      </w:r>
      <w:r>
        <w:rPr>
          <w:rFonts w:hint="eastAsia" w:cs="Times New Roman"/>
          <w:szCs w:val="21"/>
        </w:rPr>
        <w:t>%；女生共</w:t>
      </w:r>
      <w:r>
        <w:rPr>
          <w:rFonts w:cs="Times New Roman"/>
          <w:szCs w:val="21"/>
        </w:rPr>
        <w:t>998</w:t>
      </w:r>
      <w:r>
        <w:rPr>
          <w:rFonts w:hint="eastAsia" w:cs="Times New Roman"/>
          <w:szCs w:val="21"/>
        </w:rPr>
        <w:t>人，占比</w:t>
      </w:r>
      <w:r>
        <w:rPr>
          <w:rFonts w:cs="Times New Roman"/>
          <w:szCs w:val="21"/>
        </w:rPr>
        <w:t>63.73</w:t>
      </w:r>
      <w:r>
        <w:rPr>
          <w:rFonts w:hint="eastAsia" w:cs="Times New Roman"/>
          <w:szCs w:val="21"/>
        </w:rPr>
        <w:t>%。专科毕业生中，男生共</w:t>
      </w:r>
      <w:r>
        <w:rPr>
          <w:rFonts w:cs="Times New Roman"/>
          <w:szCs w:val="21"/>
        </w:rPr>
        <w:t>118</w:t>
      </w:r>
      <w:r>
        <w:rPr>
          <w:rFonts w:hint="eastAsia" w:cs="Times New Roman"/>
          <w:szCs w:val="21"/>
        </w:rPr>
        <w:t>人，占比</w:t>
      </w:r>
      <w:r>
        <w:rPr>
          <w:rFonts w:cs="Times New Roman"/>
          <w:szCs w:val="21"/>
        </w:rPr>
        <w:t>50.64</w:t>
      </w:r>
      <w:r>
        <w:rPr>
          <w:rFonts w:hint="eastAsia" w:cs="Times New Roman"/>
          <w:szCs w:val="21"/>
        </w:rPr>
        <w:t>%；女生共</w:t>
      </w:r>
      <w:r>
        <w:rPr>
          <w:rFonts w:cs="Times New Roman"/>
          <w:szCs w:val="21"/>
        </w:rPr>
        <w:t>115</w:t>
      </w:r>
      <w:r>
        <w:rPr>
          <w:rFonts w:hint="eastAsia" w:cs="Times New Roman"/>
          <w:szCs w:val="21"/>
        </w:rPr>
        <w:t>人，占比</w:t>
      </w:r>
      <w:r>
        <w:rPr>
          <w:rFonts w:cs="Times New Roman"/>
          <w:szCs w:val="21"/>
        </w:rPr>
        <w:t>49.36</w:t>
      </w:r>
      <w:r>
        <w:rPr>
          <w:rFonts w:hint="eastAsia" w:cs="Times New Roman"/>
          <w:szCs w:val="21"/>
        </w:rPr>
        <w:t>%。</w:t>
      </w:r>
      <w:r>
        <w:rPr>
          <w:rFonts w:cs="Times New Roman"/>
          <w:szCs w:val="21"/>
        </w:rPr>
        <w:t>详见下表。</w:t>
      </w:r>
    </w:p>
    <w:p>
      <w:pPr>
        <w:spacing w:line="300" w:lineRule="auto"/>
        <w:ind w:firstLine="0" w:firstLineChars="0"/>
        <w:rPr>
          <w:rFonts w:eastAsia="黑体" w:cs="Times New Roman"/>
          <w:sz w:val="18"/>
          <w:szCs w:val="18"/>
        </w:rPr>
        <w:sectPr>
          <w:pgSz w:w="11906" w:h="16838"/>
          <w:pgMar w:top="1440" w:right="1800" w:bottom="1440" w:left="1800" w:header="851" w:footer="992" w:gutter="0"/>
          <w:cols w:space="425" w:num="1"/>
          <w:docGrid w:type="lines" w:linePitch="312" w:charSpace="0"/>
        </w:sectPr>
      </w:pPr>
    </w:p>
    <w:p>
      <w:pPr>
        <w:keepNext/>
        <w:spacing w:line="300" w:lineRule="auto"/>
        <w:ind w:firstLine="0" w:firstLineChars="0"/>
      </w:pPr>
      <w:r>
        <w:rPr>
          <w:rFonts w:ascii="黑体" w:hAnsi="黑体" w:eastAsia="黑体"/>
        </w:rPr>
        <w:drawing>
          <wp:inline distT="0" distB="0" distL="0" distR="0">
            <wp:extent cx="2501900" cy="2162175"/>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300" w:lineRule="auto"/>
        <w:ind w:firstLine="0" w:firstLineChars="0"/>
        <w:rPr>
          <w:rFonts w:ascii="黑体" w:hAnsi="黑体" w:eastAsia="黑体" w:cs="Times New Roman"/>
          <w:sz w:val="18"/>
          <w:szCs w:val="18"/>
        </w:rPr>
      </w:pPr>
    </w:p>
    <w:p>
      <w:pPr>
        <w:keepNext/>
        <w:spacing w:line="300" w:lineRule="auto"/>
        <w:ind w:firstLine="0" w:firstLineChars="0"/>
      </w:pPr>
      <w:r>
        <w:rPr>
          <w:rFonts w:ascii="黑体" w:hAnsi="黑体" w:eastAsia="黑体"/>
        </w:rPr>
        <w:drawing>
          <wp:inline distT="0" distB="0" distL="0" distR="0">
            <wp:extent cx="2501900" cy="2089150"/>
            <wp:effectExtent l="0" t="0" r="0"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8"/>
        <w:rPr>
          <w:rFonts w:ascii="黑体" w:hAnsi="黑体" w:eastAsia="黑体" w:cs="Times New Roman"/>
          <w:szCs w:val="18"/>
        </w:rPr>
        <w:sectPr>
          <w:type w:val="continuous"/>
          <w:pgSz w:w="11906" w:h="16838"/>
          <w:pgMar w:top="1440" w:right="1800" w:bottom="1440" w:left="1800" w:header="851" w:footer="992" w:gutter="0"/>
          <w:cols w:space="425" w:num="2"/>
          <w:docGrid w:type="lines" w:linePitch="312" w:charSpace="0"/>
        </w:sectPr>
      </w:pPr>
      <w:r>
        <w:t xml:space="preserve">    </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届毕业生学历层次结构及性别结构</w:t>
      </w:r>
    </w:p>
    <w:p>
      <w:pPr>
        <w:ind w:firstLine="482"/>
        <w:outlineLvl w:val="2"/>
        <w:rPr>
          <w:rFonts w:cs="Times New Roman"/>
          <w:b/>
          <w:bCs/>
          <w:color w:val="005099"/>
          <w:sz w:val="24"/>
        </w:rPr>
      </w:pPr>
      <w:bookmarkStart w:id="19" w:name="_Toc90288208"/>
      <w:r>
        <w:rPr>
          <w:rFonts w:hint="eastAsia" w:cs="Times New Roman"/>
          <w:b/>
          <w:bCs/>
          <w:color w:val="005099"/>
          <w:sz w:val="24"/>
        </w:rPr>
        <w:t>（二）毕业生结构分布</w:t>
      </w:r>
      <w:bookmarkEnd w:id="19"/>
    </w:p>
    <w:p>
      <w:pPr>
        <w:pStyle w:val="5"/>
      </w:pPr>
      <w:r>
        <w:t>1.学院/专业结构</w:t>
      </w:r>
    </w:p>
    <w:p>
      <w:pPr>
        <w:ind w:firstLine="420"/>
        <w:rPr>
          <w:rFonts w:cs="Times New Roman"/>
          <w:szCs w:val="21"/>
        </w:rPr>
      </w:pPr>
      <w:r>
        <w:rPr>
          <w:rFonts w:hint="eastAsia" w:cs="Times New Roman"/>
          <w:szCs w:val="21"/>
        </w:rPr>
        <w:t>本校202</w:t>
      </w:r>
      <w:r>
        <w:rPr>
          <w:rFonts w:cs="Times New Roman"/>
          <w:szCs w:val="21"/>
        </w:rPr>
        <w:t>1</w:t>
      </w:r>
      <w:r>
        <w:rPr>
          <w:rFonts w:hint="eastAsia" w:cs="Times New Roman"/>
          <w:szCs w:val="21"/>
        </w:rPr>
        <w:t>届本科毕业生分布在</w:t>
      </w:r>
      <w:r>
        <w:rPr>
          <w:rFonts w:cs="Times New Roman"/>
          <w:szCs w:val="21"/>
        </w:rPr>
        <w:t>7</w:t>
      </w:r>
      <w:r>
        <w:rPr>
          <w:rFonts w:hint="eastAsia" w:cs="Times New Roman"/>
          <w:szCs w:val="21"/>
        </w:rPr>
        <w:t>个学院</w:t>
      </w:r>
      <w:r>
        <w:rPr>
          <w:rFonts w:cs="Times New Roman"/>
          <w:szCs w:val="21"/>
        </w:rPr>
        <w:t>32</w:t>
      </w:r>
      <w:r>
        <w:rPr>
          <w:rFonts w:hint="eastAsia" w:cs="Times New Roman"/>
          <w:szCs w:val="21"/>
        </w:rPr>
        <w:t>个专业，其中规模较大的学院是商学院、艺术与设计学院，均在300人以上；本校202</w:t>
      </w:r>
      <w:r>
        <w:rPr>
          <w:rFonts w:cs="Times New Roman"/>
          <w:szCs w:val="21"/>
        </w:rPr>
        <w:t>1</w:t>
      </w:r>
      <w:r>
        <w:rPr>
          <w:rFonts w:hint="eastAsia" w:cs="Times New Roman"/>
          <w:szCs w:val="21"/>
        </w:rPr>
        <w:t>届专科毕业生分布在经商学院、艺术与设计学院和信息科学与工程学院。202</w:t>
      </w:r>
      <w:r>
        <w:rPr>
          <w:rFonts w:cs="Times New Roman"/>
          <w:szCs w:val="21"/>
        </w:rPr>
        <w:t>1</w:t>
      </w:r>
      <w:r>
        <w:rPr>
          <w:rFonts w:hint="eastAsia" w:cs="Times New Roman"/>
          <w:szCs w:val="21"/>
        </w:rPr>
        <w:t>届本科毕业生分布在2</w:t>
      </w:r>
      <w:r>
        <w:rPr>
          <w:rFonts w:cs="Times New Roman"/>
          <w:szCs w:val="21"/>
        </w:rPr>
        <w:t>7</w:t>
      </w:r>
      <w:r>
        <w:rPr>
          <w:rFonts w:hint="eastAsia" w:cs="Times New Roman"/>
          <w:szCs w:val="21"/>
        </w:rPr>
        <w:t>个专业，其中规模较大的专业是金融学、财务管理、汉语国际教育；本校202</w:t>
      </w:r>
      <w:r>
        <w:rPr>
          <w:rFonts w:cs="Times New Roman"/>
          <w:szCs w:val="21"/>
        </w:rPr>
        <w:t>1</w:t>
      </w:r>
      <w:r>
        <w:rPr>
          <w:rFonts w:hint="eastAsia" w:cs="Times New Roman"/>
          <w:szCs w:val="21"/>
        </w:rPr>
        <w:t>届专科毕业生分布在5个专业，其中规模较大的专业是工商企业管理、市场营销、计算机应用技术。</w:t>
      </w:r>
      <w:r>
        <w:rPr>
          <w:rFonts w:cs="Times New Roman"/>
          <w:szCs w:val="21"/>
        </w:rPr>
        <w:t>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届毕业生学院/专业结构</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981"/>
        <w:gridCol w:w="1786"/>
        <w:gridCol w:w="624"/>
        <w:gridCol w:w="961"/>
        <w:gridCol w:w="624"/>
        <w:gridCol w:w="961"/>
        <w:gridCol w:w="624"/>
        <w:gridCol w:w="961"/>
      </w:tblGrid>
      <w:tr>
        <w:tblPrEx>
          <w:tblCellMar>
            <w:top w:w="0" w:type="dxa"/>
            <w:left w:w="108" w:type="dxa"/>
            <w:bottom w:w="0" w:type="dxa"/>
            <w:right w:w="108" w:type="dxa"/>
          </w:tblCellMar>
        </w:tblPrEx>
        <w:trPr>
          <w:trHeight w:val="312" w:hRule="atLeast"/>
          <w:tblHeader/>
        </w:trPr>
        <w:tc>
          <w:tcPr>
            <w:tcW w:w="1162"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学院</w:t>
            </w:r>
          </w:p>
        </w:tc>
        <w:tc>
          <w:tcPr>
            <w:tcW w:w="1048"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专业</w:t>
            </w:r>
          </w:p>
        </w:tc>
        <w:tc>
          <w:tcPr>
            <w:tcW w:w="930"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本科毕业生</w:t>
            </w:r>
          </w:p>
        </w:tc>
        <w:tc>
          <w:tcPr>
            <w:tcW w:w="930"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专科毕业生</w:t>
            </w:r>
          </w:p>
        </w:tc>
        <w:tc>
          <w:tcPr>
            <w:tcW w:w="930"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总体</w:t>
            </w:r>
          </w:p>
        </w:tc>
      </w:tr>
      <w:tr>
        <w:tblPrEx>
          <w:tblCellMar>
            <w:top w:w="0" w:type="dxa"/>
            <w:left w:w="108" w:type="dxa"/>
            <w:bottom w:w="0" w:type="dxa"/>
            <w:right w:w="108" w:type="dxa"/>
          </w:tblCellMar>
        </w:tblPrEx>
        <w:trPr>
          <w:trHeight w:val="312" w:hRule="atLeast"/>
          <w:tblHeader/>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1048"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占比</w:t>
            </w: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占比</w:t>
            </w: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占比</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经济金融学院</w:t>
            </w: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保险学</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2.81%</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2.45%</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金融学</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6.39%</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5.56%</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劳动与社会保障</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65</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4.15%</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65</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3.61%</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人力资源管理</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0.32%</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0.28%</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经济金融学院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214</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13.67%</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214</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11.90%</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商学院</w:t>
            </w: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财务管理</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94</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94</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5.23%</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工商企业管理</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70</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30.04%</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70</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3.89%</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国际商务</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3.51%</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3.06%</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人力资源管理</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3.51%</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3.06%</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市场营销</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5.43%</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18.88%</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129</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7.17%</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商学院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289</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18.45%</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114</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48.93%</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403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22.40%</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食品工程学院</w:t>
            </w: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生物工程</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2.94%</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2.56%</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食品科学与工程</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1.79%</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1.56%</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食品质量与安全</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3.32%</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2.89%</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食品工程学院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126</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8.05%</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126</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7.00%</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外国语学院</w:t>
            </w: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汉语国际教育</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6.26%</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5.45%</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英语</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89</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5.68%</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89</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4.95%</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外国语学院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187</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11.94%</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187</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10.39%</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信息科学与工程学院</w:t>
            </w: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电子信息工程</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4.02%</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3.50%</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计算机科学与技术</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67</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4.28%</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67</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3.72%</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计算机应用技术</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　</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29.18%</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3.78%</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通信工程</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2.49%</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2.17%</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通信技术</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　</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5.15%</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0.67%</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自动化</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2.81%</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2.45%</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信息科学与工程学院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13.60%</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80</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34.33%</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293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16.29%</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医学院</w:t>
            </w: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护理学</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3.90%</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3.39%</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康复治疗学</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3.26%</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2.83%</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口腔医学技术</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3.45%</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3.00%</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药学</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2.61%</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医学院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13.60%</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11.84%</w:t>
            </w:r>
          </w:p>
        </w:tc>
      </w:tr>
      <w:tr>
        <w:tblPrEx>
          <w:tblCellMar>
            <w:top w:w="0" w:type="dxa"/>
            <w:left w:w="108" w:type="dxa"/>
            <w:bottom w:w="0" w:type="dxa"/>
            <w:right w:w="108" w:type="dxa"/>
          </w:tblCellMar>
        </w:tblPrEx>
        <w:trPr>
          <w:trHeight w:val="312" w:hRule="atLeast"/>
        </w:trPr>
        <w:tc>
          <w:tcPr>
            <w:tcW w:w="1162"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艺术与设计学院</w:t>
            </w: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动画</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2.68%</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2.33%</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公共艺术</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2.43%</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2.11%</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环境设计</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4.73%</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74</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4.11%</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视觉传达设计</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3.32%</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2.89%</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数字媒体艺术</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2.55%</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2.22%</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数字媒体艺术设计</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　</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16.74%</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2.17%</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舞蹈表演</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1.98%</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w:t>
            </w:r>
          </w:p>
        </w:tc>
        <w:tc>
          <w:tcPr>
            <w:tcW w:w="56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1.72%</w:t>
            </w:r>
          </w:p>
        </w:tc>
      </w:tr>
      <w:tr>
        <w:tblPrEx>
          <w:tblCellMar>
            <w:top w:w="0" w:type="dxa"/>
            <w:left w:w="108" w:type="dxa"/>
            <w:bottom w:w="0" w:type="dxa"/>
            <w:right w:w="108" w:type="dxa"/>
          </w:tblCellMar>
        </w:tblPrEx>
        <w:trPr>
          <w:trHeight w:val="312" w:hRule="atLeast"/>
        </w:trPr>
        <w:tc>
          <w:tcPr>
            <w:tcW w:w="1162"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048"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音乐表演</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3.00%</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36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56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2.61%</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艺术与设计学院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324</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20.69%</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39</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16.74%</w:t>
            </w:r>
          </w:p>
        </w:tc>
        <w:tc>
          <w:tcPr>
            <w:tcW w:w="366"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363</w:t>
            </w:r>
          </w:p>
        </w:tc>
        <w:tc>
          <w:tcPr>
            <w:tcW w:w="56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20.18%</w:t>
            </w:r>
          </w:p>
        </w:tc>
      </w:tr>
      <w:tr>
        <w:tblPrEx>
          <w:tblCellMar>
            <w:top w:w="0" w:type="dxa"/>
            <w:left w:w="108" w:type="dxa"/>
            <w:bottom w:w="0" w:type="dxa"/>
            <w:right w:w="108" w:type="dxa"/>
          </w:tblCellMar>
        </w:tblPrEx>
        <w:trPr>
          <w:trHeight w:val="312" w:hRule="atLeast"/>
        </w:trPr>
        <w:tc>
          <w:tcPr>
            <w:tcW w:w="2210" w:type="pct"/>
            <w:gridSpan w:val="2"/>
            <w:tcBorders>
              <w:top w:val="nil"/>
              <w:left w:val="nil"/>
              <w:bottom w:val="nil"/>
              <w:right w:val="nil"/>
            </w:tcBorders>
            <w:shd w:val="clear" w:color="000000" w:fill="3960A7"/>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总计</w:t>
            </w: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1566</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233</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c>
          <w:tcPr>
            <w:tcW w:w="3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1799</w:t>
            </w:r>
          </w:p>
        </w:tc>
        <w:tc>
          <w:tcPr>
            <w:tcW w:w="56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r>
    </w:tbl>
    <w:p>
      <w:pPr>
        <w:spacing w:line="300" w:lineRule="auto"/>
        <w:ind w:firstLine="3360" w:firstLineChars="1400"/>
        <w:rPr>
          <w:rFonts w:ascii="宋体" w:hAnsi="宋体"/>
          <w:color w:val="000000"/>
          <w:sz w:val="24"/>
        </w:rPr>
      </w:pPr>
    </w:p>
    <w:p>
      <w:pPr>
        <w:pStyle w:val="5"/>
      </w:pPr>
      <w:r>
        <w:t>2.</w:t>
      </w:r>
      <w:r>
        <w:rPr>
          <w:rFonts w:hint="eastAsia"/>
        </w:rPr>
        <w:t>民族结构</w:t>
      </w:r>
    </w:p>
    <w:p>
      <w:pPr>
        <w:ind w:firstLine="420"/>
        <w:rPr>
          <w:rFonts w:cs="Times New Roman"/>
          <w:szCs w:val="21"/>
        </w:rPr>
      </w:pPr>
      <w:r>
        <w:rPr>
          <w:rFonts w:cs="Times New Roman"/>
          <w:szCs w:val="21"/>
        </w:rPr>
        <w:t>2021届毕业生中汉族毕业生人数最多，有1632人，占毕业生总人数的90.72%。少数民族167人，占毕业生总人数的9.28%。少数民族中</w:t>
      </w:r>
      <w:r>
        <w:rPr>
          <w:rFonts w:hint="eastAsia" w:cs="Times New Roman"/>
          <w:szCs w:val="21"/>
        </w:rPr>
        <w:t>回</w:t>
      </w:r>
      <w:r>
        <w:rPr>
          <w:rFonts w:cs="Times New Roman"/>
          <w:szCs w:val="21"/>
        </w:rPr>
        <w:t>族和</w:t>
      </w:r>
      <w:r>
        <w:rPr>
          <w:rFonts w:hint="eastAsia" w:cs="Times New Roman"/>
          <w:szCs w:val="21"/>
        </w:rPr>
        <w:t>满</w:t>
      </w:r>
      <w:r>
        <w:rPr>
          <w:rFonts w:cs="Times New Roman"/>
          <w:szCs w:val="21"/>
        </w:rPr>
        <w:t>族的毕业生最多，分别有35人和30人，占毕业生总人数的比例分别为1.95%和1.67%。详见下图。</w:t>
      </w:r>
    </w:p>
    <w:p>
      <w:pPr>
        <w:spacing w:line="300" w:lineRule="auto"/>
        <w:ind w:firstLine="0" w:firstLineChars="0"/>
        <w:jc w:val="center"/>
        <w:rPr>
          <w:rFonts w:ascii="宋体" w:hAnsi="宋体"/>
          <w:color w:val="000000"/>
          <w:sz w:val="24"/>
        </w:rPr>
        <w:sectPr>
          <w:type w:val="continuous"/>
          <w:pgSz w:w="11906" w:h="16838"/>
          <w:pgMar w:top="1440" w:right="1800" w:bottom="1440" w:left="1800" w:header="851" w:footer="992" w:gutter="0"/>
          <w:cols w:space="425" w:num="1"/>
          <w:docGrid w:type="lines" w:linePitch="312" w:charSpace="0"/>
        </w:sectPr>
      </w:pPr>
    </w:p>
    <w:p>
      <w:pPr>
        <w:spacing w:line="300" w:lineRule="auto"/>
        <w:ind w:firstLine="0" w:firstLineChars="0"/>
        <w:jc w:val="center"/>
        <w:rPr>
          <w:rFonts w:ascii="宋体" w:hAnsi="宋体"/>
          <w:color w:val="000000"/>
          <w:sz w:val="24"/>
        </w:rPr>
      </w:pPr>
      <w:r>
        <w:drawing>
          <wp:inline distT="0" distB="0" distL="0" distR="0">
            <wp:extent cx="2501900" cy="186944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300" w:lineRule="auto"/>
        <w:ind w:firstLine="0" w:firstLineChars="0"/>
        <w:jc w:val="center"/>
        <w:rPr>
          <w:rFonts w:ascii="宋体" w:hAnsi="宋体"/>
          <w:color w:val="000000"/>
          <w:sz w:val="24"/>
        </w:rPr>
      </w:pPr>
      <w:r>
        <w:drawing>
          <wp:inline distT="0" distB="0" distL="0" distR="0">
            <wp:extent cx="2501900" cy="187642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00" w:lineRule="auto"/>
        <w:ind w:firstLine="0" w:firstLineChars="0"/>
        <w:jc w:val="center"/>
        <w:rPr>
          <w:rFonts w:ascii="宋体" w:hAnsi="宋体"/>
          <w:color w:val="000000"/>
          <w:sz w:val="24"/>
        </w:rPr>
        <w:sectPr>
          <w:type w:val="continuous"/>
          <w:pgSz w:w="11906" w:h="16838"/>
          <w:pgMar w:top="1440" w:right="1800" w:bottom="1440" w:left="1800" w:header="851" w:footer="992" w:gutter="0"/>
          <w:cols w:space="425" w:num="2"/>
          <w:docGrid w:type="lines" w:linePitch="312" w:charSpace="0"/>
        </w:sectPr>
      </w:pPr>
    </w:p>
    <w:p>
      <w:pPr>
        <w:spacing w:line="300" w:lineRule="auto"/>
        <w:ind w:firstLine="0" w:firstLineChars="0"/>
        <w:jc w:val="center"/>
        <w:rPr>
          <w:rFonts w:ascii="宋体" w:hAnsi="宋体"/>
          <w:color w:val="000000"/>
          <w:sz w:val="24"/>
        </w:rPr>
      </w:pP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届毕业生民族结构（少数民族人数前十名）</w:t>
      </w:r>
    </w:p>
    <w:p>
      <w:pPr>
        <w:ind w:firstLine="420"/>
        <w:rPr>
          <w:rFonts w:cs="Times New Roman"/>
          <w:szCs w:val="21"/>
        </w:rPr>
      </w:pPr>
    </w:p>
    <w:p>
      <w:pPr>
        <w:pStyle w:val="5"/>
      </w:pPr>
      <w:r>
        <w:rPr>
          <w:rFonts w:hint="eastAsia"/>
        </w:rPr>
        <w:t>3</w:t>
      </w:r>
      <w:r>
        <w:t>.</w:t>
      </w:r>
      <w:r>
        <w:rPr>
          <w:rFonts w:hint="eastAsia"/>
        </w:rPr>
        <w:t>生源结构</w:t>
      </w:r>
    </w:p>
    <w:p>
      <w:pPr>
        <w:ind w:firstLine="420"/>
        <w:rPr>
          <w:rFonts w:cs="Times New Roman"/>
          <w:szCs w:val="21"/>
        </w:rPr>
      </w:pPr>
      <w:r>
        <w:rPr>
          <w:rFonts w:hint="eastAsia" w:cs="Times New Roman"/>
          <w:szCs w:val="21"/>
        </w:rPr>
        <w:t>202</w:t>
      </w:r>
      <w:r>
        <w:rPr>
          <w:rFonts w:cs="Times New Roman"/>
          <w:szCs w:val="21"/>
        </w:rPr>
        <w:t>1</w:t>
      </w:r>
      <w:r>
        <w:rPr>
          <w:rFonts w:hint="eastAsia" w:cs="Times New Roman"/>
          <w:szCs w:val="21"/>
        </w:rPr>
        <w:t>届毕业生来自天津市的有</w:t>
      </w:r>
      <w:r>
        <w:rPr>
          <w:rFonts w:cs="Times New Roman"/>
          <w:szCs w:val="21"/>
        </w:rPr>
        <w:t>550</w:t>
      </w:r>
      <w:r>
        <w:rPr>
          <w:rFonts w:hint="eastAsia" w:cs="Times New Roman"/>
          <w:szCs w:val="21"/>
        </w:rPr>
        <w:t>人，占毕业生总人数的</w:t>
      </w:r>
      <w:r>
        <w:rPr>
          <w:rFonts w:cs="Times New Roman"/>
          <w:szCs w:val="21"/>
        </w:rPr>
        <w:t>30.57</w:t>
      </w:r>
      <w:r>
        <w:rPr>
          <w:rFonts w:hint="eastAsia" w:cs="Times New Roman"/>
          <w:szCs w:val="21"/>
        </w:rPr>
        <w:t>%。其他地区生源</w:t>
      </w:r>
      <w:r>
        <w:rPr>
          <w:rFonts w:cs="Times New Roman"/>
          <w:szCs w:val="21"/>
        </w:rPr>
        <w:t>1249</w:t>
      </w:r>
      <w:r>
        <w:rPr>
          <w:rFonts w:hint="eastAsia" w:cs="Times New Roman"/>
          <w:szCs w:val="21"/>
        </w:rPr>
        <w:t>人，占</w:t>
      </w:r>
      <w:r>
        <w:rPr>
          <w:rFonts w:cs="Times New Roman"/>
          <w:szCs w:val="21"/>
        </w:rPr>
        <w:t>69.43</w:t>
      </w:r>
      <w:r>
        <w:rPr>
          <w:rFonts w:hint="eastAsia" w:cs="Times New Roman"/>
          <w:szCs w:val="21"/>
        </w:rPr>
        <w:t>%；其中，甘肃省、河北省和山西省生源人数位列前三，占比分别为</w:t>
      </w:r>
      <w:r>
        <w:rPr>
          <w:rFonts w:cs="Times New Roman"/>
          <w:szCs w:val="21"/>
        </w:rPr>
        <w:t>8.84</w:t>
      </w:r>
      <w:r>
        <w:rPr>
          <w:rFonts w:hint="eastAsia" w:cs="Times New Roman"/>
          <w:szCs w:val="21"/>
        </w:rPr>
        <w:t>%、</w:t>
      </w:r>
      <w:r>
        <w:rPr>
          <w:rFonts w:cs="Times New Roman"/>
          <w:szCs w:val="21"/>
        </w:rPr>
        <w:t>8.28</w:t>
      </w:r>
      <w:r>
        <w:rPr>
          <w:rFonts w:hint="eastAsia" w:cs="Times New Roman"/>
          <w:szCs w:val="21"/>
        </w:rPr>
        <w:t>%、</w:t>
      </w:r>
      <w:r>
        <w:rPr>
          <w:rFonts w:cs="Times New Roman"/>
          <w:szCs w:val="21"/>
        </w:rPr>
        <w:t>7.12</w:t>
      </w:r>
      <w:r>
        <w:rPr>
          <w:rFonts w:hint="eastAsia" w:cs="Times New Roman"/>
          <w:szCs w:val="21"/>
        </w:rPr>
        <w:t>%。详见下图与表。</w:t>
      </w:r>
    </w:p>
    <w:p>
      <w:pPr>
        <w:spacing w:line="300" w:lineRule="auto"/>
        <w:ind w:firstLine="0" w:firstLineChars="0"/>
        <w:jc w:val="center"/>
        <w:rPr>
          <w:rFonts w:ascii="宋体" w:hAnsi="宋体"/>
          <w:color w:val="000000"/>
          <w:sz w:val="24"/>
        </w:rPr>
      </w:pPr>
      <w:r>
        <w:drawing>
          <wp:inline distT="0" distB="0" distL="0" distR="0">
            <wp:extent cx="5344160" cy="2200275"/>
            <wp:effectExtent l="0" t="0" r="889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届毕业生生源结构</w:t>
      </w:r>
    </w:p>
    <w:p>
      <w:pPr>
        <w:ind w:firstLine="420"/>
        <w:rPr>
          <w:lang w:val="zh-CN" w:bidi="zh-CN"/>
        </w:rPr>
      </w:pP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4</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届毕业生生源结构</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4157"/>
        <w:gridCol w:w="2296"/>
        <w:gridCol w:w="2069"/>
      </w:tblGrid>
      <w:tr>
        <w:tblPrEx>
          <w:tblCellMar>
            <w:top w:w="0" w:type="dxa"/>
            <w:left w:w="108" w:type="dxa"/>
            <w:bottom w:w="0" w:type="dxa"/>
            <w:right w:w="108" w:type="dxa"/>
          </w:tblCellMar>
        </w:tblPrEx>
        <w:trPr>
          <w:trHeight w:val="20" w:hRule="atLeast"/>
          <w:tblHeader/>
        </w:trPr>
        <w:tc>
          <w:tcPr>
            <w:tcW w:w="243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生源省</w:t>
            </w:r>
          </w:p>
        </w:tc>
        <w:tc>
          <w:tcPr>
            <w:tcW w:w="13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毕业人数</w:t>
            </w:r>
          </w:p>
        </w:tc>
        <w:tc>
          <w:tcPr>
            <w:tcW w:w="121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比例</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天津市</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550</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30.57%</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甘肃省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159</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8.84%</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河北省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149</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8.28%</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山西省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128</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7.12%</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贵州省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111</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6.17%</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安徽省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101</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5.61%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内蒙古自治区</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99</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5.50%</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四川省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90</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5.00%</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河南省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90</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5.00%</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云南省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2.89%</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新疆维吾尔自治区</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2.89%</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黑龙江省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49</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2.72%</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广西壮族自治区</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48</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2.67%</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陕西省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2.45%</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吉林省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27</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1.50%</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辽宁省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1.45%</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江苏省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0.61%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宁夏回族自治区</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湖南省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北京市</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湖北省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0.11%</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浙江省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0.06%</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山东省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0.06%</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重庆市</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0.06%</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福建省</w:t>
            </w:r>
          </w:p>
        </w:tc>
        <w:tc>
          <w:tcPr>
            <w:tcW w:w="134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21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0.06%</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江西省</w:t>
            </w:r>
          </w:p>
        </w:tc>
        <w:tc>
          <w:tcPr>
            <w:tcW w:w="13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21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0.06%</w:t>
            </w:r>
          </w:p>
        </w:tc>
      </w:tr>
      <w:tr>
        <w:tblPrEx>
          <w:tblCellMar>
            <w:top w:w="0" w:type="dxa"/>
            <w:left w:w="108" w:type="dxa"/>
            <w:bottom w:w="0" w:type="dxa"/>
            <w:right w:w="108" w:type="dxa"/>
          </w:tblCellMar>
        </w:tblPrEx>
        <w:trPr>
          <w:trHeight w:val="20" w:hRule="atLeast"/>
        </w:trPr>
        <w:tc>
          <w:tcPr>
            <w:tcW w:w="2439" w:type="pct"/>
            <w:tcBorders>
              <w:top w:val="nil"/>
              <w:left w:val="nil"/>
              <w:bottom w:val="nil"/>
              <w:right w:val="nil"/>
            </w:tcBorders>
            <w:shd w:val="clear" w:color="000000" w:fill="3960A7"/>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总计</w:t>
            </w:r>
          </w:p>
        </w:tc>
        <w:tc>
          <w:tcPr>
            <w:tcW w:w="13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1799</w:t>
            </w:r>
          </w:p>
        </w:tc>
        <w:tc>
          <w:tcPr>
            <w:tcW w:w="121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r>
    </w:tbl>
    <w:p>
      <w:pPr>
        <w:ind w:firstLine="420"/>
      </w:pPr>
    </w:p>
    <w:p>
      <w:pPr>
        <w:pStyle w:val="5"/>
      </w:pPr>
      <w:r>
        <w:rPr>
          <w:rFonts w:hint="eastAsia"/>
        </w:rPr>
        <w:t>4</w:t>
      </w:r>
      <w:r>
        <w:t>.</w:t>
      </w:r>
      <w:r>
        <w:rPr>
          <w:rFonts w:hint="eastAsia"/>
        </w:rPr>
        <w:t>困难类别结构</w:t>
      </w:r>
    </w:p>
    <w:p>
      <w:pPr>
        <w:ind w:firstLine="420"/>
        <w:rPr>
          <w:rFonts w:cs="Times New Roman"/>
          <w:szCs w:val="21"/>
        </w:rPr>
      </w:pPr>
      <w:r>
        <w:rPr>
          <w:rFonts w:hint="eastAsia" w:cs="Times New Roman"/>
          <w:szCs w:val="21"/>
        </w:rPr>
        <w:t>2021届困难生毕业生人数共计</w:t>
      </w:r>
      <w:r>
        <w:rPr>
          <w:rFonts w:cs="Times New Roman"/>
          <w:szCs w:val="21"/>
        </w:rPr>
        <w:t>634</w:t>
      </w:r>
      <w:r>
        <w:rPr>
          <w:rFonts w:hint="eastAsia" w:cs="Times New Roman"/>
          <w:szCs w:val="21"/>
        </w:rPr>
        <w:t>人，占总毕业生人数的</w:t>
      </w:r>
      <w:r>
        <w:rPr>
          <w:rFonts w:cs="Times New Roman"/>
          <w:szCs w:val="21"/>
        </w:rPr>
        <w:t>35.24</w:t>
      </w:r>
      <w:r>
        <w:rPr>
          <w:rFonts w:hint="eastAsia" w:cs="Times New Roman"/>
          <w:szCs w:val="21"/>
        </w:rPr>
        <w:t>%，其中本科毕业生中困难生</w:t>
      </w:r>
      <w:r>
        <w:rPr>
          <w:rFonts w:cs="Times New Roman"/>
          <w:szCs w:val="21"/>
        </w:rPr>
        <w:t>559</w:t>
      </w:r>
      <w:r>
        <w:rPr>
          <w:rFonts w:hint="eastAsia" w:cs="Times New Roman"/>
          <w:szCs w:val="21"/>
        </w:rPr>
        <w:t>人，占总本科生的</w:t>
      </w:r>
      <w:r>
        <w:rPr>
          <w:rFonts w:cs="Times New Roman"/>
          <w:szCs w:val="21"/>
        </w:rPr>
        <w:t>35.70</w:t>
      </w:r>
      <w:r>
        <w:rPr>
          <w:rFonts w:hint="eastAsia" w:cs="Times New Roman"/>
          <w:szCs w:val="21"/>
        </w:rPr>
        <w:t>%，困难生与非困难生比例为1：</w:t>
      </w:r>
      <w:r>
        <w:rPr>
          <w:rFonts w:cs="Times New Roman"/>
          <w:szCs w:val="21"/>
        </w:rPr>
        <w:t>1.80</w:t>
      </w:r>
      <w:r>
        <w:rPr>
          <w:rFonts w:hint="eastAsia" w:cs="Times New Roman"/>
          <w:szCs w:val="21"/>
        </w:rPr>
        <w:t>，毕业研究生中困难生</w:t>
      </w:r>
      <w:r>
        <w:rPr>
          <w:rFonts w:cs="Times New Roman"/>
          <w:szCs w:val="21"/>
        </w:rPr>
        <w:t>75</w:t>
      </w:r>
      <w:r>
        <w:rPr>
          <w:rFonts w:hint="eastAsia" w:cs="Times New Roman"/>
          <w:szCs w:val="21"/>
        </w:rPr>
        <w:t>人，占总毕业研究生的</w:t>
      </w:r>
      <w:r>
        <w:rPr>
          <w:rFonts w:cs="Times New Roman"/>
          <w:szCs w:val="21"/>
        </w:rPr>
        <w:t>32.20</w:t>
      </w:r>
      <w:r>
        <w:rPr>
          <w:rFonts w:hint="eastAsia" w:cs="Times New Roman"/>
          <w:szCs w:val="21"/>
        </w:rPr>
        <w:t>%，困难生与非困难生比例为1：</w:t>
      </w:r>
      <w:r>
        <w:rPr>
          <w:rFonts w:cs="Times New Roman"/>
          <w:szCs w:val="21"/>
        </w:rPr>
        <w:t>2.11</w:t>
      </w:r>
      <w:r>
        <w:rPr>
          <w:rFonts w:hint="eastAsia" w:cs="Times New Roman"/>
          <w:szCs w:val="21"/>
        </w:rPr>
        <w:t>。详见下表。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5</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届毕业生困难类别结构</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2471"/>
        <w:gridCol w:w="816"/>
        <w:gridCol w:w="1202"/>
        <w:gridCol w:w="815"/>
        <w:gridCol w:w="1202"/>
        <w:gridCol w:w="816"/>
        <w:gridCol w:w="1200"/>
      </w:tblGrid>
      <w:tr>
        <w:tblPrEx>
          <w:tblCellMar>
            <w:top w:w="0" w:type="dxa"/>
            <w:left w:w="108" w:type="dxa"/>
            <w:bottom w:w="0" w:type="dxa"/>
            <w:right w:w="108" w:type="dxa"/>
          </w:tblCellMar>
        </w:tblPrEx>
        <w:trPr>
          <w:trHeight w:val="312" w:hRule="atLeast"/>
        </w:trPr>
        <w:tc>
          <w:tcPr>
            <w:tcW w:w="1450" w:type="pct"/>
            <w:vMerge w:val="restart"/>
            <w:tcBorders>
              <w:top w:val="nil"/>
              <w:left w:val="nil"/>
              <w:bottom w:val="nil"/>
              <w:right w:val="nil"/>
              <w:tl2br w:val="single" w:color="auto" w:sz="4" w:space="0"/>
            </w:tcBorders>
            <w:shd w:val="clear" w:color="000000" w:fill="3960A7"/>
            <w:vAlign w:val="bottom"/>
          </w:tcPr>
          <w:p>
            <w:pPr>
              <w:widowControl/>
              <w:spacing w:line="240" w:lineRule="auto"/>
              <w:ind w:firstLine="0" w:firstLineChars="0"/>
              <w:jc w:val="left"/>
              <w:rPr>
                <w:rFonts w:ascii="宋体" w:hAnsi="宋体" w:cs="宋体"/>
                <w:b/>
                <w:bCs/>
                <w:color w:val="FFFFFF"/>
                <w:kern w:val="0"/>
                <w:sz w:val="18"/>
                <w:szCs w:val="18"/>
              </w:rPr>
            </w:pPr>
            <w:r>
              <w:rPr>
                <w:rFonts w:hint="eastAsia" w:ascii="宋体" w:hAnsi="宋体" w:cs="宋体"/>
                <w:b/>
                <w:bCs/>
                <w:color w:val="FFFFFF"/>
                <w:kern w:val="0"/>
                <w:sz w:val="18"/>
                <w:szCs w:val="18"/>
              </w:rPr>
              <w:t xml:space="preserve">     </w:t>
            </w:r>
            <w:r>
              <w:rPr>
                <w:rFonts w:ascii="宋体" w:hAnsi="宋体" w:cs="宋体"/>
                <w:b/>
                <w:bCs/>
                <w:color w:val="FFFFFF"/>
                <w:kern w:val="0"/>
                <w:sz w:val="18"/>
                <w:szCs w:val="18"/>
              </w:rPr>
              <w:t xml:space="preserve">       </w:t>
            </w:r>
            <w:r>
              <w:rPr>
                <w:rFonts w:hint="eastAsia" w:ascii="宋体" w:hAnsi="宋体" w:cs="宋体"/>
                <w:b/>
                <w:bCs/>
                <w:color w:val="FFFFFF"/>
                <w:kern w:val="0"/>
                <w:sz w:val="18"/>
                <w:szCs w:val="18"/>
              </w:rPr>
              <w:t xml:space="preserve">  困难生类别</w:t>
            </w:r>
            <w:r>
              <w:rPr>
                <w:rFonts w:hint="eastAsia" w:ascii="宋体" w:hAnsi="宋体" w:cs="宋体"/>
                <w:b/>
                <w:bCs/>
                <w:color w:val="FFFFFF"/>
                <w:kern w:val="0"/>
                <w:sz w:val="18"/>
                <w:szCs w:val="18"/>
              </w:rPr>
              <w:br w:type="textWrapping"/>
            </w:r>
            <w:r>
              <w:rPr>
                <w:rFonts w:hint="eastAsia" w:ascii="宋体" w:hAnsi="宋体" w:cs="宋体"/>
                <w:b/>
                <w:bCs/>
                <w:color w:val="FFFFFF"/>
                <w:kern w:val="0"/>
                <w:sz w:val="18"/>
                <w:szCs w:val="18"/>
              </w:rPr>
              <w:t>学历</w:t>
            </w:r>
          </w:p>
        </w:tc>
        <w:tc>
          <w:tcPr>
            <w:tcW w:w="1184"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非困难生</w:t>
            </w:r>
          </w:p>
        </w:tc>
        <w:tc>
          <w:tcPr>
            <w:tcW w:w="1183"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困难生</w:t>
            </w:r>
          </w:p>
        </w:tc>
        <w:tc>
          <w:tcPr>
            <w:tcW w:w="1184"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总体</w:t>
            </w:r>
          </w:p>
        </w:tc>
      </w:tr>
      <w:tr>
        <w:tblPrEx>
          <w:tblCellMar>
            <w:top w:w="0" w:type="dxa"/>
            <w:left w:w="108" w:type="dxa"/>
            <w:bottom w:w="0" w:type="dxa"/>
            <w:right w:w="108" w:type="dxa"/>
          </w:tblCellMar>
        </w:tblPrEx>
        <w:trPr>
          <w:trHeight w:val="312" w:hRule="atLeast"/>
        </w:trPr>
        <w:tc>
          <w:tcPr>
            <w:tcW w:w="1450" w:type="pct"/>
            <w:vMerge w:val="continue"/>
            <w:tcBorders>
              <w:top w:val="nil"/>
              <w:left w:val="nil"/>
              <w:bottom w:val="nil"/>
              <w:right w:val="nil"/>
              <w:tl2br w:val="single" w:color="auto" w:sz="4" w:space="0"/>
            </w:tcBorders>
            <w:vAlign w:val="center"/>
          </w:tcPr>
          <w:p>
            <w:pPr>
              <w:widowControl/>
              <w:spacing w:line="240" w:lineRule="auto"/>
              <w:ind w:firstLine="0" w:firstLineChars="0"/>
              <w:jc w:val="left"/>
              <w:rPr>
                <w:rFonts w:ascii="宋体" w:hAnsi="宋体" w:cs="宋体"/>
                <w:b/>
                <w:bCs/>
                <w:color w:val="FFFFFF"/>
                <w:kern w:val="0"/>
                <w:sz w:val="18"/>
                <w:szCs w:val="18"/>
              </w:rPr>
            </w:pPr>
          </w:p>
        </w:tc>
        <w:tc>
          <w:tcPr>
            <w:tcW w:w="47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人数</w:t>
            </w:r>
          </w:p>
        </w:tc>
        <w:tc>
          <w:tcPr>
            <w:tcW w:w="70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占比</w:t>
            </w:r>
          </w:p>
        </w:tc>
        <w:tc>
          <w:tcPr>
            <w:tcW w:w="478"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人数</w:t>
            </w:r>
          </w:p>
        </w:tc>
        <w:tc>
          <w:tcPr>
            <w:tcW w:w="70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占比</w:t>
            </w:r>
          </w:p>
        </w:tc>
        <w:tc>
          <w:tcPr>
            <w:tcW w:w="47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人数</w:t>
            </w:r>
          </w:p>
        </w:tc>
        <w:tc>
          <w:tcPr>
            <w:tcW w:w="70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占比</w:t>
            </w:r>
          </w:p>
        </w:tc>
      </w:tr>
      <w:tr>
        <w:tblPrEx>
          <w:tblCellMar>
            <w:top w:w="0" w:type="dxa"/>
            <w:left w:w="108" w:type="dxa"/>
            <w:bottom w:w="0" w:type="dxa"/>
            <w:right w:w="108" w:type="dxa"/>
          </w:tblCellMar>
        </w:tblPrEx>
        <w:trPr>
          <w:trHeight w:val="312" w:hRule="atLeast"/>
        </w:trPr>
        <w:tc>
          <w:tcPr>
            <w:tcW w:w="1450"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本科毕业生</w:t>
            </w:r>
          </w:p>
        </w:tc>
        <w:tc>
          <w:tcPr>
            <w:tcW w:w="479"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1007</w:t>
            </w:r>
          </w:p>
        </w:tc>
        <w:tc>
          <w:tcPr>
            <w:tcW w:w="704"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86.44%</w:t>
            </w:r>
          </w:p>
        </w:tc>
        <w:tc>
          <w:tcPr>
            <w:tcW w:w="478"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559</w:t>
            </w:r>
          </w:p>
        </w:tc>
        <w:tc>
          <w:tcPr>
            <w:tcW w:w="704"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88.17%</w:t>
            </w:r>
          </w:p>
        </w:tc>
        <w:tc>
          <w:tcPr>
            <w:tcW w:w="479"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1566</w:t>
            </w:r>
          </w:p>
        </w:tc>
        <w:tc>
          <w:tcPr>
            <w:tcW w:w="704" w:type="pct"/>
            <w:tcBorders>
              <w:top w:val="nil"/>
              <w:left w:val="nil"/>
              <w:bottom w:val="nil"/>
              <w:right w:val="nil"/>
            </w:tcBorders>
            <w:shd w:val="clear" w:color="auto" w:fill="auto"/>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87.05%</w:t>
            </w:r>
          </w:p>
        </w:tc>
      </w:tr>
      <w:tr>
        <w:tblPrEx>
          <w:tblCellMar>
            <w:top w:w="0" w:type="dxa"/>
            <w:left w:w="108" w:type="dxa"/>
            <w:bottom w:w="0" w:type="dxa"/>
            <w:right w:w="108" w:type="dxa"/>
          </w:tblCellMar>
        </w:tblPrEx>
        <w:trPr>
          <w:trHeight w:val="312" w:hRule="atLeast"/>
        </w:trPr>
        <w:tc>
          <w:tcPr>
            <w:tcW w:w="1450"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专科毕业生</w:t>
            </w:r>
          </w:p>
        </w:tc>
        <w:tc>
          <w:tcPr>
            <w:tcW w:w="479"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158</w:t>
            </w:r>
          </w:p>
        </w:tc>
        <w:tc>
          <w:tcPr>
            <w:tcW w:w="704"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13.56%</w:t>
            </w:r>
          </w:p>
        </w:tc>
        <w:tc>
          <w:tcPr>
            <w:tcW w:w="478"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75</w:t>
            </w:r>
          </w:p>
        </w:tc>
        <w:tc>
          <w:tcPr>
            <w:tcW w:w="704"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11.83%</w:t>
            </w:r>
          </w:p>
        </w:tc>
        <w:tc>
          <w:tcPr>
            <w:tcW w:w="479"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233</w:t>
            </w:r>
          </w:p>
        </w:tc>
        <w:tc>
          <w:tcPr>
            <w:tcW w:w="704" w:type="pct"/>
            <w:tcBorders>
              <w:top w:val="nil"/>
              <w:left w:val="nil"/>
              <w:bottom w:val="nil"/>
              <w:right w:val="nil"/>
            </w:tcBorders>
            <w:shd w:val="clear" w:color="000000" w:fill="DCE6F1"/>
            <w:noWrap/>
            <w:vAlign w:val="bottom"/>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12.95%</w:t>
            </w:r>
          </w:p>
        </w:tc>
      </w:tr>
      <w:tr>
        <w:tblPrEx>
          <w:tblCellMar>
            <w:top w:w="0" w:type="dxa"/>
            <w:left w:w="108" w:type="dxa"/>
            <w:bottom w:w="0" w:type="dxa"/>
            <w:right w:w="108" w:type="dxa"/>
          </w:tblCellMar>
        </w:tblPrEx>
        <w:trPr>
          <w:trHeight w:val="312" w:hRule="atLeast"/>
        </w:trPr>
        <w:tc>
          <w:tcPr>
            <w:tcW w:w="1450"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总计</w:t>
            </w:r>
          </w:p>
        </w:tc>
        <w:tc>
          <w:tcPr>
            <w:tcW w:w="479"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1165</w:t>
            </w:r>
          </w:p>
        </w:tc>
        <w:tc>
          <w:tcPr>
            <w:tcW w:w="704"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478"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634</w:t>
            </w:r>
          </w:p>
        </w:tc>
        <w:tc>
          <w:tcPr>
            <w:tcW w:w="704"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479"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1799</w:t>
            </w:r>
          </w:p>
        </w:tc>
        <w:tc>
          <w:tcPr>
            <w:tcW w:w="704" w:type="pct"/>
            <w:tcBorders>
              <w:top w:val="nil"/>
              <w:left w:val="nil"/>
              <w:bottom w:val="nil"/>
              <w:right w:val="nil"/>
            </w:tcBorders>
            <w:shd w:val="clear" w:color="000000" w:fill="3960A7"/>
            <w:noWrap/>
            <w:vAlign w:val="bottom"/>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r>
    </w:tbl>
    <w:p>
      <w:pPr>
        <w:spacing w:line="300" w:lineRule="auto"/>
        <w:ind w:firstLine="199" w:firstLineChars="83"/>
        <w:rPr>
          <w:rFonts w:ascii="宋体" w:hAnsi="宋体"/>
          <w:color w:val="000000"/>
          <w:sz w:val="24"/>
        </w:rPr>
      </w:pPr>
    </w:p>
    <w:p>
      <w:pPr>
        <w:ind w:firstLine="602"/>
        <w:outlineLvl w:val="1"/>
        <w:rPr>
          <w:rFonts w:cs="Times New Roman"/>
          <w:b/>
          <w:bCs/>
          <w:color w:val="005099"/>
          <w:sz w:val="30"/>
          <w:szCs w:val="30"/>
        </w:rPr>
      </w:pPr>
      <w:bookmarkStart w:id="20" w:name="_Toc90288209"/>
      <w:r>
        <w:rPr>
          <w:rFonts w:hint="eastAsia" w:cs="Times New Roman"/>
          <w:b/>
          <w:bCs/>
          <w:color w:val="005099"/>
          <w:sz w:val="30"/>
          <w:szCs w:val="30"/>
        </w:rPr>
        <w:t>二、毕业生毕业去向落实率及去向</w:t>
      </w:r>
      <w:bookmarkEnd w:id="20"/>
    </w:p>
    <w:p>
      <w:pPr>
        <w:ind w:firstLine="482"/>
        <w:outlineLvl w:val="2"/>
        <w:rPr>
          <w:rFonts w:cs="Times New Roman"/>
          <w:b/>
          <w:bCs/>
          <w:color w:val="005099"/>
          <w:sz w:val="24"/>
        </w:rPr>
      </w:pPr>
      <w:bookmarkStart w:id="21" w:name="_Toc90288210"/>
      <w:r>
        <w:rPr>
          <w:rFonts w:hint="eastAsia" w:cs="Times New Roman"/>
          <w:b/>
          <w:bCs/>
          <w:color w:val="005099"/>
          <w:sz w:val="24"/>
        </w:rPr>
        <w:t>（一）各类毕业生的毕业去向落实率</w:t>
      </w:r>
      <w:bookmarkEnd w:id="21"/>
    </w:p>
    <w:p>
      <w:pPr>
        <w:pStyle w:val="5"/>
      </w:pPr>
      <w:r>
        <w:rPr>
          <w:rFonts w:hint="eastAsia"/>
        </w:rPr>
        <w:t>1</w:t>
      </w:r>
      <w:r>
        <w:t>.</w:t>
      </w:r>
      <w:r>
        <w:rPr>
          <w:rFonts w:hint="eastAsia"/>
        </w:rPr>
        <w:t>毕业生初次毕业去向落实率</w:t>
      </w:r>
    </w:p>
    <w:p>
      <w:pPr>
        <w:ind w:firstLine="420"/>
        <w:rPr>
          <w:rFonts w:cs="Times New Roman"/>
          <w:szCs w:val="21"/>
        </w:rPr>
      </w:pPr>
      <w:r>
        <w:rPr>
          <w:rFonts w:hint="eastAsia" w:cs="Times New Roman"/>
          <w:szCs w:val="21"/>
        </w:rPr>
        <w:t>截至202</w:t>
      </w:r>
      <w:r>
        <w:rPr>
          <w:rFonts w:cs="Times New Roman"/>
          <w:szCs w:val="21"/>
        </w:rPr>
        <w:t>1</w:t>
      </w:r>
      <w:r>
        <w:rPr>
          <w:rFonts w:hint="eastAsia" w:cs="Times New Roman"/>
          <w:szCs w:val="21"/>
        </w:rPr>
        <w:t>年</w:t>
      </w:r>
      <w:r>
        <w:rPr>
          <w:rFonts w:cs="Times New Roman"/>
          <w:szCs w:val="21"/>
        </w:rPr>
        <w:t>9</w:t>
      </w:r>
      <w:r>
        <w:rPr>
          <w:rFonts w:hint="eastAsia" w:cs="Times New Roman"/>
          <w:szCs w:val="21"/>
        </w:rPr>
        <w:t>月1日，202</w:t>
      </w:r>
      <w:r>
        <w:rPr>
          <w:rFonts w:cs="Times New Roman"/>
          <w:szCs w:val="21"/>
        </w:rPr>
        <w:t>1</w:t>
      </w:r>
      <w:r>
        <w:rPr>
          <w:rFonts w:hint="eastAsia" w:cs="Times New Roman"/>
          <w:szCs w:val="21"/>
        </w:rPr>
        <w:t>届毕业生总体初次毕业去向落实率为</w:t>
      </w:r>
      <w:r>
        <w:rPr>
          <w:rFonts w:cs="Times New Roman"/>
          <w:szCs w:val="21"/>
        </w:rPr>
        <w:t>80.93</w:t>
      </w:r>
      <w:r>
        <w:rPr>
          <w:rFonts w:hint="eastAsia" w:cs="Times New Roman"/>
          <w:szCs w:val="21"/>
        </w:rPr>
        <w:t>%，</w:t>
      </w:r>
      <w:r>
        <w:rPr>
          <w:rFonts w:cs="Times New Roman"/>
          <w:szCs w:val="21"/>
        </w:rPr>
        <w:t>本科</w:t>
      </w:r>
      <w:r>
        <w:rPr>
          <w:rFonts w:hint="eastAsia" w:cs="Times New Roman"/>
          <w:szCs w:val="21"/>
        </w:rPr>
        <w:t>毕业生毕业去向落实率为</w:t>
      </w:r>
      <w:r>
        <w:rPr>
          <w:rFonts w:cs="Times New Roman"/>
          <w:szCs w:val="21"/>
        </w:rPr>
        <w:t>80.91</w:t>
      </w:r>
      <w:r>
        <w:rPr>
          <w:rFonts w:hint="eastAsia" w:cs="Times New Roman"/>
          <w:szCs w:val="21"/>
        </w:rPr>
        <w:t>%，</w:t>
      </w:r>
      <w:r>
        <w:rPr>
          <w:rFonts w:cs="Times New Roman"/>
          <w:szCs w:val="21"/>
        </w:rPr>
        <w:t>专科</w:t>
      </w:r>
      <w:r>
        <w:rPr>
          <w:rFonts w:hint="eastAsia" w:cs="Times New Roman"/>
          <w:szCs w:val="21"/>
        </w:rPr>
        <w:t>毕业生初次毕业去向落实率为</w:t>
      </w:r>
      <w:r>
        <w:rPr>
          <w:rFonts w:cs="Times New Roman"/>
          <w:szCs w:val="21"/>
        </w:rPr>
        <w:t>81.12</w:t>
      </w:r>
      <w:r>
        <w:rPr>
          <w:rFonts w:hint="eastAsia" w:cs="Times New Roman"/>
          <w:szCs w:val="21"/>
        </w:rPr>
        <w:t>%。详见下表。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6</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总体及不同性别毕业生毕业去向落实率</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767"/>
        <w:gridCol w:w="1488"/>
        <w:gridCol w:w="2920"/>
        <w:gridCol w:w="2347"/>
      </w:tblGrid>
      <w:tr>
        <w:tblPrEx>
          <w:tblCellMar>
            <w:top w:w="0" w:type="dxa"/>
            <w:left w:w="108" w:type="dxa"/>
            <w:bottom w:w="0" w:type="dxa"/>
            <w:right w:w="108" w:type="dxa"/>
          </w:tblCellMar>
        </w:tblPrEx>
        <w:trPr>
          <w:trHeight w:val="340" w:hRule="atLeast"/>
        </w:trPr>
        <w:tc>
          <w:tcPr>
            <w:tcW w:w="103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学历</w:t>
            </w:r>
          </w:p>
        </w:tc>
        <w:tc>
          <w:tcPr>
            <w:tcW w:w="87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毕业人数</w:t>
            </w:r>
          </w:p>
        </w:tc>
        <w:tc>
          <w:tcPr>
            <w:tcW w:w="171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已落实毕业去向人数</w:t>
            </w:r>
          </w:p>
        </w:tc>
        <w:tc>
          <w:tcPr>
            <w:tcW w:w="137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毕业去向落实率</w:t>
            </w:r>
          </w:p>
        </w:tc>
      </w:tr>
      <w:tr>
        <w:tblPrEx>
          <w:tblCellMar>
            <w:top w:w="0" w:type="dxa"/>
            <w:left w:w="108" w:type="dxa"/>
            <w:bottom w:w="0" w:type="dxa"/>
            <w:right w:w="108" w:type="dxa"/>
          </w:tblCellMar>
        </w:tblPrEx>
        <w:trPr>
          <w:trHeight w:val="340" w:hRule="atLeast"/>
        </w:trPr>
        <w:tc>
          <w:tcPr>
            <w:tcW w:w="103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本科毕业生</w:t>
            </w:r>
          </w:p>
        </w:tc>
        <w:tc>
          <w:tcPr>
            <w:tcW w:w="873"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1566</w:t>
            </w:r>
          </w:p>
        </w:tc>
        <w:tc>
          <w:tcPr>
            <w:tcW w:w="1713"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1267</w:t>
            </w:r>
          </w:p>
        </w:tc>
        <w:tc>
          <w:tcPr>
            <w:tcW w:w="137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80.91%</w:t>
            </w:r>
          </w:p>
        </w:tc>
      </w:tr>
      <w:tr>
        <w:tblPrEx>
          <w:tblCellMar>
            <w:top w:w="0" w:type="dxa"/>
            <w:left w:w="108" w:type="dxa"/>
            <w:bottom w:w="0" w:type="dxa"/>
            <w:right w:w="108" w:type="dxa"/>
          </w:tblCellMar>
        </w:tblPrEx>
        <w:trPr>
          <w:trHeight w:val="340" w:hRule="atLeast"/>
        </w:trPr>
        <w:tc>
          <w:tcPr>
            <w:tcW w:w="103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专科毕业生</w:t>
            </w:r>
          </w:p>
        </w:tc>
        <w:tc>
          <w:tcPr>
            <w:tcW w:w="87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233</w:t>
            </w:r>
          </w:p>
        </w:tc>
        <w:tc>
          <w:tcPr>
            <w:tcW w:w="171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189</w:t>
            </w:r>
          </w:p>
        </w:tc>
        <w:tc>
          <w:tcPr>
            <w:tcW w:w="137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Arial" w:hAnsi="Arial" w:cs="Arial"/>
                <w:kern w:val="0"/>
                <w:sz w:val="18"/>
                <w:szCs w:val="18"/>
              </w:rPr>
            </w:pPr>
            <w:r>
              <w:rPr>
                <w:rFonts w:ascii="Arial" w:hAnsi="Arial" w:cs="Arial"/>
                <w:kern w:val="0"/>
                <w:sz w:val="18"/>
                <w:szCs w:val="18"/>
              </w:rPr>
              <w:t>81.12%</w:t>
            </w:r>
          </w:p>
        </w:tc>
      </w:tr>
      <w:tr>
        <w:tblPrEx>
          <w:tblCellMar>
            <w:top w:w="0" w:type="dxa"/>
            <w:left w:w="108" w:type="dxa"/>
            <w:bottom w:w="0" w:type="dxa"/>
            <w:right w:w="108" w:type="dxa"/>
          </w:tblCellMar>
        </w:tblPrEx>
        <w:trPr>
          <w:trHeight w:val="340" w:hRule="atLeast"/>
        </w:trPr>
        <w:tc>
          <w:tcPr>
            <w:tcW w:w="103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Arial" w:hAnsi="Arial" w:cs="Arial"/>
                <w:b/>
                <w:bCs/>
                <w:color w:val="FFFFFF"/>
                <w:kern w:val="0"/>
                <w:sz w:val="18"/>
                <w:szCs w:val="18"/>
              </w:rPr>
            </w:pPr>
            <w:r>
              <w:rPr>
                <w:rFonts w:ascii="Arial" w:hAnsi="Arial" w:cs="Arial"/>
                <w:b/>
                <w:bCs/>
                <w:color w:val="FFFFFF"/>
                <w:kern w:val="0"/>
                <w:sz w:val="18"/>
                <w:szCs w:val="18"/>
              </w:rPr>
              <w:t>总计</w:t>
            </w:r>
          </w:p>
        </w:tc>
        <w:tc>
          <w:tcPr>
            <w:tcW w:w="87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Arial" w:hAnsi="Arial" w:cs="Arial"/>
                <w:b/>
                <w:bCs/>
                <w:color w:val="FFFFFF"/>
                <w:kern w:val="0"/>
                <w:sz w:val="18"/>
                <w:szCs w:val="18"/>
              </w:rPr>
            </w:pPr>
            <w:r>
              <w:rPr>
                <w:rFonts w:ascii="Arial" w:hAnsi="Arial" w:cs="Arial"/>
                <w:b/>
                <w:bCs/>
                <w:color w:val="FFFFFF"/>
                <w:kern w:val="0"/>
                <w:sz w:val="18"/>
                <w:szCs w:val="18"/>
              </w:rPr>
              <w:t>1799</w:t>
            </w:r>
          </w:p>
        </w:tc>
        <w:tc>
          <w:tcPr>
            <w:tcW w:w="171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Arial" w:hAnsi="Arial" w:cs="Arial"/>
                <w:b/>
                <w:bCs/>
                <w:color w:val="FFFFFF"/>
                <w:kern w:val="0"/>
                <w:sz w:val="18"/>
                <w:szCs w:val="18"/>
              </w:rPr>
            </w:pPr>
            <w:r>
              <w:rPr>
                <w:rFonts w:ascii="Arial" w:hAnsi="Arial" w:cs="Arial"/>
                <w:b/>
                <w:bCs/>
                <w:color w:val="FFFFFF"/>
                <w:kern w:val="0"/>
                <w:sz w:val="18"/>
                <w:szCs w:val="18"/>
              </w:rPr>
              <w:t>1456</w:t>
            </w:r>
          </w:p>
        </w:tc>
        <w:tc>
          <w:tcPr>
            <w:tcW w:w="137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Arial" w:hAnsi="Arial" w:cs="Arial"/>
                <w:b/>
                <w:bCs/>
                <w:color w:val="FFFFFF"/>
                <w:kern w:val="0"/>
                <w:sz w:val="18"/>
                <w:szCs w:val="18"/>
              </w:rPr>
            </w:pPr>
            <w:r>
              <w:rPr>
                <w:rFonts w:ascii="Arial" w:hAnsi="Arial" w:cs="Arial"/>
                <w:b/>
                <w:bCs/>
                <w:color w:val="FFFFFF"/>
                <w:kern w:val="0"/>
                <w:sz w:val="18"/>
                <w:szCs w:val="18"/>
              </w:rPr>
              <w:t>80.93%</w:t>
            </w:r>
          </w:p>
        </w:tc>
      </w:tr>
    </w:tbl>
    <w:p>
      <w:pPr>
        <w:spacing w:line="300" w:lineRule="auto"/>
        <w:ind w:firstLine="480"/>
        <w:rPr>
          <w:rFonts w:ascii="宋体" w:hAnsi="宋体"/>
          <w:color w:val="000000"/>
          <w:sz w:val="24"/>
        </w:rPr>
      </w:pPr>
    </w:p>
    <w:p>
      <w:pPr>
        <w:pStyle w:val="5"/>
      </w:pPr>
      <w:r>
        <w:rPr>
          <w:rFonts w:hint="eastAsia"/>
        </w:rPr>
        <w:t>2</w:t>
      </w:r>
      <w:r>
        <w:t>.</w:t>
      </w:r>
      <w:r>
        <w:rPr>
          <w:rFonts w:hint="eastAsia"/>
        </w:rPr>
        <w:t>困难生毕业去向落实率</w:t>
      </w:r>
    </w:p>
    <w:p>
      <w:pPr>
        <w:ind w:firstLine="420"/>
        <w:rPr>
          <w:rFonts w:cs="Times New Roman"/>
          <w:szCs w:val="21"/>
        </w:rPr>
      </w:pPr>
      <w:r>
        <w:rPr>
          <w:rFonts w:hint="eastAsia" w:cs="Times New Roman"/>
          <w:szCs w:val="21"/>
        </w:rPr>
        <w:t>202</w:t>
      </w:r>
      <w:r>
        <w:rPr>
          <w:rFonts w:cs="Times New Roman"/>
          <w:szCs w:val="21"/>
        </w:rPr>
        <w:t>1</w:t>
      </w:r>
      <w:r>
        <w:rPr>
          <w:rFonts w:hint="eastAsia" w:cs="Times New Roman"/>
          <w:szCs w:val="21"/>
        </w:rPr>
        <w:t>届毕业生中，困难生毕业去向落实率为</w:t>
      </w:r>
      <w:r>
        <w:rPr>
          <w:rFonts w:cs="Times New Roman"/>
          <w:szCs w:val="21"/>
        </w:rPr>
        <w:t>78.86</w:t>
      </w:r>
      <w:r>
        <w:rPr>
          <w:rFonts w:hint="eastAsia" w:cs="Times New Roman"/>
          <w:szCs w:val="21"/>
        </w:rPr>
        <w:t>%，</w:t>
      </w:r>
      <w:r>
        <w:rPr>
          <w:rFonts w:cs="Times New Roman"/>
          <w:szCs w:val="21"/>
        </w:rPr>
        <w:t>本科</w:t>
      </w:r>
      <w:r>
        <w:rPr>
          <w:rFonts w:hint="eastAsia" w:cs="Times New Roman"/>
          <w:szCs w:val="21"/>
        </w:rPr>
        <w:t>困难生毕业去向落实率为</w:t>
      </w:r>
      <w:r>
        <w:rPr>
          <w:rFonts w:cs="Times New Roman"/>
          <w:szCs w:val="21"/>
        </w:rPr>
        <w:t>77.82</w:t>
      </w:r>
      <w:r>
        <w:rPr>
          <w:rFonts w:hint="eastAsia" w:cs="Times New Roman"/>
          <w:szCs w:val="21"/>
        </w:rPr>
        <w:t>%，</w:t>
      </w:r>
      <w:r>
        <w:rPr>
          <w:rFonts w:cs="Times New Roman"/>
          <w:szCs w:val="21"/>
        </w:rPr>
        <w:t>专科</w:t>
      </w:r>
      <w:r>
        <w:rPr>
          <w:rFonts w:hint="eastAsia" w:cs="Times New Roman"/>
          <w:szCs w:val="21"/>
        </w:rPr>
        <w:t>困难生初次毕业去向落实率为</w:t>
      </w:r>
      <w:r>
        <w:rPr>
          <w:rFonts w:cs="Times New Roman"/>
          <w:szCs w:val="21"/>
        </w:rPr>
        <w:t>86.67</w:t>
      </w:r>
      <w:r>
        <w:rPr>
          <w:rFonts w:hint="eastAsia" w:cs="Times New Roman"/>
          <w:szCs w:val="21"/>
        </w:rPr>
        <w:t>%。详见下表。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7</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届困难生毕业生毕业去向落实率</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829"/>
        <w:gridCol w:w="1539"/>
        <w:gridCol w:w="2725"/>
        <w:gridCol w:w="2429"/>
      </w:tblGrid>
      <w:tr>
        <w:tblPrEx>
          <w:tblCellMar>
            <w:top w:w="0" w:type="dxa"/>
            <w:left w:w="108" w:type="dxa"/>
            <w:bottom w:w="0" w:type="dxa"/>
            <w:right w:w="108" w:type="dxa"/>
          </w:tblCellMar>
        </w:tblPrEx>
        <w:trPr>
          <w:trHeight w:val="283" w:hRule="atLeast"/>
        </w:trPr>
        <w:tc>
          <w:tcPr>
            <w:tcW w:w="1073"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学历</w:t>
            </w:r>
          </w:p>
        </w:tc>
        <w:tc>
          <w:tcPr>
            <w:tcW w:w="3927" w:type="pct"/>
            <w:gridSpan w:val="3"/>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困难生</w:t>
            </w:r>
          </w:p>
        </w:tc>
      </w:tr>
      <w:tr>
        <w:tblPrEx>
          <w:tblCellMar>
            <w:top w:w="0" w:type="dxa"/>
            <w:left w:w="108" w:type="dxa"/>
            <w:bottom w:w="0" w:type="dxa"/>
            <w:right w:w="108" w:type="dxa"/>
          </w:tblCellMar>
        </w:tblPrEx>
        <w:trPr>
          <w:trHeight w:val="283" w:hRule="atLeast"/>
        </w:trPr>
        <w:tc>
          <w:tcPr>
            <w:tcW w:w="1073" w:type="pct"/>
            <w:vMerge w:val="continue"/>
            <w:tcBorders>
              <w:top w:val="nil"/>
              <w:left w:val="nil"/>
              <w:bottom w:val="nil"/>
              <w:right w:val="nil"/>
            </w:tcBorders>
            <w:vAlign w:val="center"/>
          </w:tcPr>
          <w:p>
            <w:pPr>
              <w:widowControl/>
              <w:spacing w:line="240" w:lineRule="auto"/>
              <w:ind w:firstLine="0" w:firstLineChars="0"/>
              <w:jc w:val="center"/>
              <w:rPr>
                <w:rFonts w:ascii="宋体" w:hAnsi="宋体" w:cs="宋体"/>
                <w:b/>
                <w:bCs/>
                <w:color w:val="FFFFFF"/>
                <w:kern w:val="0"/>
                <w:sz w:val="18"/>
                <w:szCs w:val="18"/>
              </w:rPr>
            </w:pPr>
          </w:p>
        </w:tc>
        <w:tc>
          <w:tcPr>
            <w:tcW w:w="90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毕业人数</w:t>
            </w:r>
          </w:p>
        </w:tc>
        <w:tc>
          <w:tcPr>
            <w:tcW w:w="159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毕业去向落实人数</w:t>
            </w:r>
          </w:p>
        </w:tc>
        <w:tc>
          <w:tcPr>
            <w:tcW w:w="142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毕业去向落实率</w:t>
            </w:r>
          </w:p>
        </w:tc>
      </w:tr>
      <w:tr>
        <w:tblPrEx>
          <w:tblCellMar>
            <w:top w:w="0" w:type="dxa"/>
            <w:left w:w="108" w:type="dxa"/>
            <w:bottom w:w="0" w:type="dxa"/>
            <w:right w:w="108" w:type="dxa"/>
          </w:tblCellMar>
        </w:tblPrEx>
        <w:trPr>
          <w:trHeight w:val="283" w:hRule="atLeast"/>
        </w:trPr>
        <w:tc>
          <w:tcPr>
            <w:tcW w:w="107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本科毕业生</w:t>
            </w:r>
          </w:p>
        </w:tc>
        <w:tc>
          <w:tcPr>
            <w:tcW w:w="9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559</w:t>
            </w:r>
          </w:p>
        </w:tc>
        <w:tc>
          <w:tcPr>
            <w:tcW w:w="1599"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435</w:t>
            </w:r>
          </w:p>
        </w:tc>
        <w:tc>
          <w:tcPr>
            <w:tcW w:w="14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77.82%</w:t>
            </w:r>
          </w:p>
        </w:tc>
      </w:tr>
      <w:tr>
        <w:tblPrEx>
          <w:tblCellMar>
            <w:top w:w="0" w:type="dxa"/>
            <w:left w:w="108" w:type="dxa"/>
            <w:bottom w:w="0" w:type="dxa"/>
            <w:right w:w="108" w:type="dxa"/>
          </w:tblCellMar>
        </w:tblPrEx>
        <w:trPr>
          <w:trHeight w:val="283" w:hRule="atLeast"/>
        </w:trPr>
        <w:tc>
          <w:tcPr>
            <w:tcW w:w="1073" w:type="pct"/>
            <w:tcBorders>
              <w:top w:val="nil"/>
              <w:left w:val="nil"/>
              <w:bottom w:val="nil"/>
              <w:right w:val="nil"/>
            </w:tcBorders>
            <w:shd w:val="clear" w:color="000000" w:fill="DCE6F1"/>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专科毕业生</w:t>
            </w:r>
          </w:p>
        </w:tc>
        <w:tc>
          <w:tcPr>
            <w:tcW w:w="903" w:type="pct"/>
            <w:tcBorders>
              <w:top w:val="nil"/>
              <w:left w:val="nil"/>
              <w:bottom w:val="nil"/>
              <w:right w:val="nil"/>
            </w:tcBorders>
            <w:shd w:val="clear" w:color="000000" w:fill="DCE6F1"/>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75</w:t>
            </w:r>
          </w:p>
        </w:tc>
        <w:tc>
          <w:tcPr>
            <w:tcW w:w="1599" w:type="pct"/>
            <w:tcBorders>
              <w:top w:val="nil"/>
              <w:left w:val="nil"/>
              <w:bottom w:val="nil"/>
              <w:right w:val="nil"/>
            </w:tcBorders>
            <w:shd w:val="clear" w:color="000000" w:fill="DCE6F1"/>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65</w:t>
            </w:r>
          </w:p>
        </w:tc>
        <w:tc>
          <w:tcPr>
            <w:tcW w:w="1425" w:type="pct"/>
            <w:tcBorders>
              <w:top w:val="nil"/>
              <w:left w:val="nil"/>
              <w:bottom w:val="nil"/>
              <w:right w:val="nil"/>
            </w:tcBorders>
            <w:shd w:val="clear" w:color="000000" w:fill="DCE6F1"/>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86.67%</w:t>
            </w:r>
          </w:p>
        </w:tc>
      </w:tr>
      <w:tr>
        <w:tblPrEx>
          <w:tblCellMar>
            <w:top w:w="0" w:type="dxa"/>
            <w:left w:w="108" w:type="dxa"/>
            <w:bottom w:w="0" w:type="dxa"/>
            <w:right w:w="108" w:type="dxa"/>
          </w:tblCellMar>
        </w:tblPrEx>
        <w:trPr>
          <w:trHeight w:val="283" w:hRule="atLeast"/>
        </w:trPr>
        <w:tc>
          <w:tcPr>
            <w:tcW w:w="107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总计</w:t>
            </w:r>
          </w:p>
        </w:tc>
        <w:tc>
          <w:tcPr>
            <w:tcW w:w="90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634</w:t>
            </w:r>
          </w:p>
        </w:tc>
        <w:tc>
          <w:tcPr>
            <w:tcW w:w="159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500</w:t>
            </w:r>
          </w:p>
        </w:tc>
        <w:tc>
          <w:tcPr>
            <w:tcW w:w="142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78.86%</w:t>
            </w:r>
          </w:p>
        </w:tc>
      </w:tr>
    </w:tbl>
    <w:p>
      <w:pPr>
        <w:spacing w:line="300" w:lineRule="auto"/>
        <w:ind w:firstLine="199" w:firstLineChars="83"/>
        <w:rPr>
          <w:rFonts w:ascii="宋体" w:hAnsi="宋体"/>
          <w:color w:val="000000"/>
          <w:sz w:val="24"/>
        </w:rPr>
      </w:pPr>
    </w:p>
    <w:p>
      <w:pPr>
        <w:pStyle w:val="5"/>
      </w:pPr>
      <w:r>
        <w:rPr>
          <w:rFonts w:hint="eastAsia"/>
        </w:rPr>
        <w:t>3</w:t>
      </w:r>
      <w:r>
        <w:t>.</w:t>
      </w:r>
      <w:r>
        <w:rPr>
          <w:rFonts w:hint="eastAsia"/>
        </w:rPr>
        <w:t>各学院/专业毕业生去向落实率</w:t>
      </w:r>
    </w:p>
    <w:p>
      <w:pPr>
        <w:ind w:firstLine="420"/>
        <w:rPr>
          <w:rFonts w:cs="Times New Roman"/>
          <w:szCs w:val="21"/>
        </w:rPr>
      </w:pPr>
      <w:r>
        <w:rPr>
          <w:rFonts w:cs="Times New Roman"/>
          <w:szCs w:val="21"/>
        </w:rPr>
        <w:t>2021届</w:t>
      </w:r>
      <w:r>
        <w:rPr>
          <w:rFonts w:hint="eastAsia" w:cs="Times New Roman"/>
          <w:szCs w:val="21"/>
        </w:rPr>
        <w:t>本科</w:t>
      </w:r>
      <w:r>
        <w:rPr>
          <w:rFonts w:cs="Times New Roman"/>
          <w:szCs w:val="21"/>
        </w:rPr>
        <w:t>各</w:t>
      </w:r>
      <w:r>
        <w:rPr>
          <w:rFonts w:hint="eastAsia" w:cs="Times New Roman"/>
          <w:szCs w:val="21"/>
        </w:rPr>
        <w:t>院系</w:t>
      </w:r>
      <w:r>
        <w:rPr>
          <w:rFonts w:cs="Times New Roman"/>
          <w:szCs w:val="21"/>
        </w:rPr>
        <w:t>中，</w:t>
      </w:r>
      <w:r>
        <w:rPr>
          <w:rFonts w:hint="eastAsia" w:cs="Times New Roman"/>
          <w:szCs w:val="21"/>
        </w:rPr>
        <w:t>商学院</w:t>
      </w:r>
      <w:r>
        <w:rPr>
          <w:rFonts w:cs="Times New Roman"/>
          <w:szCs w:val="21"/>
        </w:rPr>
        <w:t>毕业去向落实率最高，达94.81%；其次为</w:t>
      </w:r>
      <w:r>
        <w:rPr>
          <w:rFonts w:hint="eastAsia" w:cs="Times New Roman"/>
          <w:szCs w:val="21"/>
        </w:rPr>
        <w:t>经济金融学院达到9</w:t>
      </w:r>
      <w:r>
        <w:rPr>
          <w:rFonts w:cs="Times New Roman"/>
          <w:szCs w:val="21"/>
        </w:rPr>
        <w:t>1.59%，相对来说，</w:t>
      </w:r>
      <w:r>
        <w:rPr>
          <w:rFonts w:hint="eastAsia" w:cs="Times New Roman"/>
          <w:szCs w:val="21"/>
        </w:rPr>
        <w:t>食品工程学院</w:t>
      </w:r>
      <w:r>
        <w:rPr>
          <w:rFonts w:cs="Times New Roman"/>
          <w:szCs w:val="21"/>
        </w:rPr>
        <w:t>毕业去向落实率最低，</w:t>
      </w:r>
      <w:r>
        <w:rPr>
          <w:rFonts w:hint="eastAsia" w:cs="Times New Roman"/>
          <w:szCs w:val="21"/>
        </w:rPr>
        <w:t>达</w:t>
      </w:r>
      <w:r>
        <w:rPr>
          <w:rFonts w:cs="Times New Roman"/>
          <w:szCs w:val="21"/>
        </w:rPr>
        <w:t>60.32%。分专业来看，</w:t>
      </w:r>
      <w:r>
        <w:rPr>
          <w:rFonts w:hint="eastAsia" w:cs="Times New Roman"/>
          <w:szCs w:val="21"/>
        </w:rPr>
        <w:t>本科毕业生</w:t>
      </w:r>
      <w:r>
        <w:rPr>
          <w:rFonts w:cs="Times New Roman"/>
          <w:szCs w:val="21"/>
        </w:rPr>
        <w:t>毕业去向落实率最高的专业为</w:t>
      </w:r>
      <w:r>
        <w:rPr>
          <w:rFonts w:hint="eastAsia" w:cs="Times New Roman"/>
          <w:szCs w:val="21"/>
        </w:rPr>
        <w:t>人力资源管理</w:t>
      </w:r>
      <w:r>
        <w:rPr>
          <w:rFonts w:cs="Times New Roman"/>
          <w:szCs w:val="21"/>
        </w:rPr>
        <w:t>，毕业去向落实率为100.00%。2021届</w:t>
      </w:r>
      <w:r>
        <w:rPr>
          <w:rFonts w:hint="eastAsia" w:cs="Times New Roman"/>
          <w:szCs w:val="21"/>
        </w:rPr>
        <w:t>专科</w:t>
      </w:r>
      <w:r>
        <w:rPr>
          <w:rFonts w:cs="Times New Roman"/>
          <w:szCs w:val="21"/>
        </w:rPr>
        <w:t>各</w:t>
      </w:r>
      <w:r>
        <w:rPr>
          <w:rFonts w:hint="eastAsia" w:cs="Times New Roman"/>
          <w:szCs w:val="21"/>
        </w:rPr>
        <w:t>院系</w:t>
      </w:r>
      <w:r>
        <w:rPr>
          <w:rFonts w:cs="Times New Roman"/>
          <w:szCs w:val="21"/>
        </w:rPr>
        <w:t>中，</w:t>
      </w:r>
      <w:r>
        <w:rPr>
          <w:rFonts w:hint="eastAsia" w:cs="Times New Roman"/>
          <w:szCs w:val="21"/>
        </w:rPr>
        <w:t>商学院</w:t>
      </w:r>
      <w:r>
        <w:rPr>
          <w:rFonts w:cs="Times New Roman"/>
          <w:szCs w:val="21"/>
        </w:rPr>
        <w:t>毕业去向落实率最高，达90.35%；相对来说，</w:t>
      </w:r>
      <w:r>
        <w:rPr>
          <w:rFonts w:hint="eastAsia" w:cs="Times New Roman"/>
          <w:szCs w:val="21"/>
        </w:rPr>
        <w:t>艺术与设计学院</w:t>
      </w:r>
      <w:r>
        <w:rPr>
          <w:rFonts w:cs="Times New Roman"/>
          <w:szCs w:val="21"/>
        </w:rPr>
        <w:t>毕业去向落实率最低，</w:t>
      </w:r>
      <w:r>
        <w:rPr>
          <w:rFonts w:hint="eastAsia" w:cs="Times New Roman"/>
          <w:szCs w:val="21"/>
        </w:rPr>
        <w:t>达</w:t>
      </w:r>
      <w:r>
        <w:rPr>
          <w:rFonts w:cs="Times New Roman"/>
          <w:szCs w:val="21"/>
        </w:rPr>
        <w:t>38.46%。分专业来看，</w:t>
      </w:r>
      <w:r>
        <w:rPr>
          <w:rFonts w:hint="eastAsia" w:cs="Times New Roman"/>
          <w:szCs w:val="21"/>
        </w:rPr>
        <w:t>专科毕业生</w:t>
      </w:r>
      <w:r>
        <w:rPr>
          <w:rFonts w:cs="Times New Roman"/>
          <w:szCs w:val="21"/>
        </w:rPr>
        <w:t>毕业去向落实率最高的专业为</w:t>
      </w:r>
      <w:r>
        <w:rPr>
          <w:rFonts w:hint="eastAsia" w:cs="Times New Roman"/>
          <w:szCs w:val="21"/>
        </w:rPr>
        <w:t>通信技术</w:t>
      </w:r>
      <w:r>
        <w:rPr>
          <w:rFonts w:cs="Times New Roman"/>
          <w:szCs w:val="21"/>
        </w:rPr>
        <w:t>，毕业去向落实率为100.00%。详见下表。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8</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各学院/专业毕业生毕业去向落实率</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116"/>
        <w:gridCol w:w="977"/>
        <w:gridCol w:w="1705"/>
        <w:gridCol w:w="1123"/>
        <w:gridCol w:w="1998"/>
        <w:gridCol w:w="148"/>
        <w:gridCol w:w="1455"/>
      </w:tblGrid>
      <w:tr>
        <w:tblPrEx>
          <w:tblCellMar>
            <w:top w:w="0" w:type="dxa"/>
            <w:left w:w="108" w:type="dxa"/>
            <w:bottom w:w="0" w:type="dxa"/>
            <w:right w:w="108" w:type="dxa"/>
          </w:tblCellMar>
        </w:tblPrEx>
        <w:trPr>
          <w:trHeight w:val="20" w:hRule="atLeast"/>
          <w:tblHeader/>
        </w:trPr>
        <w:tc>
          <w:tcPr>
            <w:tcW w:w="512"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学历</w:t>
            </w:r>
          </w:p>
        </w:tc>
        <w:tc>
          <w:tcPr>
            <w:tcW w:w="597"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学院</w:t>
            </w:r>
          </w:p>
        </w:tc>
        <w:tc>
          <w:tcPr>
            <w:tcW w:w="1024"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专业</w:t>
            </w:r>
          </w:p>
        </w:tc>
        <w:tc>
          <w:tcPr>
            <w:tcW w:w="683" w:type="pct"/>
            <w:shd w:val="clear" w:color="000000" w:fill="3960A7"/>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毕业人数</w:t>
            </w:r>
          </w:p>
        </w:tc>
        <w:tc>
          <w:tcPr>
            <w:tcW w:w="1196"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已落实毕业去向人数</w:t>
            </w:r>
          </w:p>
        </w:tc>
        <w:tc>
          <w:tcPr>
            <w:tcW w:w="987" w:type="pct"/>
            <w:gridSpan w:val="2"/>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毕业去向落实率</w:t>
            </w:r>
          </w:p>
        </w:tc>
      </w:tr>
      <w:tr>
        <w:tblPrEx>
          <w:tblCellMar>
            <w:top w:w="0" w:type="dxa"/>
            <w:left w:w="108" w:type="dxa"/>
            <w:bottom w:w="0" w:type="dxa"/>
            <w:right w:w="108" w:type="dxa"/>
          </w:tblCellMar>
        </w:tblPrEx>
        <w:trPr>
          <w:trHeight w:val="20" w:hRule="atLeast"/>
        </w:trPr>
        <w:tc>
          <w:tcPr>
            <w:tcW w:w="512" w:type="pct"/>
            <w:vMerge w:val="restar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本科毕业生</w:t>
            </w:r>
          </w:p>
        </w:tc>
        <w:tc>
          <w:tcPr>
            <w:tcW w:w="597" w:type="pct"/>
            <w:vMerge w:val="restar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经济金融学院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保险学</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88.64%</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金融学</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95</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95.00%</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劳动与社会保障</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65</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57</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87.69%</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人力资源管理</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100.00%</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经济金融学院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214</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196</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91.59%</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商学院</w:t>
            </w: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财务管理</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94</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90</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95.74%</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国际商务</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85.45%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人力资源管理</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98.18%</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市场营销</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83</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97.65%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商学院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289</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274</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94.81%</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食品工程学院</w:t>
            </w: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生物工程</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34</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73.91%</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食品科学与工程</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42.86%</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食品质量与安全</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30</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57.69%</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食品工程学院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126</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76</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60.32%</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外国语学院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汉语国际教育</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98</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81</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82.65%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英语</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89</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78</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87.64%</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外国语学院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187</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159</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85.03%</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信息科学与工程学院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电子信息工程</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63.49%</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计算机科学与技术</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67</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76.12%</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通信工程</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82.05%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自动化</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72.73%</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信息科学与工程学院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155</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72.77%</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医学院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护理学</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37.70%</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康复治疗学</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39.22%</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口腔医学技术</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43</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79.63%</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药学</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97.87%</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医学院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132</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61.97%</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艺术与设计学院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动画</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95.24%</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公共艺术</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86.84%</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环境设计</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74</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60</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81.08%</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视觉传达设计</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80.77%</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数字媒体艺术</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82.50%</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舞蹈表演</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90.32%</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音乐表演</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82.98%</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艺术与设计学院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324</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275</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84.88%</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cs="Times New Roman"/>
                <w:b/>
                <w:bCs/>
                <w:color w:val="000000"/>
                <w:kern w:val="0"/>
                <w:sz w:val="18"/>
                <w:szCs w:val="18"/>
              </w:rPr>
              <w:t>本科毕业生</w:t>
            </w:r>
            <w:r>
              <w:rPr>
                <w:rFonts w:cs="Times New Roman"/>
                <w:b/>
                <w:bCs/>
                <w:color w:val="000000"/>
                <w:kern w:val="0"/>
                <w:sz w:val="18"/>
                <w:szCs w:val="18"/>
              </w:rPr>
              <w:t>小计</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1566</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1267</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80.91%</w:t>
            </w:r>
          </w:p>
        </w:tc>
      </w:tr>
      <w:tr>
        <w:tblPrEx>
          <w:tblCellMar>
            <w:top w:w="0" w:type="dxa"/>
            <w:left w:w="108" w:type="dxa"/>
            <w:bottom w:w="0" w:type="dxa"/>
            <w:right w:w="108" w:type="dxa"/>
          </w:tblCellMar>
        </w:tblPrEx>
        <w:trPr>
          <w:trHeight w:val="20" w:hRule="atLeast"/>
        </w:trPr>
        <w:tc>
          <w:tcPr>
            <w:tcW w:w="512" w:type="pct"/>
            <w:vMerge w:val="restar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专科毕业生</w:t>
            </w:r>
          </w:p>
        </w:tc>
        <w:tc>
          <w:tcPr>
            <w:tcW w:w="597" w:type="pct"/>
            <w:vMerge w:val="restar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商学院</w:t>
            </w: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工商企业管理</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70</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62</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88.57%</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市场营销</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41</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93.18%</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商学院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114</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103</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90.35%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restar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信息科学与工程学院</w:t>
            </w:r>
          </w:p>
        </w:tc>
        <w:tc>
          <w:tcPr>
            <w:tcW w:w="1024"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计算机应用技术</w:t>
            </w:r>
          </w:p>
        </w:tc>
        <w:tc>
          <w:tcPr>
            <w:tcW w:w="683"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68</w:t>
            </w:r>
          </w:p>
        </w:tc>
        <w:tc>
          <w:tcPr>
            <w:tcW w:w="1294" w:type="pct"/>
            <w:gridSpan w:val="2"/>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59</w:t>
            </w:r>
          </w:p>
        </w:tc>
        <w:tc>
          <w:tcPr>
            <w:tcW w:w="889"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86.76%</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vMerge w:val="continue"/>
            <w:vAlign w:val="center"/>
          </w:tcPr>
          <w:p>
            <w:pPr>
              <w:widowControl/>
              <w:spacing w:line="240" w:lineRule="auto"/>
              <w:ind w:firstLine="0" w:firstLineChars="0"/>
              <w:jc w:val="left"/>
              <w:rPr>
                <w:rFonts w:cs="Times New Roman"/>
                <w:color w:val="000000"/>
                <w:kern w:val="0"/>
                <w:sz w:val="18"/>
                <w:szCs w:val="18"/>
              </w:rPr>
            </w:pP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通信技术</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100.00%</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信息科学与工程学院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80</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71</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88.75%</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597" w:type="pct"/>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艺术与设计学院</w:t>
            </w:r>
          </w:p>
        </w:tc>
        <w:tc>
          <w:tcPr>
            <w:tcW w:w="1024" w:type="pct"/>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数字媒体艺术设计</w:t>
            </w:r>
          </w:p>
        </w:tc>
        <w:tc>
          <w:tcPr>
            <w:tcW w:w="683"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1294" w:type="pct"/>
            <w:gridSpan w:val="2"/>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w:t>
            </w:r>
          </w:p>
        </w:tc>
        <w:tc>
          <w:tcPr>
            <w:tcW w:w="889"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38.46%</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艺术与设计学院 汇总</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39</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15</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38.46%</w:t>
            </w:r>
          </w:p>
        </w:tc>
      </w:tr>
      <w:tr>
        <w:tblPrEx>
          <w:tblCellMar>
            <w:top w:w="0" w:type="dxa"/>
            <w:left w:w="108" w:type="dxa"/>
            <w:bottom w:w="0" w:type="dxa"/>
            <w:right w:w="108" w:type="dxa"/>
          </w:tblCellMar>
        </w:tblPrEx>
        <w:trPr>
          <w:trHeight w:val="20" w:hRule="atLeast"/>
        </w:trPr>
        <w:tc>
          <w:tcPr>
            <w:tcW w:w="512" w:type="pct"/>
            <w:vMerge w:val="continue"/>
            <w:vAlign w:val="center"/>
          </w:tcPr>
          <w:p>
            <w:pPr>
              <w:widowControl/>
              <w:spacing w:line="240" w:lineRule="auto"/>
              <w:ind w:firstLine="0" w:firstLineChars="0"/>
              <w:jc w:val="left"/>
              <w:rPr>
                <w:rFonts w:cs="Times New Roman"/>
                <w:color w:val="000000"/>
                <w:kern w:val="0"/>
                <w:sz w:val="18"/>
                <w:szCs w:val="18"/>
              </w:rPr>
            </w:pPr>
          </w:p>
        </w:tc>
        <w:tc>
          <w:tcPr>
            <w:tcW w:w="1621" w:type="pct"/>
            <w:gridSpan w:val="2"/>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cs="Times New Roman"/>
                <w:b/>
                <w:bCs/>
                <w:color w:val="000000"/>
                <w:kern w:val="0"/>
                <w:sz w:val="18"/>
                <w:szCs w:val="18"/>
              </w:rPr>
              <w:t>专科毕业生</w:t>
            </w:r>
            <w:r>
              <w:rPr>
                <w:rFonts w:cs="Times New Roman"/>
                <w:b/>
                <w:bCs/>
                <w:color w:val="000000"/>
                <w:kern w:val="0"/>
                <w:sz w:val="18"/>
                <w:szCs w:val="18"/>
              </w:rPr>
              <w:t>小计</w:t>
            </w:r>
          </w:p>
        </w:tc>
        <w:tc>
          <w:tcPr>
            <w:tcW w:w="683"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233</w:t>
            </w:r>
          </w:p>
        </w:tc>
        <w:tc>
          <w:tcPr>
            <w:tcW w:w="1294" w:type="pct"/>
            <w:gridSpan w:val="2"/>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189</w:t>
            </w:r>
          </w:p>
        </w:tc>
        <w:tc>
          <w:tcPr>
            <w:tcW w:w="889" w:type="pct"/>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81.12%</w:t>
            </w:r>
          </w:p>
        </w:tc>
      </w:tr>
      <w:tr>
        <w:tblPrEx>
          <w:tblCellMar>
            <w:top w:w="0" w:type="dxa"/>
            <w:left w:w="108" w:type="dxa"/>
            <w:bottom w:w="0" w:type="dxa"/>
            <w:right w:w="108" w:type="dxa"/>
          </w:tblCellMar>
        </w:tblPrEx>
        <w:trPr>
          <w:trHeight w:val="20" w:hRule="atLeast"/>
        </w:trPr>
        <w:tc>
          <w:tcPr>
            <w:tcW w:w="2133" w:type="pct"/>
            <w:gridSpan w:val="3"/>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总计</w:t>
            </w:r>
          </w:p>
        </w:tc>
        <w:tc>
          <w:tcPr>
            <w:tcW w:w="683"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1799</w:t>
            </w:r>
          </w:p>
        </w:tc>
        <w:tc>
          <w:tcPr>
            <w:tcW w:w="1294" w:type="pct"/>
            <w:gridSpan w:val="2"/>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1456</w:t>
            </w:r>
          </w:p>
        </w:tc>
        <w:tc>
          <w:tcPr>
            <w:tcW w:w="889"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80.93%</w:t>
            </w:r>
          </w:p>
        </w:tc>
      </w:tr>
    </w:tbl>
    <w:p>
      <w:pPr>
        <w:ind w:firstLine="482"/>
        <w:outlineLvl w:val="2"/>
        <w:rPr>
          <w:rFonts w:cs="Times New Roman"/>
          <w:b/>
          <w:bCs/>
          <w:color w:val="005099"/>
          <w:sz w:val="24"/>
        </w:rPr>
      </w:pPr>
      <w:bookmarkStart w:id="22" w:name="_Toc90288211"/>
      <w:r>
        <w:rPr>
          <w:rFonts w:hint="eastAsia" w:cs="Times New Roman"/>
          <w:b/>
          <w:bCs/>
          <w:color w:val="005099"/>
          <w:sz w:val="24"/>
        </w:rPr>
        <w:t>（二）各类毕业去向分布</w:t>
      </w:r>
      <w:bookmarkEnd w:id="22"/>
    </w:p>
    <w:p>
      <w:pPr>
        <w:pStyle w:val="5"/>
      </w:pPr>
      <w:r>
        <w:rPr>
          <w:rFonts w:hint="eastAsia"/>
        </w:rPr>
        <w:t>1</w:t>
      </w:r>
      <w:r>
        <w:t>.</w:t>
      </w:r>
      <w:r>
        <w:rPr>
          <w:rFonts w:hint="eastAsia"/>
        </w:rPr>
        <w:t>毕业去向分布</w:t>
      </w:r>
    </w:p>
    <w:p>
      <w:pPr>
        <w:ind w:firstLine="420"/>
        <w:rPr>
          <w:rFonts w:cs="Times New Roman"/>
          <w:szCs w:val="21"/>
        </w:rPr>
      </w:pPr>
      <w:r>
        <w:rPr>
          <w:rFonts w:hint="eastAsia" w:cs="Times New Roman"/>
          <w:szCs w:val="21"/>
        </w:rPr>
        <w:t>202</w:t>
      </w:r>
      <w:r>
        <w:rPr>
          <w:rFonts w:cs="Times New Roman"/>
          <w:szCs w:val="21"/>
        </w:rPr>
        <w:t>1</w:t>
      </w:r>
      <w:r>
        <w:rPr>
          <w:rFonts w:hint="eastAsia" w:cs="Times New Roman"/>
          <w:szCs w:val="21"/>
        </w:rPr>
        <w:t>届毕业生毕业去向以其他录用形式就业为主，占比达</w:t>
      </w:r>
      <w:r>
        <w:rPr>
          <w:rFonts w:cs="Times New Roman"/>
          <w:szCs w:val="21"/>
        </w:rPr>
        <w:t>63.42</w:t>
      </w:r>
      <w:r>
        <w:rPr>
          <w:rFonts w:hint="eastAsia" w:cs="Times New Roman"/>
          <w:szCs w:val="21"/>
        </w:rPr>
        <w:t>%。协议和合同就业率</w:t>
      </w:r>
      <w:r>
        <w:rPr>
          <w:rFonts w:cs="Times New Roman"/>
          <w:szCs w:val="21"/>
        </w:rPr>
        <w:t>14.56</w:t>
      </w:r>
      <w:r>
        <w:rPr>
          <w:rFonts w:hint="eastAsia" w:cs="Times New Roman"/>
          <w:szCs w:val="21"/>
        </w:rPr>
        <w:t>%，自主创业率0.</w:t>
      </w:r>
      <w:r>
        <w:rPr>
          <w:rFonts w:cs="Times New Roman"/>
          <w:szCs w:val="21"/>
        </w:rPr>
        <w:t>72</w:t>
      </w:r>
      <w:r>
        <w:rPr>
          <w:rFonts w:hint="eastAsia" w:cs="Times New Roman"/>
          <w:szCs w:val="21"/>
        </w:rPr>
        <w:t>%，升学率</w:t>
      </w:r>
      <w:r>
        <w:rPr>
          <w:rFonts w:cs="Times New Roman"/>
          <w:szCs w:val="21"/>
        </w:rPr>
        <w:t>2.06</w:t>
      </w:r>
      <w:r>
        <w:rPr>
          <w:rFonts w:hint="eastAsia" w:cs="Times New Roman"/>
          <w:szCs w:val="21"/>
        </w:rPr>
        <w:t>%。未落实毕业去向率</w:t>
      </w:r>
      <w:r>
        <w:rPr>
          <w:rFonts w:cs="Times New Roman"/>
          <w:szCs w:val="21"/>
        </w:rPr>
        <w:t>19.07</w:t>
      </w:r>
      <w:r>
        <w:rPr>
          <w:rFonts w:hint="eastAsia" w:cs="Times New Roman"/>
          <w:szCs w:val="21"/>
        </w:rPr>
        <w:t>%，详见下表。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9</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届毕业生毕业去向分布</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2396"/>
        <w:gridCol w:w="1836"/>
        <w:gridCol w:w="579"/>
        <w:gridCol w:w="851"/>
        <w:gridCol w:w="578"/>
        <w:gridCol w:w="851"/>
        <w:gridCol w:w="579"/>
        <w:gridCol w:w="852"/>
      </w:tblGrid>
      <w:tr>
        <w:tblPrEx>
          <w:tblCellMar>
            <w:top w:w="0" w:type="dxa"/>
            <w:left w:w="108" w:type="dxa"/>
            <w:bottom w:w="0" w:type="dxa"/>
            <w:right w:w="108" w:type="dxa"/>
          </w:tblCellMar>
        </w:tblPrEx>
        <w:trPr>
          <w:trHeight w:val="397" w:hRule="atLeast"/>
        </w:trPr>
        <w:tc>
          <w:tcPr>
            <w:tcW w:w="1622"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是否落实就业去向</w:t>
            </w:r>
          </w:p>
        </w:tc>
        <w:tc>
          <w:tcPr>
            <w:tcW w:w="996"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毕业去向</w:t>
            </w:r>
          </w:p>
        </w:tc>
        <w:tc>
          <w:tcPr>
            <w:tcW w:w="794"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本科毕业生</w:t>
            </w:r>
          </w:p>
        </w:tc>
        <w:tc>
          <w:tcPr>
            <w:tcW w:w="793"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专科毕业生</w:t>
            </w:r>
          </w:p>
        </w:tc>
        <w:tc>
          <w:tcPr>
            <w:tcW w:w="794"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总体</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996"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r>
      <w:tr>
        <w:tblPrEx>
          <w:tblCellMar>
            <w:top w:w="0" w:type="dxa"/>
            <w:left w:w="108" w:type="dxa"/>
            <w:bottom w:w="0" w:type="dxa"/>
            <w:right w:w="108" w:type="dxa"/>
          </w:tblCellMar>
        </w:tblPrEx>
        <w:trPr>
          <w:trHeight w:val="397" w:hRule="atLeast"/>
        </w:trPr>
        <w:tc>
          <w:tcPr>
            <w:tcW w:w="1622" w:type="pct"/>
            <w:vMerge w:val="restar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已落实</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毕业去向</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1456人</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（80.93%）</w:t>
            </w: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其他录用形式就业</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1010</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64.50%</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56.22%</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1141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63.42%</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签劳动合同形式就业</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136</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8.68%</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5.58%</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149</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8.28%</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签就业协议形式就业</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77</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4.92%</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10.30%</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5.61%</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专科升普通本科</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8.58%</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1.11%</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研究生</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0.94%</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自主创业</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0.77%</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0.43%</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0.72%</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应征义务兵</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0.26%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0.22%</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三支一扶</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0.26%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0.22%</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自由职业</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0.13%</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0.11%</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其它地方基层</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0.13%</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0.11%</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出国、出境</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西部计划</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科研助理、管理助理</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r>
      <w:tr>
        <w:tblPrEx>
          <w:tblCellMar>
            <w:top w:w="0" w:type="dxa"/>
            <w:left w:w="108" w:type="dxa"/>
            <w:bottom w:w="0" w:type="dxa"/>
            <w:right w:w="108" w:type="dxa"/>
          </w:tblCellMar>
        </w:tblPrEx>
        <w:trPr>
          <w:trHeight w:val="397" w:hRule="atLeast"/>
        </w:trPr>
        <w:tc>
          <w:tcPr>
            <w:tcW w:w="1622" w:type="pct"/>
            <w:vMerge w:val="restar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未落实</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毕业去向</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343人</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（19.07%）</w:t>
            </w: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求职中</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14.50%</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13.73%</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259</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14.40%</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拟参加公招考试</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0.43%</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1.50%</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暂不就业</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1.02%</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1.00%</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签约中</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0.96%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0.94%</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不就业拟升学</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0.83%</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0.83%</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拟应征入伍</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0.86%</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0.17%</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拟创业</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0.86%</w:t>
            </w:r>
          </w:p>
        </w:tc>
        <w:tc>
          <w:tcPr>
            <w:tcW w:w="32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47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0.17%</w:t>
            </w:r>
          </w:p>
        </w:tc>
      </w:tr>
      <w:tr>
        <w:tblPrEx>
          <w:tblCellMar>
            <w:top w:w="0" w:type="dxa"/>
            <w:left w:w="108" w:type="dxa"/>
            <w:bottom w:w="0" w:type="dxa"/>
            <w:right w:w="108" w:type="dxa"/>
          </w:tblCellMar>
        </w:tblPrEx>
        <w:trPr>
          <w:trHeight w:val="397" w:hRule="atLeast"/>
        </w:trPr>
        <w:tc>
          <w:tcPr>
            <w:tcW w:w="1622"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96"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拟出国出境</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0.43%</w:t>
            </w:r>
          </w:p>
        </w:tc>
        <w:tc>
          <w:tcPr>
            <w:tcW w:w="324"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0.06%</w:t>
            </w:r>
          </w:p>
        </w:tc>
      </w:tr>
      <w:tr>
        <w:tblPrEx>
          <w:tblCellMar>
            <w:top w:w="0" w:type="dxa"/>
            <w:left w:w="108" w:type="dxa"/>
            <w:bottom w:w="0" w:type="dxa"/>
            <w:right w:w="108" w:type="dxa"/>
          </w:tblCellMar>
        </w:tblPrEx>
        <w:trPr>
          <w:trHeight w:val="397" w:hRule="atLeast"/>
        </w:trPr>
        <w:tc>
          <w:tcPr>
            <w:tcW w:w="2619"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总计</w:t>
            </w: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1566</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233</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32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1799</w:t>
            </w:r>
          </w:p>
        </w:tc>
        <w:tc>
          <w:tcPr>
            <w:tcW w:w="47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r>
    </w:tbl>
    <w:p>
      <w:pPr>
        <w:spacing w:line="300" w:lineRule="auto"/>
        <w:ind w:firstLine="0" w:firstLineChars="0"/>
        <w:rPr>
          <w:rFonts w:ascii="宋体" w:hAnsi="宋体"/>
          <w:color w:val="000000"/>
          <w:sz w:val="24"/>
          <w:u w:val="single"/>
        </w:rPr>
      </w:pPr>
    </w:p>
    <w:p>
      <w:pPr>
        <w:pStyle w:val="5"/>
      </w:pPr>
      <w:r>
        <w:rPr>
          <w:rFonts w:hint="eastAsia"/>
        </w:rPr>
        <w:t>2</w:t>
      </w:r>
      <w:r>
        <w:t>.</w:t>
      </w:r>
      <w:r>
        <w:rPr>
          <w:rFonts w:hint="eastAsia"/>
        </w:rPr>
        <w:t>困难生去向分布</w:t>
      </w:r>
    </w:p>
    <w:p>
      <w:pPr>
        <w:ind w:firstLine="420"/>
        <w:rPr>
          <w:rFonts w:cs="Times New Roman"/>
          <w:szCs w:val="21"/>
        </w:rPr>
      </w:pPr>
      <w:r>
        <w:rPr>
          <w:rFonts w:hint="eastAsia" w:cs="Times New Roman"/>
          <w:szCs w:val="21"/>
        </w:rPr>
        <w:t>202</w:t>
      </w:r>
      <w:r>
        <w:rPr>
          <w:rFonts w:cs="Times New Roman"/>
          <w:szCs w:val="21"/>
        </w:rPr>
        <w:t>1届</w:t>
      </w:r>
      <w:r>
        <w:rPr>
          <w:rFonts w:hint="eastAsia" w:cs="Times New Roman"/>
          <w:szCs w:val="21"/>
        </w:rPr>
        <w:t>困难生</w:t>
      </w:r>
      <w:r>
        <w:rPr>
          <w:rFonts w:cs="Times New Roman"/>
          <w:szCs w:val="21"/>
        </w:rPr>
        <w:t>就业</w:t>
      </w:r>
      <w:r>
        <w:rPr>
          <w:rFonts w:hint="eastAsia" w:cs="Times New Roman"/>
          <w:szCs w:val="21"/>
        </w:rPr>
        <w:t>去向分布最多的分别是其他录用形式就业</w:t>
      </w:r>
      <w:r>
        <w:rPr>
          <w:rFonts w:cs="Times New Roman"/>
          <w:szCs w:val="21"/>
        </w:rPr>
        <w:t>381</w:t>
      </w:r>
      <w:r>
        <w:rPr>
          <w:rFonts w:hint="eastAsia" w:cs="Times New Roman"/>
          <w:szCs w:val="21"/>
        </w:rPr>
        <w:t>人，占所有困难生比例</w:t>
      </w:r>
      <w:r>
        <w:rPr>
          <w:rFonts w:cs="Times New Roman"/>
          <w:szCs w:val="21"/>
        </w:rPr>
        <w:t>60.09%</w:t>
      </w:r>
      <w:r>
        <w:rPr>
          <w:rFonts w:hint="eastAsia" w:cs="Times New Roman"/>
          <w:szCs w:val="21"/>
        </w:rPr>
        <w:t>、签劳动合同形式就业</w:t>
      </w:r>
      <w:r>
        <w:rPr>
          <w:rFonts w:cs="Times New Roman"/>
          <w:szCs w:val="21"/>
        </w:rPr>
        <w:t>61</w:t>
      </w:r>
      <w:r>
        <w:rPr>
          <w:rFonts w:hint="eastAsia" w:cs="Times New Roman"/>
          <w:szCs w:val="21"/>
        </w:rPr>
        <w:t>人，占所有困难生比例</w:t>
      </w:r>
      <w:r>
        <w:rPr>
          <w:rFonts w:cs="Times New Roman"/>
          <w:szCs w:val="21"/>
        </w:rPr>
        <w:t>9.62%</w:t>
      </w:r>
      <w:r>
        <w:rPr>
          <w:rFonts w:hint="eastAsia" w:cs="Times New Roman"/>
          <w:szCs w:val="21"/>
        </w:rPr>
        <w:t>、签就业协议形式就业</w:t>
      </w:r>
      <w:r>
        <w:rPr>
          <w:rFonts w:cs="Times New Roman"/>
          <w:szCs w:val="21"/>
        </w:rPr>
        <w:t>38</w:t>
      </w:r>
      <w:r>
        <w:rPr>
          <w:rFonts w:hint="eastAsia" w:cs="Times New Roman"/>
          <w:szCs w:val="21"/>
        </w:rPr>
        <w:t>人，占所有困难生比例</w:t>
      </w:r>
      <w:r>
        <w:rPr>
          <w:rFonts w:cs="Times New Roman"/>
          <w:szCs w:val="21"/>
        </w:rPr>
        <w:t>5.99%</w:t>
      </w:r>
      <w:r>
        <w:rPr>
          <w:rFonts w:hint="eastAsia" w:cs="Times New Roman"/>
          <w:szCs w:val="21"/>
        </w:rPr>
        <w:t>。</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表1-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表1-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10</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困难生去向分布</w:t>
      </w:r>
    </w:p>
    <w:p>
      <w:pPr>
        <w:spacing w:line="240" w:lineRule="auto"/>
        <w:ind w:firstLine="0" w:firstLineChars="0"/>
        <w:jc w:val="right"/>
        <w:rPr>
          <w:sz w:val="18"/>
          <w:szCs w:val="18"/>
        </w:rPr>
      </w:pPr>
      <w:r>
        <w:rPr>
          <w:rFonts w:hint="eastAsia"/>
          <w:sz w:val="18"/>
          <w:szCs w:val="18"/>
        </w:rPr>
        <w:t>单位：人数（人），比例（%）</w:t>
      </w:r>
    </w:p>
    <w:p>
      <w:pPr>
        <w:spacing w:line="300" w:lineRule="auto"/>
        <w:ind w:firstLine="0" w:firstLineChars="0"/>
        <w:rPr>
          <w:rFonts w:ascii="宋体" w:hAnsi="宋体"/>
          <w:color w:val="000000"/>
          <w:sz w:val="24"/>
          <w:u w:val="single"/>
        </w:rPr>
      </w:pPr>
    </w:p>
    <w:tbl>
      <w:tblPr>
        <w:tblStyle w:val="23"/>
        <w:tblW w:w="5000" w:type="pct"/>
        <w:tblInd w:w="0" w:type="dxa"/>
        <w:tblLayout w:type="autofit"/>
        <w:tblCellMar>
          <w:top w:w="0" w:type="dxa"/>
          <w:left w:w="108" w:type="dxa"/>
          <w:bottom w:w="0" w:type="dxa"/>
          <w:right w:w="108" w:type="dxa"/>
        </w:tblCellMar>
      </w:tblPr>
      <w:tblGrid>
        <w:gridCol w:w="2851"/>
        <w:gridCol w:w="3150"/>
        <w:gridCol w:w="992"/>
        <w:gridCol w:w="1529"/>
      </w:tblGrid>
      <w:tr>
        <w:tblPrEx>
          <w:tblCellMar>
            <w:top w:w="0" w:type="dxa"/>
            <w:left w:w="108" w:type="dxa"/>
            <w:bottom w:w="0" w:type="dxa"/>
            <w:right w:w="108" w:type="dxa"/>
          </w:tblCellMar>
        </w:tblPrEx>
        <w:trPr>
          <w:trHeight w:val="340" w:hRule="atLeast"/>
        </w:trPr>
        <w:tc>
          <w:tcPr>
            <w:tcW w:w="1673" w:type="pct"/>
            <w:vMerge w:val="restar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是否落实就业去向</w:t>
            </w:r>
          </w:p>
        </w:tc>
        <w:tc>
          <w:tcPr>
            <w:tcW w:w="1848" w:type="pct"/>
            <w:vMerge w:val="restar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毕业去向</w:t>
            </w:r>
          </w:p>
        </w:tc>
        <w:tc>
          <w:tcPr>
            <w:tcW w:w="1479" w:type="pct"/>
            <w:gridSpan w:val="2"/>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困难生</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cs="Times New Roman"/>
                <w:b/>
                <w:bCs/>
                <w:color w:val="FFFFFF"/>
                <w:kern w:val="0"/>
                <w:sz w:val="18"/>
                <w:szCs w:val="18"/>
              </w:rPr>
            </w:pPr>
          </w:p>
        </w:tc>
        <w:tc>
          <w:tcPr>
            <w:tcW w:w="1848" w:type="pct"/>
            <w:vMerge w:val="continue"/>
            <w:vAlign w:val="center"/>
          </w:tcPr>
          <w:p>
            <w:pPr>
              <w:widowControl/>
              <w:spacing w:line="240" w:lineRule="auto"/>
              <w:ind w:firstLine="0" w:firstLineChars="0"/>
              <w:jc w:val="left"/>
              <w:rPr>
                <w:rFonts w:cs="Times New Roman"/>
                <w:b/>
                <w:bCs/>
                <w:color w:val="FFFFFF"/>
                <w:kern w:val="0"/>
                <w:sz w:val="18"/>
                <w:szCs w:val="18"/>
              </w:rPr>
            </w:pPr>
          </w:p>
        </w:tc>
        <w:tc>
          <w:tcPr>
            <w:tcW w:w="582"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897"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r>
      <w:tr>
        <w:tblPrEx>
          <w:tblCellMar>
            <w:top w:w="0" w:type="dxa"/>
            <w:left w:w="108" w:type="dxa"/>
            <w:bottom w:w="0" w:type="dxa"/>
            <w:right w:w="108" w:type="dxa"/>
          </w:tblCellMar>
        </w:tblPrEx>
        <w:trPr>
          <w:trHeight w:val="340" w:hRule="atLeast"/>
        </w:trPr>
        <w:tc>
          <w:tcPr>
            <w:tcW w:w="1673"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已落实</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毕业去向 </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500人</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（78.86%）</w:t>
            </w: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其他录用形式就业</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381</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60.09%</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签劳动合同形式就业</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61</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9.62%</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签就业协议形式就业</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38</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5.99%</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研究生</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8</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1.26%</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专科升普通本科</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5</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0.79%</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应征义务兵</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3</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0.47%</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科研助理、管理助理</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0.16%</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三支一扶</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0.16%</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西部计划</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0.16%</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自主创业</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0.16%</w:t>
            </w:r>
          </w:p>
        </w:tc>
      </w:tr>
      <w:tr>
        <w:tblPrEx>
          <w:tblCellMar>
            <w:top w:w="0" w:type="dxa"/>
            <w:left w:w="108" w:type="dxa"/>
            <w:bottom w:w="0" w:type="dxa"/>
            <w:right w:w="108" w:type="dxa"/>
          </w:tblCellMar>
        </w:tblPrEx>
        <w:trPr>
          <w:trHeight w:val="340" w:hRule="atLeast"/>
        </w:trPr>
        <w:tc>
          <w:tcPr>
            <w:tcW w:w="1673" w:type="pct"/>
            <w:vMerge w:val="restart"/>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未落实</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毕业去向</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134人</w:t>
            </w:r>
          </w:p>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（21.14%）</w:t>
            </w: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求职中</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111</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17.51%</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拟参加公招考试</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12</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1.89%</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签约中</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4</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0.63%</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暂不就业</w:t>
            </w:r>
          </w:p>
        </w:tc>
        <w:tc>
          <w:tcPr>
            <w:tcW w:w="582"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4</w:t>
            </w:r>
          </w:p>
        </w:tc>
        <w:tc>
          <w:tcPr>
            <w:tcW w:w="897" w:type="pct"/>
            <w:shd w:val="clear" w:color="000000" w:fill="C6D4EC"/>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0.63%</w:t>
            </w:r>
          </w:p>
        </w:tc>
      </w:tr>
      <w:tr>
        <w:tblPrEx>
          <w:tblCellMar>
            <w:top w:w="0" w:type="dxa"/>
            <w:left w:w="108" w:type="dxa"/>
            <w:bottom w:w="0" w:type="dxa"/>
            <w:right w:w="108" w:type="dxa"/>
          </w:tblCellMar>
        </w:tblPrEx>
        <w:trPr>
          <w:trHeight w:val="340" w:hRule="atLeast"/>
        </w:trPr>
        <w:tc>
          <w:tcPr>
            <w:tcW w:w="1673" w:type="pct"/>
            <w:vMerge w:val="continue"/>
            <w:vAlign w:val="center"/>
          </w:tcPr>
          <w:p>
            <w:pPr>
              <w:widowControl/>
              <w:spacing w:line="240" w:lineRule="auto"/>
              <w:ind w:firstLine="0" w:firstLineChars="0"/>
              <w:jc w:val="left"/>
              <w:rPr>
                <w:rFonts w:ascii="宋体" w:hAnsi="宋体" w:cs="宋体"/>
                <w:color w:val="000000"/>
                <w:kern w:val="0"/>
                <w:sz w:val="18"/>
                <w:szCs w:val="18"/>
              </w:rPr>
            </w:pPr>
          </w:p>
        </w:tc>
        <w:tc>
          <w:tcPr>
            <w:tcW w:w="1848"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不就业拟升学</w:t>
            </w:r>
          </w:p>
        </w:tc>
        <w:tc>
          <w:tcPr>
            <w:tcW w:w="582"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3</w:t>
            </w:r>
          </w:p>
        </w:tc>
        <w:tc>
          <w:tcPr>
            <w:tcW w:w="897" w:type="pct"/>
            <w:shd w:val="clear" w:color="auto" w:fill="auto"/>
            <w:noWrap/>
            <w:vAlign w:val="center"/>
          </w:tcPr>
          <w:p>
            <w:pPr>
              <w:widowControl/>
              <w:spacing w:line="240" w:lineRule="auto"/>
              <w:ind w:firstLine="0" w:firstLineChars="0"/>
              <w:jc w:val="center"/>
              <w:rPr>
                <w:rFonts w:cs="Times New Roman"/>
                <w:kern w:val="0"/>
                <w:sz w:val="18"/>
                <w:szCs w:val="18"/>
              </w:rPr>
            </w:pPr>
            <w:r>
              <w:rPr>
                <w:rFonts w:cs="Times New Roman"/>
                <w:kern w:val="0"/>
                <w:sz w:val="18"/>
                <w:szCs w:val="18"/>
              </w:rPr>
              <w:t>0.47%</w:t>
            </w:r>
          </w:p>
        </w:tc>
      </w:tr>
      <w:tr>
        <w:tblPrEx>
          <w:tblCellMar>
            <w:top w:w="0" w:type="dxa"/>
            <w:left w:w="108" w:type="dxa"/>
            <w:bottom w:w="0" w:type="dxa"/>
            <w:right w:w="108" w:type="dxa"/>
          </w:tblCellMar>
        </w:tblPrEx>
        <w:trPr>
          <w:trHeight w:val="340" w:hRule="atLeast"/>
        </w:trPr>
        <w:tc>
          <w:tcPr>
            <w:tcW w:w="1673"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总计</w:t>
            </w:r>
          </w:p>
        </w:tc>
        <w:tc>
          <w:tcPr>
            <w:tcW w:w="1848"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　</w:t>
            </w:r>
          </w:p>
        </w:tc>
        <w:tc>
          <w:tcPr>
            <w:tcW w:w="582"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634</w:t>
            </w:r>
          </w:p>
        </w:tc>
        <w:tc>
          <w:tcPr>
            <w:tcW w:w="897"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r>
    </w:tbl>
    <w:p>
      <w:pPr>
        <w:spacing w:line="300" w:lineRule="auto"/>
        <w:ind w:firstLine="0" w:firstLineChars="0"/>
        <w:rPr>
          <w:rFonts w:ascii="宋体" w:hAnsi="宋体"/>
          <w:color w:val="000000"/>
          <w:sz w:val="24"/>
          <w:u w:val="single"/>
        </w:rPr>
        <w:sectPr>
          <w:type w:val="continuous"/>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23" w:name="_Toc90288212"/>
      <w:r>
        <w:rPr>
          <w:rFonts w:hint="eastAsia" w:ascii="宋体" w:hAnsi="宋体"/>
          <w:b/>
          <w:bCs/>
          <w:color w:val="FFFFFF" w:themeColor="background1"/>
          <w:sz w:val="32"/>
          <w:szCs w:val="32"/>
          <w14:textFill>
            <w14:solidFill>
              <w14:schemeClr w14:val="bg1"/>
            </w14:solidFill>
          </w14:textFill>
        </w:rPr>
        <w:t>第二章 毕业生单位就业情况</w:t>
      </w:r>
      <w:bookmarkEnd w:id="23"/>
    </w:p>
    <w:p>
      <w:pPr>
        <w:ind w:firstLine="602"/>
        <w:outlineLvl w:val="1"/>
        <w:rPr>
          <w:rFonts w:cs="Times New Roman"/>
          <w:b/>
          <w:bCs/>
          <w:color w:val="005099"/>
          <w:sz w:val="30"/>
          <w:szCs w:val="30"/>
        </w:rPr>
      </w:pPr>
      <w:bookmarkStart w:id="24" w:name="_Toc90288213"/>
      <w:r>
        <w:rPr>
          <w:rFonts w:hint="eastAsia" w:cs="Times New Roman"/>
          <w:b/>
          <w:bCs/>
          <w:color w:val="005099"/>
          <w:sz w:val="30"/>
          <w:szCs w:val="30"/>
        </w:rPr>
        <w:t>一、毕业生就业流向</w:t>
      </w:r>
      <w:bookmarkEnd w:id="24"/>
    </w:p>
    <w:p>
      <w:pPr>
        <w:ind w:firstLine="482"/>
        <w:outlineLvl w:val="2"/>
        <w:rPr>
          <w:rFonts w:cs="Times New Roman"/>
          <w:b/>
          <w:bCs/>
          <w:color w:val="005099"/>
          <w:sz w:val="24"/>
        </w:rPr>
      </w:pPr>
      <w:bookmarkStart w:id="25" w:name="_Toc90288214"/>
      <w:r>
        <w:rPr>
          <w:rFonts w:cs="Times New Roman"/>
          <w:b/>
          <w:bCs/>
          <w:color w:val="005099"/>
          <w:sz w:val="24"/>
        </w:rPr>
        <w:t>（一）</w:t>
      </w:r>
      <w:r>
        <w:rPr>
          <w:rFonts w:hint="eastAsia" w:cs="Times New Roman"/>
          <w:b/>
          <w:bCs/>
          <w:color w:val="005099"/>
          <w:sz w:val="24"/>
        </w:rPr>
        <w:t>毕业生就业</w:t>
      </w:r>
      <w:r>
        <w:rPr>
          <w:rFonts w:cs="Times New Roman"/>
          <w:b/>
          <w:bCs/>
          <w:color w:val="005099"/>
          <w:sz w:val="24"/>
        </w:rPr>
        <w:t>单位性质</w:t>
      </w:r>
      <w:bookmarkEnd w:id="25"/>
    </w:p>
    <w:p>
      <w:pPr>
        <w:ind w:firstLine="420"/>
        <w:rPr>
          <w:rFonts w:cs="Times New Roman"/>
          <w:szCs w:val="21"/>
        </w:rPr>
      </w:pPr>
      <w:r>
        <w:rPr>
          <w:rFonts w:hint="eastAsia" w:cs="Times New Roman"/>
          <w:szCs w:val="21"/>
        </w:rPr>
        <w:t>202</w:t>
      </w:r>
      <w:r>
        <w:rPr>
          <w:rFonts w:cs="Times New Roman"/>
          <w:szCs w:val="21"/>
        </w:rPr>
        <w:t>1</w:t>
      </w:r>
      <w:r>
        <w:rPr>
          <w:rFonts w:hint="eastAsia" w:cs="Times New Roman"/>
          <w:szCs w:val="21"/>
        </w:rPr>
        <w:t>届毕业生单位就业性质排名第一的为“中小型其他企业”，占</w:t>
      </w:r>
      <w:r>
        <w:rPr>
          <w:rFonts w:cs="Times New Roman"/>
          <w:szCs w:val="21"/>
        </w:rPr>
        <w:t>82.69</w:t>
      </w:r>
      <w:r>
        <w:rPr>
          <w:rFonts w:hint="eastAsia" w:cs="Times New Roman"/>
          <w:szCs w:val="21"/>
        </w:rPr>
        <w:t>%；其次为“三资企业”和“国有企业”，分别占</w:t>
      </w:r>
      <w:r>
        <w:rPr>
          <w:rFonts w:cs="Times New Roman"/>
          <w:szCs w:val="21"/>
        </w:rPr>
        <w:t>5.82</w:t>
      </w:r>
      <w:r>
        <w:rPr>
          <w:rFonts w:hint="eastAsia" w:cs="Times New Roman"/>
          <w:szCs w:val="21"/>
        </w:rPr>
        <w:t>%和</w:t>
      </w:r>
      <w:r>
        <w:rPr>
          <w:rFonts w:cs="Times New Roman"/>
          <w:szCs w:val="21"/>
        </w:rPr>
        <w:t>4.02%</w:t>
      </w:r>
      <w:r>
        <w:rPr>
          <w:rFonts w:hint="eastAsia" w:cs="Times New Roman"/>
          <w:szCs w:val="21"/>
        </w:rPr>
        <w:t>。详见下图。</w:t>
      </w:r>
    </w:p>
    <w:p>
      <w:pPr>
        <w:spacing w:line="300" w:lineRule="auto"/>
        <w:ind w:firstLine="0" w:firstLineChars="0"/>
        <w:jc w:val="center"/>
      </w:pPr>
      <w:r>
        <w:drawing>
          <wp:inline distT="0" distB="0" distL="0" distR="0">
            <wp:extent cx="5257800" cy="174307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单位性质分布</w:t>
      </w:r>
    </w:p>
    <w:p>
      <w:pPr>
        <w:ind w:firstLine="482"/>
        <w:outlineLvl w:val="2"/>
        <w:rPr>
          <w:rFonts w:cs="Times New Roman"/>
          <w:b/>
          <w:bCs/>
          <w:color w:val="005099"/>
          <w:sz w:val="24"/>
        </w:rPr>
      </w:pPr>
      <w:bookmarkStart w:id="26" w:name="_Toc90288215"/>
      <w:r>
        <w:rPr>
          <w:rFonts w:hint="eastAsia" w:cs="Times New Roman"/>
          <w:b/>
          <w:bCs/>
          <w:color w:val="005099"/>
          <w:sz w:val="24"/>
        </w:rPr>
        <w:t>（二）毕业生就业单位行业</w:t>
      </w:r>
      <w:bookmarkEnd w:id="26"/>
    </w:p>
    <w:p>
      <w:pPr>
        <w:ind w:firstLine="420"/>
        <w:rPr>
          <w:rFonts w:cs="Times New Roman"/>
          <w:sz w:val="24"/>
        </w:rPr>
      </w:pPr>
      <w:bookmarkStart w:id="27" w:name="_Hlk86324938"/>
      <w:r>
        <w:rPr>
          <w:rFonts w:cs="Times New Roman"/>
          <w:szCs w:val="21"/>
        </w:rPr>
        <w:t>2021届毕业生就业行业排名第一的为</w:t>
      </w:r>
      <w:r>
        <w:rPr>
          <w:rFonts w:hint="eastAsia" w:cs="Times New Roman"/>
          <w:szCs w:val="21"/>
        </w:rPr>
        <w:t>“教育”</w:t>
      </w:r>
      <w:r>
        <w:rPr>
          <w:rFonts w:cs="Times New Roman"/>
          <w:szCs w:val="21"/>
        </w:rPr>
        <w:t>，占16.23%；第二为</w:t>
      </w:r>
      <w:r>
        <w:rPr>
          <w:rFonts w:hint="eastAsia" w:cs="Times New Roman"/>
          <w:szCs w:val="21"/>
        </w:rPr>
        <w:t>“制造</w:t>
      </w:r>
      <w:r>
        <w:rPr>
          <w:rFonts w:cs="Times New Roman"/>
          <w:szCs w:val="21"/>
        </w:rPr>
        <w:t>业</w:t>
      </w:r>
      <w:r>
        <w:rPr>
          <w:rFonts w:hint="eastAsia" w:cs="Times New Roman"/>
          <w:szCs w:val="21"/>
        </w:rPr>
        <w:t>”</w:t>
      </w:r>
      <w:r>
        <w:rPr>
          <w:rFonts w:cs="Times New Roman"/>
          <w:szCs w:val="21"/>
        </w:rPr>
        <w:t>，占12.31%</w:t>
      </w:r>
      <w:r>
        <w:rPr>
          <w:rFonts w:hint="eastAsia" w:cs="Times New Roman"/>
          <w:szCs w:val="21"/>
        </w:rPr>
        <w:t>；第三为“批发和零售业”，占</w:t>
      </w:r>
      <w:r>
        <w:rPr>
          <w:rFonts w:cs="Times New Roman"/>
          <w:szCs w:val="21"/>
        </w:rPr>
        <w:t>11.17%</w:t>
      </w:r>
      <w:r>
        <w:rPr>
          <w:rFonts w:hint="eastAsia" w:cs="Times New Roman"/>
          <w:szCs w:val="21"/>
        </w:rPr>
        <w:t>。</w:t>
      </w:r>
      <w:r>
        <w:rPr>
          <w:rFonts w:cs="Times New Roman"/>
          <w:szCs w:val="21"/>
        </w:rPr>
        <w:t>详见下图。</w:t>
      </w:r>
      <w:bookmarkEnd w:id="27"/>
    </w:p>
    <w:p>
      <w:pPr>
        <w:spacing w:line="300" w:lineRule="auto"/>
        <w:ind w:firstLine="0" w:firstLineChars="0"/>
        <w:jc w:val="center"/>
      </w:pPr>
      <w:r>
        <w:drawing>
          <wp:inline distT="0" distB="0" distL="0" distR="0">
            <wp:extent cx="5156835" cy="3200400"/>
            <wp:effectExtent l="0" t="0" r="5715"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单位行业分布</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28" w:name="_Toc90288216"/>
      <w:r>
        <w:rPr>
          <w:rFonts w:hint="eastAsia" w:cs="Times New Roman"/>
          <w:b/>
          <w:bCs/>
          <w:color w:val="005099"/>
          <w:sz w:val="24"/>
        </w:rPr>
        <w:t>（三）毕业生就业职业结构</w:t>
      </w:r>
      <w:bookmarkEnd w:id="28"/>
    </w:p>
    <w:p>
      <w:pPr>
        <w:ind w:firstLine="420"/>
        <w:rPr>
          <w:rFonts w:cs="Times New Roman"/>
          <w:szCs w:val="21"/>
        </w:rPr>
      </w:pPr>
      <w:r>
        <w:rPr>
          <w:rFonts w:cs="Times New Roman"/>
          <w:szCs w:val="21"/>
        </w:rPr>
        <w:t>2021届毕业生工作职位类别主要是</w:t>
      </w:r>
      <w:r>
        <w:rPr>
          <w:rFonts w:hint="eastAsia" w:cs="Times New Roman"/>
          <w:szCs w:val="21"/>
        </w:rPr>
        <w:t>“其他</w:t>
      </w:r>
      <w:r>
        <w:rPr>
          <w:rFonts w:cs="Times New Roman"/>
          <w:szCs w:val="21"/>
        </w:rPr>
        <w:t>人员</w:t>
      </w:r>
      <w:r>
        <w:rPr>
          <w:rFonts w:hint="eastAsia" w:cs="Times New Roman"/>
          <w:szCs w:val="21"/>
        </w:rPr>
        <w:t>”</w:t>
      </w:r>
      <w:r>
        <w:rPr>
          <w:rFonts w:cs="Times New Roman"/>
          <w:szCs w:val="21"/>
        </w:rPr>
        <w:t>（37.14%）、</w:t>
      </w:r>
      <w:r>
        <w:rPr>
          <w:rFonts w:hint="eastAsia" w:cs="Times New Roman"/>
          <w:szCs w:val="21"/>
        </w:rPr>
        <w:t>“商务和服务业人员”</w:t>
      </w:r>
      <w:r>
        <w:rPr>
          <w:rFonts w:cs="Times New Roman"/>
          <w:szCs w:val="21"/>
        </w:rPr>
        <w:t>（13.00%）、</w:t>
      </w:r>
      <w:r>
        <w:rPr>
          <w:rFonts w:hint="eastAsia" w:cs="Times New Roman"/>
          <w:szCs w:val="21"/>
        </w:rPr>
        <w:t>“教学人员”</w:t>
      </w:r>
      <w:r>
        <w:rPr>
          <w:rFonts w:cs="Times New Roman"/>
          <w:szCs w:val="21"/>
        </w:rPr>
        <w:t>（12.07%）。详见下图。</w:t>
      </w:r>
    </w:p>
    <w:p>
      <w:pPr>
        <w:spacing w:line="240" w:lineRule="auto"/>
        <w:ind w:firstLine="0" w:firstLineChars="0"/>
        <w:rPr>
          <w:rFonts w:ascii="宋体" w:hAnsi="宋体"/>
          <w:color w:val="000000"/>
          <w:sz w:val="24"/>
        </w:rPr>
      </w:pPr>
      <w:r>
        <w:drawing>
          <wp:inline distT="0" distB="0" distL="0" distR="0">
            <wp:extent cx="5238750" cy="221932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line="24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职业结构分布</w:t>
      </w:r>
    </w:p>
    <w:p>
      <w:pPr>
        <w:ind w:firstLine="482"/>
        <w:outlineLvl w:val="2"/>
        <w:rPr>
          <w:rFonts w:cs="Times New Roman"/>
          <w:b/>
          <w:bCs/>
          <w:color w:val="005099"/>
          <w:sz w:val="24"/>
        </w:rPr>
      </w:pPr>
      <w:bookmarkStart w:id="29" w:name="_Toc90288217"/>
      <w:r>
        <w:rPr>
          <w:rFonts w:hint="eastAsia" w:cs="Times New Roman"/>
          <w:b/>
          <w:bCs/>
          <w:color w:val="005099"/>
          <w:sz w:val="24"/>
        </w:rPr>
        <w:t>（四）毕业生就业就业地域流向</w:t>
      </w:r>
      <w:bookmarkEnd w:id="29"/>
    </w:p>
    <w:p>
      <w:pPr>
        <w:pStyle w:val="5"/>
      </w:pPr>
      <w:r>
        <w:rPr>
          <w:rFonts w:hint="eastAsia"/>
        </w:rPr>
        <w:t>1</w:t>
      </w:r>
      <w:r>
        <w:t>.</w:t>
      </w:r>
      <w:r>
        <w:rPr>
          <w:rFonts w:hint="eastAsia"/>
        </w:rPr>
        <w:t>就业地域分布</w:t>
      </w:r>
    </w:p>
    <w:p>
      <w:pPr>
        <w:ind w:firstLine="420"/>
        <w:rPr>
          <w:rFonts w:cs="Times New Roman"/>
          <w:szCs w:val="21"/>
        </w:rPr>
      </w:pPr>
      <w:r>
        <w:rPr>
          <w:rFonts w:cs="Times New Roman"/>
          <w:szCs w:val="21"/>
        </w:rPr>
        <w:t>2021届毕业生就业地域以天津市为主，</w:t>
      </w:r>
      <w:r>
        <w:rPr>
          <w:rFonts w:hint="eastAsia" w:cs="Times New Roman"/>
          <w:szCs w:val="21"/>
        </w:rPr>
        <w:t>天津就业人数最多，共有</w:t>
      </w:r>
      <w:r>
        <w:rPr>
          <w:rFonts w:cs="Times New Roman"/>
          <w:szCs w:val="21"/>
        </w:rPr>
        <w:t>687</w:t>
      </w:r>
      <w:r>
        <w:rPr>
          <w:rFonts w:hint="eastAsia" w:cs="Times New Roman"/>
          <w:szCs w:val="21"/>
        </w:rPr>
        <w:t>人（</w:t>
      </w:r>
      <w:r>
        <w:rPr>
          <w:rFonts w:cs="Times New Roman"/>
          <w:szCs w:val="21"/>
        </w:rPr>
        <w:t>占</w:t>
      </w:r>
      <w:r>
        <w:rPr>
          <w:rFonts w:hint="eastAsia" w:cs="Times New Roman"/>
          <w:szCs w:val="21"/>
        </w:rPr>
        <w:t>落实就业人数</w:t>
      </w:r>
      <w:r>
        <w:rPr>
          <w:rFonts w:cs="Times New Roman"/>
          <w:szCs w:val="21"/>
        </w:rPr>
        <w:t>比48.52%</w:t>
      </w:r>
      <w:r>
        <w:rPr>
          <w:rFonts w:hint="eastAsia" w:cs="Times New Roman"/>
          <w:szCs w:val="21"/>
        </w:rPr>
        <w:t>）</w:t>
      </w:r>
      <w:r>
        <w:rPr>
          <w:rFonts w:cs="Times New Roman"/>
          <w:szCs w:val="21"/>
        </w:rPr>
        <w:t>，</w:t>
      </w:r>
      <w:r>
        <w:rPr>
          <w:rFonts w:hint="eastAsia" w:cs="Times New Roman"/>
          <w:szCs w:val="21"/>
        </w:rPr>
        <w:t>非天津市就业人数</w:t>
      </w:r>
      <w:r>
        <w:rPr>
          <w:rFonts w:cs="Times New Roman"/>
          <w:szCs w:val="21"/>
        </w:rPr>
        <w:t>729</w:t>
      </w:r>
      <w:r>
        <w:rPr>
          <w:rFonts w:hint="eastAsia" w:cs="Times New Roman"/>
          <w:szCs w:val="21"/>
        </w:rPr>
        <w:t>人（</w:t>
      </w:r>
      <w:r>
        <w:rPr>
          <w:rFonts w:cs="Times New Roman"/>
          <w:szCs w:val="21"/>
        </w:rPr>
        <w:t>占</w:t>
      </w:r>
      <w:r>
        <w:rPr>
          <w:rFonts w:hint="eastAsia" w:cs="Times New Roman"/>
          <w:szCs w:val="21"/>
        </w:rPr>
        <w:t>比</w:t>
      </w:r>
      <w:r>
        <w:rPr>
          <w:rFonts w:cs="Times New Roman"/>
          <w:szCs w:val="21"/>
        </w:rPr>
        <w:t>51.48%</w:t>
      </w:r>
      <w:r>
        <w:rPr>
          <w:rFonts w:hint="eastAsia" w:cs="Times New Roman"/>
          <w:szCs w:val="21"/>
        </w:rPr>
        <w:t>）</w:t>
      </w:r>
      <w:r>
        <w:rPr>
          <w:rFonts w:cs="Times New Roman"/>
          <w:szCs w:val="21"/>
        </w:rPr>
        <w:t>，其他地区以北京市</w:t>
      </w:r>
      <w:r>
        <w:rPr>
          <w:rFonts w:hint="eastAsia" w:cs="Times New Roman"/>
          <w:szCs w:val="21"/>
        </w:rPr>
        <w:t>、</w:t>
      </w:r>
      <w:r>
        <w:rPr>
          <w:rFonts w:cs="Times New Roman"/>
          <w:szCs w:val="21"/>
        </w:rPr>
        <w:t>河北省和</w:t>
      </w:r>
      <w:r>
        <w:rPr>
          <w:rFonts w:hint="eastAsia" w:cs="Times New Roman"/>
          <w:szCs w:val="21"/>
        </w:rPr>
        <w:t>广东省</w:t>
      </w:r>
      <w:r>
        <w:rPr>
          <w:rFonts w:cs="Times New Roman"/>
          <w:szCs w:val="21"/>
        </w:rPr>
        <w:t>为主，分别为102</w:t>
      </w:r>
      <w:r>
        <w:rPr>
          <w:rFonts w:hint="eastAsia" w:cs="Times New Roman"/>
          <w:szCs w:val="21"/>
        </w:rPr>
        <w:t>人</w:t>
      </w:r>
      <w:r>
        <w:rPr>
          <w:rFonts w:cs="Times New Roman"/>
          <w:szCs w:val="21"/>
        </w:rPr>
        <w:t>、79</w:t>
      </w:r>
      <w:r>
        <w:rPr>
          <w:rFonts w:hint="eastAsia" w:cs="Times New Roman"/>
          <w:szCs w:val="21"/>
        </w:rPr>
        <w:t>人</w:t>
      </w:r>
      <w:r>
        <w:rPr>
          <w:rFonts w:cs="Times New Roman"/>
          <w:szCs w:val="21"/>
        </w:rPr>
        <w:t>和62</w:t>
      </w:r>
      <w:r>
        <w:rPr>
          <w:rFonts w:hint="eastAsia" w:cs="Times New Roman"/>
          <w:szCs w:val="21"/>
        </w:rPr>
        <w:t>人</w:t>
      </w:r>
      <w:r>
        <w:rPr>
          <w:rFonts w:cs="Times New Roman"/>
          <w:szCs w:val="21"/>
        </w:rPr>
        <w:t>。详见下表。</w:t>
      </w:r>
    </w:p>
    <w:p>
      <w:pPr>
        <w:keepNext/>
        <w:spacing w:line="240" w:lineRule="auto"/>
        <w:ind w:firstLine="0" w:firstLineChars="0"/>
        <w:jc w:val="center"/>
      </w:pPr>
      <w:r>
        <w:drawing>
          <wp:inline distT="0" distB="0" distL="0" distR="0">
            <wp:extent cx="5238750" cy="3729990"/>
            <wp:effectExtent l="0" t="0" r="0" b="381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8"/>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4</w:t>
      </w:r>
      <w:r>
        <w:fldChar w:fldCharType="end"/>
      </w:r>
      <w:r>
        <w:t xml:space="preserve"> </w:t>
      </w:r>
      <w:r>
        <w:rPr>
          <w:rFonts w:hint="eastAsia"/>
        </w:rPr>
        <w:t>就业地域分布</w:t>
      </w:r>
    </w:p>
    <w:p>
      <w:pPr>
        <w:pStyle w:val="5"/>
      </w:pPr>
      <w:r>
        <w:rPr>
          <w:rFonts w:hint="eastAsia"/>
        </w:rPr>
        <w:t>2</w:t>
      </w:r>
      <w:r>
        <w:t>.</w:t>
      </w:r>
      <w:r>
        <w:rPr>
          <w:rFonts w:hint="eastAsia"/>
        </w:rPr>
        <w:t>基层就业情况</w:t>
      </w:r>
    </w:p>
    <w:p>
      <w:pPr>
        <w:ind w:firstLine="420"/>
        <w:rPr>
          <w:rFonts w:cs="Times New Roman"/>
          <w:szCs w:val="21"/>
        </w:rPr>
      </w:pPr>
      <w:r>
        <w:rPr>
          <w:rFonts w:cs="Times New Roman"/>
          <w:szCs w:val="21"/>
        </w:rPr>
        <w:t>2021届毕业生基层就业</w:t>
      </w:r>
      <w:r>
        <w:rPr>
          <w:rFonts w:hint="eastAsia" w:cs="Times New Roman"/>
          <w:szCs w:val="21"/>
        </w:rPr>
        <w:t>共</w:t>
      </w:r>
      <w:r>
        <w:rPr>
          <w:rFonts w:cs="Times New Roman"/>
          <w:szCs w:val="21"/>
        </w:rPr>
        <w:t>126</w:t>
      </w:r>
      <w:r>
        <w:rPr>
          <w:rFonts w:hint="eastAsia" w:cs="Times New Roman"/>
          <w:szCs w:val="21"/>
        </w:rPr>
        <w:t>人，</w:t>
      </w:r>
      <w:r>
        <w:rPr>
          <w:rFonts w:cs="Times New Roman"/>
          <w:szCs w:val="21"/>
        </w:rPr>
        <w:t>主要分布在河北</w:t>
      </w:r>
      <w:r>
        <w:rPr>
          <w:rFonts w:hint="eastAsia" w:cs="Times New Roman"/>
          <w:szCs w:val="21"/>
        </w:rPr>
        <w:t>省，共</w:t>
      </w:r>
      <w:r>
        <w:rPr>
          <w:rFonts w:cs="Times New Roman"/>
          <w:szCs w:val="21"/>
        </w:rPr>
        <w:t>23</w:t>
      </w:r>
      <w:r>
        <w:rPr>
          <w:rFonts w:hint="eastAsia" w:cs="Times New Roman"/>
          <w:szCs w:val="21"/>
        </w:rPr>
        <w:t>人，</w:t>
      </w:r>
      <w:r>
        <w:rPr>
          <w:rFonts w:cs="Times New Roman"/>
          <w:szCs w:val="21"/>
        </w:rPr>
        <w:t>占</w:t>
      </w:r>
      <w:r>
        <w:rPr>
          <w:rFonts w:hint="eastAsia" w:cs="Times New Roman"/>
          <w:szCs w:val="21"/>
        </w:rPr>
        <w:t>总基层就业人数比例为</w:t>
      </w:r>
      <w:r>
        <w:rPr>
          <w:rFonts w:cs="Times New Roman"/>
          <w:szCs w:val="21"/>
        </w:rPr>
        <w:t>18.25%。</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基层就业情况</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4516"/>
        <w:gridCol w:w="1577"/>
        <w:gridCol w:w="2429"/>
      </w:tblGrid>
      <w:tr>
        <w:tblPrEx>
          <w:tblCellMar>
            <w:top w:w="0" w:type="dxa"/>
            <w:left w:w="108" w:type="dxa"/>
            <w:bottom w:w="0" w:type="dxa"/>
            <w:right w:w="108" w:type="dxa"/>
          </w:tblCellMar>
        </w:tblPrEx>
        <w:trPr>
          <w:trHeight w:val="312" w:hRule="atLeast"/>
        </w:trPr>
        <w:tc>
          <w:tcPr>
            <w:tcW w:w="2650"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基层就业</w:t>
            </w:r>
          </w:p>
        </w:tc>
        <w:tc>
          <w:tcPr>
            <w:tcW w:w="925"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1426"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河北省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18.25%</w:t>
            </w:r>
          </w:p>
        </w:tc>
      </w:tr>
      <w:tr>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甘肃省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12.70%</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山西省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11.90%</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安徽省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11.90%</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贵州省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9.52%</w:t>
            </w:r>
          </w:p>
        </w:tc>
      </w:tr>
      <w:tr>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新疆维吾尔自治区</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5.56%</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云南省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5.56%</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四川省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4.76%</w:t>
            </w:r>
          </w:p>
        </w:tc>
      </w:tr>
      <w:tr>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陕西省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3.97%</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广西壮族自治区</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3.17%</w:t>
            </w:r>
          </w:p>
        </w:tc>
      </w:tr>
      <w:tr>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内蒙古自治区</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3.17%</w:t>
            </w:r>
          </w:p>
        </w:tc>
      </w:tr>
      <w:tr>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天津市</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2.38%</w:t>
            </w:r>
          </w:p>
        </w:tc>
      </w:tr>
      <w:tr>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河南省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2.38%</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海南省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1.59%</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辽宁省</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0.79%</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福建省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0.79%</w:t>
            </w:r>
          </w:p>
        </w:tc>
      </w:tr>
      <w:tr>
        <w:tblPrEx>
          <w:tblCellMar>
            <w:top w:w="0" w:type="dxa"/>
            <w:left w:w="108" w:type="dxa"/>
            <w:bottom w:w="0" w:type="dxa"/>
            <w:right w:w="108" w:type="dxa"/>
          </w:tblCellMar>
        </w:tblPrEx>
        <w:trPr>
          <w:trHeight w:val="312" w:hRule="atLeast"/>
        </w:trPr>
        <w:tc>
          <w:tcPr>
            <w:tcW w:w="2650"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重庆市</w:t>
            </w:r>
          </w:p>
        </w:tc>
        <w:tc>
          <w:tcPr>
            <w:tcW w:w="925"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426" w:type="pct"/>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0.79%</w:t>
            </w:r>
          </w:p>
        </w:tc>
      </w:tr>
      <w:tr>
        <w:tblPrEx>
          <w:tblCellMar>
            <w:top w:w="0" w:type="dxa"/>
            <w:left w:w="108" w:type="dxa"/>
            <w:bottom w:w="0" w:type="dxa"/>
            <w:right w:w="108" w:type="dxa"/>
          </w:tblCellMar>
        </w:tblPrEx>
        <w:trPr>
          <w:trHeight w:val="312" w:hRule="atLeast"/>
        </w:trPr>
        <w:tc>
          <w:tcPr>
            <w:tcW w:w="2650"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黑龙江省</w:t>
            </w:r>
          </w:p>
        </w:tc>
        <w:tc>
          <w:tcPr>
            <w:tcW w:w="925"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426" w:type="pct"/>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0.79%</w:t>
            </w:r>
          </w:p>
        </w:tc>
      </w:tr>
      <w:tr>
        <w:trPr>
          <w:trHeight w:val="312" w:hRule="atLeast"/>
        </w:trPr>
        <w:tc>
          <w:tcPr>
            <w:tcW w:w="2650"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总计</w:t>
            </w:r>
          </w:p>
        </w:tc>
        <w:tc>
          <w:tcPr>
            <w:tcW w:w="925"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126</w:t>
            </w:r>
          </w:p>
        </w:tc>
        <w:tc>
          <w:tcPr>
            <w:tcW w:w="1426" w:type="pct"/>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r>
    </w:tbl>
    <w:p>
      <w:pPr>
        <w:ind w:firstLine="420"/>
      </w:pPr>
    </w:p>
    <w:p>
      <w:pPr>
        <w:pStyle w:val="5"/>
      </w:pPr>
      <w:r>
        <w:t>3.</w:t>
      </w:r>
      <w:r>
        <w:rPr>
          <w:rFonts w:hint="eastAsia"/>
        </w:rPr>
        <w:t>西部就业情况</w:t>
      </w:r>
    </w:p>
    <w:p>
      <w:pPr>
        <w:ind w:firstLine="420"/>
        <w:rPr>
          <w:rFonts w:cs="Times New Roman"/>
          <w:szCs w:val="21"/>
        </w:rPr>
      </w:pPr>
      <w:r>
        <w:rPr>
          <w:rFonts w:cs="Times New Roman"/>
          <w:szCs w:val="21"/>
        </w:rPr>
        <w:t>2021届毕业生西部就业人数总计261人，其中主要以</w:t>
      </w:r>
      <w:r>
        <w:rPr>
          <w:rFonts w:hint="eastAsia" w:cs="Times New Roman"/>
          <w:szCs w:val="21"/>
        </w:rPr>
        <w:t>甘肃省、贵州省</w:t>
      </w:r>
      <w:r>
        <w:rPr>
          <w:rFonts w:cs="Times New Roman"/>
          <w:szCs w:val="21"/>
        </w:rPr>
        <w:t>和</w:t>
      </w:r>
      <w:r>
        <w:rPr>
          <w:rFonts w:hint="eastAsia" w:cs="Times New Roman"/>
          <w:szCs w:val="21"/>
        </w:rPr>
        <w:t>四川省</w:t>
      </w:r>
      <w:r>
        <w:rPr>
          <w:rFonts w:cs="Times New Roman"/>
          <w:szCs w:val="21"/>
        </w:rPr>
        <w:t>为主，其中</w:t>
      </w:r>
      <w:r>
        <w:rPr>
          <w:rFonts w:hint="eastAsia" w:cs="Times New Roman"/>
          <w:szCs w:val="21"/>
        </w:rPr>
        <w:t>甘肃省</w:t>
      </w:r>
      <w:r>
        <w:rPr>
          <w:rFonts w:cs="Times New Roman"/>
          <w:szCs w:val="21"/>
        </w:rPr>
        <w:t>人数52人，占</w:t>
      </w:r>
      <w:r>
        <w:rPr>
          <w:rFonts w:hint="eastAsia" w:cs="Times New Roman"/>
          <w:szCs w:val="21"/>
        </w:rPr>
        <w:t>总西部就业人数比例为</w:t>
      </w:r>
      <w:r>
        <w:rPr>
          <w:rFonts w:cs="Times New Roman"/>
          <w:szCs w:val="21"/>
        </w:rPr>
        <w:t>19.92%</w:t>
      </w:r>
      <w:r>
        <w:rPr>
          <w:rFonts w:hint="eastAsia" w:cs="Times New Roman"/>
          <w:szCs w:val="21"/>
        </w:rPr>
        <w:t>；贵州省</w:t>
      </w:r>
      <w:r>
        <w:rPr>
          <w:rFonts w:cs="Times New Roman"/>
          <w:szCs w:val="21"/>
        </w:rPr>
        <w:t>人数48人，占</w:t>
      </w:r>
      <w:r>
        <w:rPr>
          <w:rFonts w:hint="eastAsia" w:cs="Times New Roman"/>
          <w:szCs w:val="21"/>
        </w:rPr>
        <w:t>总西部就业人数比例为</w:t>
      </w:r>
      <w:r>
        <w:rPr>
          <w:rFonts w:cs="Times New Roman"/>
          <w:szCs w:val="21"/>
        </w:rPr>
        <w:t>18.39%</w:t>
      </w:r>
      <w:r>
        <w:rPr>
          <w:rFonts w:hint="eastAsia" w:cs="Times New Roman"/>
          <w:szCs w:val="21"/>
        </w:rPr>
        <w:t>；四川省</w:t>
      </w:r>
      <w:r>
        <w:rPr>
          <w:rFonts w:cs="Times New Roman"/>
          <w:szCs w:val="21"/>
        </w:rPr>
        <w:t>人数339人，占</w:t>
      </w:r>
      <w:r>
        <w:rPr>
          <w:rFonts w:hint="eastAsia" w:cs="Times New Roman"/>
          <w:szCs w:val="21"/>
        </w:rPr>
        <w:t>总西部就业人数比例为</w:t>
      </w:r>
      <w:r>
        <w:rPr>
          <w:rFonts w:cs="Times New Roman"/>
          <w:szCs w:val="21"/>
        </w:rPr>
        <w:t>14.94%</w:t>
      </w:r>
      <w:r>
        <w:rPr>
          <w:rFonts w:hint="eastAsia" w:cs="Times New Roman"/>
          <w:szCs w:val="21"/>
        </w:rPr>
        <w:t>。</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西部就业情况</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3451"/>
        <w:gridCol w:w="2488"/>
        <w:gridCol w:w="2583"/>
      </w:tblGrid>
      <w:tr>
        <w:tblPrEx>
          <w:tblCellMar>
            <w:top w:w="0" w:type="dxa"/>
            <w:left w:w="108" w:type="dxa"/>
            <w:bottom w:w="0" w:type="dxa"/>
            <w:right w:w="108" w:type="dxa"/>
          </w:tblCellMar>
        </w:tblPrEx>
        <w:trPr>
          <w:trHeight w:val="312" w:hRule="atLeast"/>
          <w:tblHeader/>
        </w:trPr>
        <w:tc>
          <w:tcPr>
            <w:tcW w:w="202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西部地区</w:t>
            </w:r>
          </w:p>
        </w:tc>
        <w:tc>
          <w:tcPr>
            <w:tcW w:w="146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151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甘肃省</w:t>
            </w:r>
          </w:p>
        </w:tc>
        <w:tc>
          <w:tcPr>
            <w:tcW w:w="146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151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19.92%</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贵州省</w:t>
            </w:r>
          </w:p>
        </w:tc>
        <w:tc>
          <w:tcPr>
            <w:tcW w:w="146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48</w:t>
            </w:r>
          </w:p>
        </w:tc>
        <w:tc>
          <w:tcPr>
            <w:tcW w:w="151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18.39%</w:t>
            </w:r>
          </w:p>
        </w:tc>
      </w:tr>
      <w:tr>
        <w:trPr>
          <w:trHeight w:val="312" w:hRule="atLeast"/>
        </w:trPr>
        <w:tc>
          <w:tcPr>
            <w:tcW w:w="20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四川省</w:t>
            </w:r>
          </w:p>
        </w:tc>
        <w:tc>
          <w:tcPr>
            <w:tcW w:w="146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151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14.94%</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内蒙古自治区</w:t>
            </w:r>
          </w:p>
        </w:tc>
        <w:tc>
          <w:tcPr>
            <w:tcW w:w="146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33</w:t>
            </w:r>
          </w:p>
        </w:tc>
        <w:tc>
          <w:tcPr>
            <w:tcW w:w="151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12.64%</w:t>
            </w:r>
          </w:p>
        </w:tc>
      </w:tr>
      <w:tr>
        <w:trPr>
          <w:trHeight w:val="312" w:hRule="atLeast"/>
        </w:trPr>
        <w:tc>
          <w:tcPr>
            <w:tcW w:w="20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云南省</w:t>
            </w:r>
          </w:p>
        </w:tc>
        <w:tc>
          <w:tcPr>
            <w:tcW w:w="146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w:t>
            </w:r>
          </w:p>
        </w:tc>
        <w:tc>
          <w:tcPr>
            <w:tcW w:w="151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9.96%</w:t>
            </w:r>
          </w:p>
        </w:tc>
      </w:tr>
      <w:tr>
        <w:trPr>
          <w:trHeight w:val="312" w:hRule="atLeast"/>
        </w:trPr>
        <w:tc>
          <w:tcPr>
            <w:tcW w:w="202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新疆维吾尔自治区</w:t>
            </w:r>
          </w:p>
        </w:tc>
        <w:tc>
          <w:tcPr>
            <w:tcW w:w="146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w:t>
            </w:r>
          </w:p>
        </w:tc>
        <w:tc>
          <w:tcPr>
            <w:tcW w:w="151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8.81%</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陕西省</w:t>
            </w:r>
          </w:p>
        </w:tc>
        <w:tc>
          <w:tcPr>
            <w:tcW w:w="146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19</w:t>
            </w:r>
          </w:p>
        </w:tc>
        <w:tc>
          <w:tcPr>
            <w:tcW w:w="151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7.28%</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广西壮族自治区</w:t>
            </w:r>
          </w:p>
        </w:tc>
        <w:tc>
          <w:tcPr>
            <w:tcW w:w="146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w:t>
            </w:r>
          </w:p>
        </w:tc>
        <w:tc>
          <w:tcPr>
            <w:tcW w:w="151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6.13%</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重庆市</w:t>
            </w:r>
          </w:p>
        </w:tc>
        <w:tc>
          <w:tcPr>
            <w:tcW w:w="146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w:t>
            </w:r>
          </w:p>
        </w:tc>
        <w:tc>
          <w:tcPr>
            <w:tcW w:w="151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1.53%</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青海省</w:t>
            </w:r>
          </w:p>
        </w:tc>
        <w:tc>
          <w:tcPr>
            <w:tcW w:w="146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51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0.38%</w:t>
            </w:r>
          </w:p>
        </w:tc>
      </w:tr>
      <w:tr>
        <w:tblPrEx>
          <w:tblCellMar>
            <w:top w:w="0" w:type="dxa"/>
            <w:left w:w="108" w:type="dxa"/>
            <w:bottom w:w="0" w:type="dxa"/>
            <w:right w:w="108" w:type="dxa"/>
          </w:tblCellMar>
        </w:tblPrEx>
        <w:trPr>
          <w:trHeight w:val="312" w:hRule="atLeast"/>
        </w:trPr>
        <w:tc>
          <w:tcPr>
            <w:tcW w:w="202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总计</w:t>
            </w:r>
          </w:p>
        </w:tc>
        <w:tc>
          <w:tcPr>
            <w:tcW w:w="146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261</w:t>
            </w:r>
          </w:p>
        </w:tc>
        <w:tc>
          <w:tcPr>
            <w:tcW w:w="151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100.00%</w:t>
            </w:r>
          </w:p>
        </w:tc>
      </w:tr>
    </w:tbl>
    <w:p>
      <w:pPr>
        <w:ind w:firstLine="420"/>
      </w:pPr>
    </w:p>
    <w:p>
      <w:pPr>
        <w:pStyle w:val="5"/>
      </w:pPr>
      <w:r>
        <w:rPr>
          <w:rFonts w:hint="eastAsia"/>
        </w:rPr>
        <w:t>4</w:t>
      </w:r>
      <w:r>
        <w:t>.</w:t>
      </w:r>
      <w:r>
        <w:rPr>
          <w:rFonts w:hint="eastAsia"/>
        </w:rPr>
        <w:t>国家重点战略就业情况</w:t>
      </w:r>
      <w:r>
        <w:footnoteReference w:id="0"/>
      </w:r>
    </w:p>
    <w:p>
      <w:pPr>
        <w:ind w:firstLine="420"/>
        <w:rPr>
          <w:rFonts w:cs="Times New Roman"/>
          <w:szCs w:val="21"/>
        </w:rPr>
      </w:pPr>
      <w:r>
        <w:rPr>
          <w:rFonts w:cs="Times New Roman"/>
          <w:szCs w:val="21"/>
        </w:rPr>
        <w:t>为实现区域均衡发展和人才资源的有效配置，学校积极响应国家号召，有效引导毕业生服务国家发展战略，参加国家就业项目。其中在京津冀经济圈</w:t>
      </w:r>
      <w:r>
        <w:rPr>
          <w:rFonts w:hint="eastAsia" w:cs="Times New Roman"/>
          <w:szCs w:val="21"/>
        </w:rPr>
        <w:t>落实就业去向</w:t>
      </w:r>
      <w:r>
        <w:rPr>
          <w:rFonts w:cs="Times New Roman"/>
          <w:szCs w:val="21"/>
        </w:rPr>
        <w:t>的毕业生最多，人数868人，占总</w:t>
      </w:r>
      <w:r>
        <w:rPr>
          <w:rFonts w:hint="eastAsia" w:ascii="宋体" w:hAnsi="宋体" w:cs="宋体"/>
          <w:color w:val="000000"/>
          <w:kern w:val="0"/>
          <w:sz w:val="18"/>
          <w:szCs w:val="18"/>
        </w:rPr>
        <w:t>落实就业</w:t>
      </w:r>
      <w:r>
        <w:rPr>
          <w:rFonts w:cs="Times New Roman"/>
          <w:szCs w:val="21"/>
        </w:rPr>
        <w:t>人数的59.62%；其次为</w:t>
      </w:r>
      <w:r>
        <w:rPr>
          <w:rFonts w:hint="eastAsia" w:cs="Times New Roman"/>
          <w:szCs w:val="21"/>
        </w:rPr>
        <w:t>“</w:t>
      </w:r>
      <w:r>
        <w:rPr>
          <w:rFonts w:cs="Times New Roman"/>
          <w:szCs w:val="21"/>
        </w:rPr>
        <w:t>一带一路</w:t>
      </w:r>
      <w:r>
        <w:rPr>
          <w:rFonts w:hint="eastAsia" w:cs="Times New Roman"/>
          <w:szCs w:val="21"/>
        </w:rPr>
        <w:t>”</w:t>
      </w:r>
      <w:r>
        <w:rPr>
          <w:rFonts w:cs="Times New Roman"/>
          <w:szCs w:val="21"/>
        </w:rPr>
        <w:t>经济带321人，占总</w:t>
      </w:r>
      <w:r>
        <w:rPr>
          <w:rFonts w:hint="eastAsia" w:ascii="宋体" w:hAnsi="宋体" w:cs="宋体"/>
          <w:color w:val="000000"/>
          <w:kern w:val="0"/>
          <w:sz w:val="18"/>
          <w:szCs w:val="18"/>
        </w:rPr>
        <w:t>落实就业</w:t>
      </w:r>
      <w:r>
        <w:rPr>
          <w:rFonts w:cs="Times New Roman"/>
          <w:szCs w:val="21"/>
        </w:rPr>
        <w:t>人数</w:t>
      </w:r>
      <w:r>
        <w:rPr>
          <w:rFonts w:hint="eastAsia" w:cs="Times New Roman"/>
          <w:szCs w:val="21"/>
        </w:rPr>
        <w:t>的</w:t>
      </w:r>
      <w:r>
        <w:rPr>
          <w:rFonts w:cs="Times New Roman"/>
          <w:szCs w:val="21"/>
        </w:rPr>
        <w:t>22.05%；长江经济带</w:t>
      </w:r>
      <w:r>
        <w:rPr>
          <w:rFonts w:hint="eastAsia" w:cs="Times New Roman"/>
          <w:szCs w:val="21"/>
        </w:rPr>
        <w:t>落实就业去向</w:t>
      </w:r>
      <w:r>
        <w:rPr>
          <w:rFonts w:cs="Times New Roman"/>
          <w:szCs w:val="21"/>
        </w:rPr>
        <w:t>人数221人，占总</w:t>
      </w:r>
      <w:r>
        <w:rPr>
          <w:rFonts w:hint="eastAsia" w:ascii="宋体" w:hAnsi="宋体" w:cs="宋体"/>
          <w:color w:val="000000"/>
          <w:kern w:val="0"/>
          <w:sz w:val="18"/>
          <w:szCs w:val="18"/>
        </w:rPr>
        <w:t>落实就业</w:t>
      </w:r>
      <w:r>
        <w:rPr>
          <w:rFonts w:cs="Times New Roman"/>
          <w:szCs w:val="21"/>
        </w:rPr>
        <w:t>人数</w:t>
      </w:r>
      <w:r>
        <w:rPr>
          <w:rFonts w:hint="eastAsia" w:cs="Times New Roman"/>
          <w:szCs w:val="21"/>
        </w:rPr>
        <w:t>的</w:t>
      </w:r>
      <w:r>
        <w:rPr>
          <w:rFonts w:cs="Times New Roman"/>
          <w:szCs w:val="21"/>
        </w:rPr>
        <w:t>15.18%；西部地区</w:t>
      </w:r>
      <w:r>
        <w:rPr>
          <w:rFonts w:hint="eastAsia" w:cs="Times New Roman"/>
          <w:szCs w:val="21"/>
        </w:rPr>
        <w:t>落实就业去向</w:t>
      </w:r>
      <w:r>
        <w:rPr>
          <w:rFonts w:cs="Times New Roman"/>
          <w:szCs w:val="21"/>
        </w:rPr>
        <w:t>人数261人，占总</w:t>
      </w:r>
      <w:r>
        <w:rPr>
          <w:rFonts w:hint="eastAsia" w:ascii="宋体" w:hAnsi="宋体" w:cs="宋体"/>
          <w:color w:val="000000"/>
          <w:kern w:val="0"/>
          <w:sz w:val="18"/>
          <w:szCs w:val="18"/>
        </w:rPr>
        <w:t>落实就业人数</w:t>
      </w:r>
      <w:r>
        <w:rPr>
          <w:rFonts w:hint="eastAsia" w:cs="Times New Roman"/>
          <w:szCs w:val="21"/>
        </w:rPr>
        <w:t>的</w:t>
      </w:r>
      <w:r>
        <w:rPr>
          <w:rFonts w:cs="Times New Roman"/>
          <w:szCs w:val="21"/>
        </w:rPr>
        <w:t>17.93%；粤港澳大湾区</w:t>
      </w:r>
      <w:r>
        <w:rPr>
          <w:rFonts w:hint="eastAsia" w:cs="Times New Roman"/>
          <w:szCs w:val="21"/>
        </w:rPr>
        <w:t>落实就业去向</w:t>
      </w:r>
      <w:r>
        <w:rPr>
          <w:rFonts w:cs="Times New Roman"/>
          <w:szCs w:val="21"/>
        </w:rPr>
        <w:t>人数62人，占总</w:t>
      </w:r>
      <w:r>
        <w:rPr>
          <w:rFonts w:hint="eastAsia" w:ascii="宋体" w:hAnsi="宋体" w:cs="宋体"/>
          <w:color w:val="000000"/>
          <w:kern w:val="0"/>
          <w:sz w:val="18"/>
          <w:szCs w:val="18"/>
        </w:rPr>
        <w:t>落实就业人数</w:t>
      </w:r>
      <w:r>
        <w:rPr>
          <w:rFonts w:hint="eastAsia" w:cs="Times New Roman"/>
          <w:szCs w:val="21"/>
        </w:rPr>
        <w:t>的</w:t>
      </w:r>
      <w:r>
        <w:rPr>
          <w:rFonts w:cs="Times New Roman"/>
          <w:szCs w:val="21"/>
        </w:rPr>
        <w:t>4.26%。</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4</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国家重点战略就业情况</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411"/>
        <w:gridCol w:w="1411"/>
        <w:gridCol w:w="1412"/>
        <w:gridCol w:w="1412"/>
        <w:gridCol w:w="1412"/>
        <w:gridCol w:w="1464"/>
      </w:tblGrid>
      <w:tr>
        <w:tblPrEx>
          <w:tblCellMar>
            <w:top w:w="0" w:type="dxa"/>
            <w:left w:w="108" w:type="dxa"/>
            <w:bottom w:w="0" w:type="dxa"/>
            <w:right w:w="108" w:type="dxa"/>
          </w:tblCellMar>
        </w:tblPrEx>
        <w:trPr>
          <w:trHeight w:val="444" w:hRule="atLeast"/>
        </w:trPr>
        <w:tc>
          <w:tcPr>
            <w:tcW w:w="828" w:type="pct"/>
            <w:tcBorders>
              <w:top w:val="nil"/>
              <w:left w:val="nil"/>
              <w:bottom w:val="nil"/>
              <w:right w:val="nil"/>
            </w:tcBorders>
            <w:shd w:val="clear" w:color="000000" w:fill="3960A7"/>
            <w:vAlign w:val="center"/>
          </w:tcPr>
          <w:p>
            <w:pPr>
              <w:widowControl/>
              <w:spacing w:line="240" w:lineRule="auto"/>
              <w:ind w:firstLine="0" w:firstLineChars="0"/>
              <w:jc w:val="center"/>
              <w:rPr>
                <w:rFonts w:ascii="宋体" w:hAnsi="宋体" w:cs="宋体"/>
                <w:b/>
                <w:bCs/>
                <w:color w:val="F2F2F2"/>
                <w:kern w:val="0"/>
                <w:sz w:val="18"/>
                <w:szCs w:val="18"/>
              </w:rPr>
            </w:pPr>
            <w:r>
              <w:rPr>
                <w:rFonts w:hint="eastAsia" w:ascii="宋体" w:hAnsi="宋体" w:cs="宋体"/>
                <w:b/>
                <w:bCs/>
                <w:color w:val="F2F2F2"/>
                <w:kern w:val="0"/>
                <w:sz w:val="18"/>
                <w:szCs w:val="18"/>
              </w:rPr>
              <w:t>就业地区</w:t>
            </w:r>
            <w:r>
              <w:rPr>
                <w:rFonts w:cs="Times New Roman"/>
                <w:b/>
                <w:bCs/>
                <w:color w:val="F2F2F2"/>
                <w:kern w:val="0"/>
                <w:sz w:val="18"/>
                <w:szCs w:val="18"/>
              </w:rPr>
              <w:t xml:space="preserve"> </w:t>
            </w:r>
          </w:p>
        </w:tc>
        <w:tc>
          <w:tcPr>
            <w:tcW w:w="828" w:type="pct"/>
            <w:tcBorders>
              <w:top w:val="nil"/>
              <w:left w:val="nil"/>
              <w:bottom w:val="nil"/>
              <w:right w:val="nil"/>
            </w:tcBorders>
            <w:shd w:val="clear" w:color="000000" w:fill="3960A7"/>
            <w:vAlign w:val="center"/>
          </w:tcPr>
          <w:p>
            <w:pPr>
              <w:widowControl/>
              <w:spacing w:line="240" w:lineRule="auto"/>
              <w:ind w:firstLine="0" w:firstLineChars="0"/>
              <w:jc w:val="center"/>
              <w:rPr>
                <w:rFonts w:ascii="宋体" w:hAnsi="宋体" w:cs="宋体"/>
                <w:b/>
                <w:bCs/>
                <w:color w:val="F2F2F2"/>
                <w:kern w:val="0"/>
                <w:sz w:val="18"/>
                <w:szCs w:val="18"/>
              </w:rPr>
            </w:pPr>
            <w:r>
              <w:rPr>
                <w:rFonts w:hint="eastAsia" w:ascii="宋体" w:hAnsi="宋体" w:cs="宋体"/>
                <w:b/>
                <w:bCs/>
                <w:color w:val="F2F2F2"/>
                <w:kern w:val="0"/>
                <w:sz w:val="18"/>
                <w:szCs w:val="18"/>
              </w:rPr>
              <w:t>京津冀经济圈</w:t>
            </w:r>
            <w:r>
              <w:rPr>
                <w:rFonts w:cs="Times New Roman"/>
                <w:b/>
                <w:bCs/>
                <w:color w:val="F2F2F2"/>
                <w:kern w:val="0"/>
                <w:sz w:val="18"/>
                <w:szCs w:val="18"/>
              </w:rPr>
              <w:t xml:space="preserve"> </w:t>
            </w:r>
          </w:p>
        </w:tc>
        <w:tc>
          <w:tcPr>
            <w:tcW w:w="828" w:type="pct"/>
            <w:tcBorders>
              <w:top w:val="nil"/>
              <w:left w:val="nil"/>
              <w:bottom w:val="nil"/>
              <w:right w:val="nil"/>
            </w:tcBorders>
            <w:shd w:val="clear" w:color="000000" w:fill="3960A7"/>
            <w:vAlign w:val="center"/>
          </w:tcPr>
          <w:p>
            <w:pPr>
              <w:widowControl/>
              <w:spacing w:line="240" w:lineRule="auto"/>
              <w:ind w:firstLine="0" w:firstLineChars="0"/>
              <w:jc w:val="center"/>
              <w:rPr>
                <w:rFonts w:cs="Times New Roman"/>
                <w:b/>
                <w:bCs/>
                <w:color w:val="F2F2F2"/>
                <w:kern w:val="0"/>
                <w:sz w:val="18"/>
                <w:szCs w:val="18"/>
              </w:rPr>
            </w:pPr>
            <w:r>
              <w:rPr>
                <w:rFonts w:cs="Times New Roman"/>
                <w:b/>
                <w:bCs/>
                <w:color w:val="F2F2F2"/>
                <w:kern w:val="0"/>
                <w:sz w:val="18"/>
                <w:szCs w:val="18"/>
              </w:rPr>
              <w:t>“</w:t>
            </w:r>
            <w:r>
              <w:rPr>
                <w:rFonts w:hint="eastAsia" w:ascii="宋体" w:hAnsi="宋体" w:cs="Times New Roman"/>
                <w:b/>
                <w:bCs/>
                <w:color w:val="F2F2F2"/>
                <w:kern w:val="0"/>
                <w:sz w:val="18"/>
                <w:szCs w:val="18"/>
              </w:rPr>
              <w:t>一带一路</w:t>
            </w:r>
            <w:r>
              <w:rPr>
                <w:rFonts w:cs="Times New Roman"/>
                <w:b/>
                <w:bCs/>
                <w:color w:val="F2F2F2"/>
                <w:kern w:val="0"/>
                <w:sz w:val="18"/>
                <w:szCs w:val="18"/>
              </w:rPr>
              <w:t>”</w:t>
            </w:r>
            <w:r>
              <w:rPr>
                <w:rFonts w:hint="eastAsia" w:ascii="宋体" w:hAnsi="宋体" w:cs="Times New Roman"/>
                <w:b/>
                <w:bCs/>
                <w:color w:val="F2F2F2"/>
                <w:kern w:val="0"/>
                <w:sz w:val="18"/>
                <w:szCs w:val="18"/>
              </w:rPr>
              <w:t>经济带</w:t>
            </w:r>
            <w:r>
              <w:rPr>
                <w:rFonts w:cs="Times New Roman"/>
                <w:b/>
                <w:bCs/>
                <w:color w:val="F2F2F2"/>
                <w:kern w:val="0"/>
                <w:sz w:val="18"/>
                <w:szCs w:val="18"/>
              </w:rPr>
              <w:t xml:space="preserve"> </w:t>
            </w:r>
          </w:p>
        </w:tc>
        <w:tc>
          <w:tcPr>
            <w:tcW w:w="828" w:type="pct"/>
            <w:tcBorders>
              <w:top w:val="nil"/>
              <w:left w:val="nil"/>
              <w:bottom w:val="nil"/>
              <w:right w:val="nil"/>
            </w:tcBorders>
            <w:shd w:val="clear" w:color="000000" w:fill="3960A7"/>
            <w:vAlign w:val="center"/>
          </w:tcPr>
          <w:p>
            <w:pPr>
              <w:widowControl/>
              <w:spacing w:line="240" w:lineRule="auto"/>
              <w:ind w:firstLine="0" w:firstLineChars="0"/>
              <w:jc w:val="center"/>
              <w:rPr>
                <w:rFonts w:ascii="宋体" w:hAnsi="宋体" w:cs="宋体"/>
                <w:b/>
                <w:bCs/>
                <w:color w:val="F2F2F2"/>
                <w:kern w:val="0"/>
                <w:sz w:val="18"/>
                <w:szCs w:val="18"/>
              </w:rPr>
            </w:pPr>
            <w:r>
              <w:rPr>
                <w:rFonts w:hint="eastAsia" w:ascii="宋体" w:hAnsi="宋体" w:cs="宋体"/>
                <w:b/>
                <w:bCs/>
                <w:color w:val="F2F2F2"/>
                <w:kern w:val="0"/>
                <w:sz w:val="18"/>
                <w:szCs w:val="18"/>
              </w:rPr>
              <w:t>长江经济带</w:t>
            </w:r>
            <w:r>
              <w:rPr>
                <w:rFonts w:cs="Times New Roman"/>
                <w:b/>
                <w:bCs/>
                <w:color w:val="F2F2F2"/>
                <w:kern w:val="0"/>
                <w:sz w:val="18"/>
                <w:szCs w:val="18"/>
              </w:rPr>
              <w:t xml:space="preserve"> </w:t>
            </w:r>
          </w:p>
        </w:tc>
        <w:tc>
          <w:tcPr>
            <w:tcW w:w="828" w:type="pct"/>
            <w:tcBorders>
              <w:top w:val="nil"/>
              <w:left w:val="nil"/>
              <w:bottom w:val="nil"/>
              <w:right w:val="nil"/>
            </w:tcBorders>
            <w:shd w:val="clear" w:color="000000" w:fill="3960A7"/>
            <w:vAlign w:val="center"/>
          </w:tcPr>
          <w:p>
            <w:pPr>
              <w:widowControl/>
              <w:spacing w:line="240" w:lineRule="auto"/>
              <w:ind w:firstLine="0" w:firstLineChars="0"/>
              <w:jc w:val="center"/>
              <w:rPr>
                <w:rFonts w:ascii="宋体" w:hAnsi="宋体" w:cs="宋体"/>
                <w:b/>
                <w:bCs/>
                <w:color w:val="F2F2F2"/>
                <w:kern w:val="0"/>
                <w:sz w:val="18"/>
                <w:szCs w:val="18"/>
              </w:rPr>
            </w:pPr>
            <w:r>
              <w:rPr>
                <w:rFonts w:hint="eastAsia" w:ascii="宋体" w:hAnsi="宋体" w:cs="宋体"/>
                <w:b/>
                <w:bCs/>
                <w:color w:val="F2F2F2"/>
                <w:kern w:val="0"/>
                <w:sz w:val="18"/>
                <w:szCs w:val="18"/>
              </w:rPr>
              <w:t>西部地区</w:t>
            </w:r>
            <w:r>
              <w:rPr>
                <w:rFonts w:cs="Times New Roman"/>
                <w:b/>
                <w:bCs/>
                <w:color w:val="F2F2F2"/>
                <w:kern w:val="0"/>
                <w:sz w:val="18"/>
                <w:szCs w:val="18"/>
              </w:rPr>
              <w:t xml:space="preserve"> </w:t>
            </w:r>
          </w:p>
        </w:tc>
        <w:tc>
          <w:tcPr>
            <w:tcW w:w="859" w:type="pct"/>
            <w:tcBorders>
              <w:top w:val="nil"/>
              <w:left w:val="nil"/>
              <w:bottom w:val="nil"/>
              <w:right w:val="nil"/>
            </w:tcBorders>
            <w:shd w:val="clear" w:color="000000" w:fill="3960A7"/>
            <w:vAlign w:val="center"/>
          </w:tcPr>
          <w:p>
            <w:pPr>
              <w:widowControl/>
              <w:spacing w:line="240" w:lineRule="auto"/>
              <w:ind w:firstLine="0" w:firstLineChars="0"/>
              <w:jc w:val="center"/>
              <w:rPr>
                <w:rFonts w:ascii="宋体" w:hAnsi="宋体" w:cs="宋体"/>
                <w:b/>
                <w:bCs/>
                <w:color w:val="F2F2F2"/>
                <w:kern w:val="0"/>
                <w:sz w:val="18"/>
                <w:szCs w:val="18"/>
              </w:rPr>
            </w:pPr>
            <w:r>
              <w:rPr>
                <w:rFonts w:hint="eastAsia" w:ascii="宋体" w:hAnsi="宋体" w:cs="宋体"/>
                <w:b/>
                <w:bCs/>
                <w:color w:val="F2F2F2"/>
                <w:kern w:val="0"/>
                <w:sz w:val="18"/>
                <w:szCs w:val="18"/>
              </w:rPr>
              <w:t>粤港澳大湾区</w:t>
            </w:r>
            <w:r>
              <w:rPr>
                <w:rFonts w:cs="Times New Roman"/>
                <w:b/>
                <w:bCs/>
                <w:color w:val="F2F2F2"/>
                <w:kern w:val="0"/>
                <w:sz w:val="18"/>
                <w:szCs w:val="18"/>
              </w:rPr>
              <w:t xml:space="preserve"> </w:t>
            </w:r>
          </w:p>
        </w:tc>
      </w:tr>
      <w:tr>
        <w:tblPrEx>
          <w:tblCellMar>
            <w:top w:w="0" w:type="dxa"/>
            <w:left w:w="108" w:type="dxa"/>
            <w:bottom w:w="0" w:type="dxa"/>
            <w:right w:w="108" w:type="dxa"/>
          </w:tblCellMar>
        </w:tblPrEx>
        <w:trPr>
          <w:trHeight w:val="312" w:hRule="atLeast"/>
        </w:trPr>
        <w:tc>
          <w:tcPr>
            <w:tcW w:w="828" w:type="pct"/>
            <w:tcBorders>
              <w:top w:val="nil"/>
              <w:left w:val="nil"/>
              <w:bottom w:val="nil"/>
              <w:right w:val="nil"/>
            </w:tcBorders>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人数</w:t>
            </w:r>
            <w:r>
              <w:rPr>
                <w:rFonts w:cs="Times New Roman"/>
                <w:color w:val="000000"/>
                <w:kern w:val="0"/>
                <w:sz w:val="18"/>
                <w:szCs w:val="18"/>
              </w:rPr>
              <w:t xml:space="preserve"> </w:t>
            </w:r>
          </w:p>
        </w:tc>
        <w:tc>
          <w:tcPr>
            <w:tcW w:w="82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868</w:t>
            </w:r>
          </w:p>
        </w:tc>
        <w:tc>
          <w:tcPr>
            <w:tcW w:w="82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321</w:t>
            </w:r>
          </w:p>
        </w:tc>
        <w:tc>
          <w:tcPr>
            <w:tcW w:w="82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221</w:t>
            </w:r>
          </w:p>
        </w:tc>
        <w:tc>
          <w:tcPr>
            <w:tcW w:w="828"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261</w:t>
            </w:r>
          </w:p>
        </w:tc>
        <w:tc>
          <w:tcPr>
            <w:tcW w:w="859"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62</w:t>
            </w:r>
          </w:p>
        </w:tc>
      </w:tr>
      <w:tr>
        <w:tblPrEx>
          <w:tblCellMar>
            <w:top w:w="0" w:type="dxa"/>
            <w:left w:w="108" w:type="dxa"/>
            <w:bottom w:w="0" w:type="dxa"/>
            <w:right w:w="108" w:type="dxa"/>
          </w:tblCellMar>
        </w:tblPrEx>
        <w:trPr>
          <w:trHeight w:val="432" w:hRule="atLeast"/>
        </w:trPr>
        <w:tc>
          <w:tcPr>
            <w:tcW w:w="828" w:type="pct"/>
            <w:tcBorders>
              <w:top w:val="nil"/>
              <w:left w:val="nil"/>
              <w:bottom w:val="nil"/>
              <w:right w:val="nil"/>
            </w:tcBorders>
            <w:shd w:val="clear" w:color="000000" w:fill="DCE6F1"/>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占落实就业人数比例</w:t>
            </w:r>
            <w:r>
              <w:rPr>
                <w:rFonts w:cs="Times New Roman"/>
                <w:color w:val="000000"/>
                <w:kern w:val="0"/>
                <w:sz w:val="18"/>
                <w:szCs w:val="18"/>
              </w:rPr>
              <w:t xml:space="preserve"> </w:t>
            </w:r>
          </w:p>
        </w:tc>
        <w:tc>
          <w:tcPr>
            <w:tcW w:w="828" w:type="pct"/>
            <w:tcBorders>
              <w:top w:val="nil"/>
              <w:left w:val="nil"/>
              <w:bottom w:val="nil"/>
              <w:right w:val="nil"/>
            </w:tcBorders>
            <w:shd w:val="clear" w:color="000000" w:fill="DCE6F1"/>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59.62%</w:t>
            </w:r>
          </w:p>
        </w:tc>
        <w:tc>
          <w:tcPr>
            <w:tcW w:w="828" w:type="pct"/>
            <w:tcBorders>
              <w:top w:val="nil"/>
              <w:left w:val="nil"/>
              <w:bottom w:val="nil"/>
              <w:right w:val="nil"/>
            </w:tcBorders>
            <w:shd w:val="clear" w:color="000000" w:fill="DCE6F1"/>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22.05%</w:t>
            </w:r>
          </w:p>
        </w:tc>
        <w:tc>
          <w:tcPr>
            <w:tcW w:w="828" w:type="pct"/>
            <w:tcBorders>
              <w:top w:val="nil"/>
              <w:left w:val="nil"/>
              <w:bottom w:val="nil"/>
              <w:right w:val="nil"/>
            </w:tcBorders>
            <w:shd w:val="clear" w:color="000000" w:fill="DCE6F1"/>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15.18%</w:t>
            </w:r>
          </w:p>
        </w:tc>
        <w:tc>
          <w:tcPr>
            <w:tcW w:w="828" w:type="pct"/>
            <w:tcBorders>
              <w:top w:val="nil"/>
              <w:left w:val="nil"/>
              <w:bottom w:val="nil"/>
              <w:right w:val="nil"/>
            </w:tcBorders>
            <w:shd w:val="clear" w:color="000000" w:fill="DCE6F1"/>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17.93%</w:t>
            </w:r>
          </w:p>
        </w:tc>
        <w:tc>
          <w:tcPr>
            <w:tcW w:w="859" w:type="pct"/>
            <w:tcBorders>
              <w:top w:val="nil"/>
              <w:left w:val="nil"/>
              <w:bottom w:val="nil"/>
              <w:right w:val="nil"/>
            </w:tcBorders>
            <w:shd w:val="clear" w:color="000000" w:fill="DCE6F1"/>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4.26%</w:t>
            </w:r>
          </w:p>
        </w:tc>
      </w:tr>
    </w:tbl>
    <w:p>
      <w:pPr>
        <w:spacing w:line="240" w:lineRule="auto"/>
        <w:ind w:firstLine="0" w:firstLineChars="0"/>
        <w:jc w:val="left"/>
        <w:rPr>
          <w:sz w:val="18"/>
          <w:szCs w:val="18"/>
        </w:rPr>
      </w:pPr>
    </w:p>
    <w:p>
      <w:pPr>
        <w:ind w:firstLine="482"/>
        <w:outlineLvl w:val="2"/>
        <w:rPr>
          <w:rFonts w:cs="Times New Roman"/>
          <w:b/>
          <w:bCs/>
          <w:color w:val="005099"/>
          <w:sz w:val="24"/>
        </w:rPr>
      </w:pPr>
      <w:bookmarkStart w:id="30" w:name="_Toc90288218"/>
      <w:r>
        <w:rPr>
          <w:rFonts w:hint="eastAsia" w:cs="Times New Roman"/>
          <w:b/>
          <w:bCs/>
          <w:color w:val="005099"/>
          <w:sz w:val="24"/>
        </w:rPr>
        <w:t>（五）高校所在地就业情况</w:t>
      </w:r>
      <w:bookmarkEnd w:id="30"/>
    </w:p>
    <w:p>
      <w:pPr>
        <w:ind w:firstLine="480"/>
        <w:rPr>
          <w:rFonts w:cs="Times New Roman"/>
          <w:sz w:val="24"/>
        </w:rPr>
      </w:pPr>
      <w:r>
        <w:rPr>
          <w:rFonts w:cs="Times New Roman"/>
          <w:sz w:val="24"/>
        </w:rPr>
        <w:t>2021届毕业生</w:t>
      </w:r>
      <w:r>
        <w:rPr>
          <w:rFonts w:hint="eastAsia" w:cs="Times New Roman"/>
          <w:sz w:val="24"/>
        </w:rPr>
        <w:t>在天津本地落实就业去向的共</w:t>
      </w:r>
      <w:r>
        <w:rPr>
          <w:rFonts w:cs="Times New Roman"/>
          <w:sz w:val="24"/>
        </w:rPr>
        <w:t>687人</w:t>
      </w:r>
      <w:r>
        <w:rPr>
          <w:rFonts w:hint="eastAsia" w:cs="Times New Roman"/>
          <w:sz w:val="24"/>
        </w:rPr>
        <w:t>，主要分布在武清区（</w:t>
      </w:r>
      <w:r>
        <w:rPr>
          <w:rFonts w:cs="Times New Roman"/>
          <w:sz w:val="24"/>
        </w:rPr>
        <w:t>196</w:t>
      </w:r>
      <w:r>
        <w:rPr>
          <w:rFonts w:hint="eastAsia" w:cs="Times New Roman"/>
          <w:sz w:val="24"/>
        </w:rPr>
        <w:t>人）、和平区（</w:t>
      </w:r>
      <w:r>
        <w:rPr>
          <w:rFonts w:cs="Times New Roman"/>
          <w:sz w:val="24"/>
        </w:rPr>
        <w:t>72</w:t>
      </w:r>
      <w:r>
        <w:rPr>
          <w:rFonts w:hint="eastAsia" w:cs="Times New Roman"/>
          <w:sz w:val="24"/>
        </w:rPr>
        <w:t>人）以及滨海新区（</w:t>
      </w:r>
      <w:r>
        <w:rPr>
          <w:rFonts w:cs="Times New Roman"/>
          <w:sz w:val="24"/>
        </w:rPr>
        <w:t>60</w:t>
      </w:r>
      <w:r>
        <w:rPr>
          <w:rFonts w:hint="eastAsia" w:cs="Times New Roman"/>
          <w:sz w:val="24"/>
        </w:rPr>
        <w:t>人）。</w:t>
      </w:r>
    </w:p>
    <w:p>
      <w:pPr>
        <w:ind w:firstLine="0" w:firstLineChars="0"/>
        <w:jc w:val="center"/>
        <w:rPr>
          <w:rFonts w:cs="Times New Roman"/>
          <w:b/>
          <w:bCs/>
          <w:color w:val="226B80"/>
          <w:sz w:val="24"/>
        </w:rPr>
      </w:pPr>
      <w:r>
        <w:drawing>
          <wp:inline distT="0" distB="0" distL="0" distR="0">
            <wp:extent cx="3505200" cy="42386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5</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高校所在地就业情况</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31" w:name="_Toc90288219"/>
      <w:r>
        <w:rPr>
          <w:rFonts w:hint="eastAsia" w:cs="Times New Roman"/>
          <w:b/>
          <w:bCs/>
          <w:color w:val="005099"/>
          <w:sz w:val="24"/>
        </w:rPr>
        <w:t>（六）标签企业就业情况</w:t>
      </w:r>
      <w:bookmarkEnd w:id="31"/>
    </w:p>
    <w:p>
      <w:pPr>
        <w:ind w:firstLine="480"/>
        <w:rPr>
          <w:rFonts w:cs="Times New Roman"/>
          <w:sz w:val="24"/>
        </w:rPr>
      </w:pPr>
      <w:r>
        <w:rPr>
          <w:rFonts w:hint="eastAsia" w:cs="Times New Roman"/>
          <w:sz w:val="24"/>
        </w:rPr>
        <w:t>202</w:t>
      </w:r>
      <w:r>
        <w:rPr>
          <w:rFonts w:cs="Times New Roman"/>
          <w:sz w:val="24"/>
        </w:rPr>
        <w:t>1</w:t>
      </w:r>
      <w:r>
        <w:rPr>
          <w:rFonts w:hint="eastAsia" w:cs="Times New Roman"/>
          <w:sz w:val="24"/>
        </w:rPr>
        <w:t>届毕业生所就业的企业中，有</w:t>
      </w:r>
      <w:r>
        <w:rPr>
          <w:rFonts w:cs="Times New Roman"/>
          <w:sz w:val="24"/>
        </w:rPr>
        <w:t>46</w:t>
      </w:r>
      <w:r>
        <w:rPr>
          <w:rFonts w:hint="eastAsia" w:cs="Times New Roman"/>
          <w:sz w:val="24"/>
        </w:rPr>
        <w:t>名毕业生在世界500强/中国5</w:t>
      </w:r>
      <w:r>
        <w:rPr>
          <w:rFonts w:cs="Times New Roman"/>
          <w:sz w:val="24"/>
        </w:rPr>
        <w:t>0</w:t>
      </w:r>
      <w:r>
        <w:rPr>
          <w:rFonts w:hint="eastAsia" w:cs="Times New Roman"/>
          <w:sz w:val="24"/>
        </w:rPr>
        <w:t>0强企业就业。</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5</w:t>
      </w:r>
      <w:r>
        <w:rPr>
          <w:rFonts w:eastAsia="黑体" w:cs="Times New Roman"/>
          <w:sz w:val="18"/>
          <w:szCs w:val="18"/>
        </w:rPr>
        <w:fldChar w:fldCharType="end"/>
      </w:r>
      <w:r>
        <w:rPr>
          <w:rFonts w:eastAsia="黑体" w:cs="Times New Roman"/>
          <w:sz w:val="18"/>
          <w:szCs w:val="18"/>
        </w:rPr>
        <w:t xml:space="preserve"> </w:t>
      </w:r>
      <w:bookmarkStart w:id="32" w:name="_Hlk86328839"/>
      <w:r>
        <w:rPr>
          <w:rFonts w:hint="eastAsia" w:eastAsia="黑体" w:cs="Times New Roman"/>
          <w:sz w:val="18"/>
          <w:szCs w:val="18"/>
        </w:rPr>
        <w:t>主要就业单位分布</w:t>
      </w:r>
      <w:bookmarkEnd w:id="32"/>
    </w:p>
    <w:p>
      <w:pPr>
        <w:spacing w:line="240" w:lineRule="auto"/>
        <w:ind w:firstLine="0" w:firstLineChars="0"/>
        <w:jc w:val="right"/>
        <w:rPr>
          <w:sz w:val="18"/>
          <w:szCs w:val="18"/>
        </w:rPr>
      </w:pPr>
      <w:r>
        <w:rPr>
          <w:rFonts w:hint="eastAsia"/>
          <w:sz w:val="18"/>
          <w:szCs w:val="18"/>
        </w:rPr>
        <w:t>单位：人数（人）</w:t>
      </w:r>
    </w:p>
    <w:tbl>
      <w:tblPr>
        <w:tblStyle w:val="23"/>
        <w:tblW w:w="5000" w:type="pct"/>
        <w:tblInd w:w="0" w:type="dxa"/>
        <w:tblLayout w:type="autofit"/>
        <w:tblCellMar>
          <w:top w:w="0" w:type="dxa"/>
          <w:left w:w="108" w:type="dxa"/>
          <w:bottom w:w="0" w:type="dxa"/>
          <w:right w:w="108" w:type="dxa"/>
        </w:tblCellMar>
      </w:tblPr>
      <w:tblGrid>
        <w:gridCol w:w="4607"/>
        <w:gridCol w:w="793"/>
        <w:gridCol w:w="3122"/>
      </w:tblGrid>
      <w:tr>
        <w:trPr>
          <w:trHeight w:val="312" w:hRule="atLeast"/>
          <w:tblHeader/>
        </w:trPr>
        <w:tc>
          <w:tcPr>
            <w:tcW w:w="2703"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企业名称</w:t>
            </w:r>
          </w:p>
        </w:tc>
        <w:tc>
          <w:tcPr>
            <w:tcW w:w="465"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人数</w:t>
            </w:r>
          </w:p>
        </w:tc>
        <w:tc>
          <w:tcPr>
            <w:tcW w:w="183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中国500强/世界500强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好未来教育集团</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16</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中国农业银行股份有限公司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中国平安保险（集团）股份有限公司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中国电信股份有限公司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大悦城控股集团股份有限公司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中国铁塔股份有限公司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仁宝电脑</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中国建设银行股份有限公司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天马微电子股份有限公司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星巴克公司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中国建筑集团有限公司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中国邮政集团公司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京东集团</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r>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中国人寿保险股份有限公司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中国移动有限公司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中通快递</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联想控股股份有限公司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北京银行股份有限公司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中远海运控股股份有限公司</w:t>
            </w:r>
          </w:p>
        </w:tc>
        <w:tc>
          <w:tcPr>
            <w:tcW w:w="465"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blPrEx>
          <w:tblCellMar>
            <w:top w:w="0" w:type="dxa"/>
            <w:left w:w="108" w:type="dxa"/>
            <w:bottom w:w="0" w:type="dxa"/>
            <w:right w:w="108" w:type="dxa"/>
          </w:tblCellMar>
        </w:tblPrEx>
        <w:trPr>
          <w:trHeight w:val="312" w:hRule="atLeast"/>
        </w:trPr>
        <w:tc>
          <w:tcPr>
            <w:tcW w:w="2703"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中国工商银行股份有限公司</w:t>
            </w:r>
          </w:p>
        </w:tc>
        <w:tc>
          <w:tcPr>
            <w:tcW w:w="465"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中国500强</w:t>
            </w:r>
          </w:p>
        </w:tc>
      </w:tr>
      <w:tr>
        <w:trPr>
          <w:trHeight w:val="312" w:hRule="atLeast"/>
        </w:trPr>
        <w:tc>
          <w:tcPr>
            <w:tcW w:w="2703"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中国华润有限公司</w:t>
            </w:r>
          </w:p>
        </w:tc>
        <w:tc>
          <w:tcPr>
            <w:tcW w:w="465"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1832"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世界500强</w:t>
            </w:r>
          </w:p>
        </w:tc>
      </w:tr>
    </w:tbl>
    <w:p>
      <w:pPr>
        <w:spacing w:line="300" w:lineRule="auto"/>
        <w:ind w:firstLine="0" w:firstLineChars="0"/>
        <w:rPr>
          <w:rFonts w:ascii="宋体" w:hAnsi="宋体"/>
          <w:color w:val="000000"/>
          <w:sz w:val="24"/>
          <w:u w:val="single"/>
        </w:rPr>
      </w:pPr>
    </w:p>
    <w:p>
      <w:pPr>
        <w:ind w:firstLine="602"/>
        <w:outlineLvl w:val="1"/>
        <w:rPr>
          <w:rFonts w:cs="Times New Roman"/>
          <w:b/>
          <w:bCs/>
          <w:color w:val="005099"/>
          <w:sz w:val="30"/>
          <w:szCs w:val="30"/>
        </w:rPr>
      </w:pPr>
      <w:bookmarkStart w:id="33" w:name="_Toc90288220"/>
      <w:r>
        <w:rPr>
          <w:rFonts w:hint="eastAsia" w:cs="Times New Roman"/>
          <w:b/>
          <w:bCs/>
          <w:color w:val="005099"/>
          <w:sz w:val="30"/>
          <w:szCs w:val="30"/>
        </w:rPr>
        <w:t>二、毕业生就业质量</w:t>
      </w:r>
      <w:bookmarkEnd w:id="33"/>
    </w:p>
    <w:p>
      <w:pPr>
        <w:ind w:firstLine="482"/>
        <w:outlineLvl w:val="2"/>
        <w:rPr>
          <w:rFonts w:cs="Times New Roman"/>
          <w:b/>
          <w:bCs/>
          <w:color w:val="005099"/>
          <w:sz w:val="24"/>
        </w:rPr>
      </w:pPr>
      <w:bookmarkStart w:id="34" w:name="_Toc90288221"/>
      <w:r>
        <w:rPr>
          <w:rFonts w:hint="eastAsia" w:cs="Times New Roman"/>
          <w:b/>
          <w:bCs/>
          <w:color w:val="005099"/>
          <w:sz w:val="24"/>
        </w:rPr>
        <w:t>（一）就业满意度</w:t>
      </w:r>
      <w:bookmarkEnd w:id="34"/>
    </w:p>
    <w:p>
      <w:pPr>
        <w:pStyle w:val="5"/>
      </w:pPr>
      <w:r>
        <w:rPr>
          <w:rFonts w:hint="eastAsia"/>
        </w:rPr>
        <w:t>1</w:t>
      </w:r>
      <w:r>
        <w:t>.</w:t>
      </w:r>
      <w:r>
        <w:rPr>
          <w:rFonts w:hint="eastAsia"/>
        </w:rPr>
        <w:t>总体就业满意度</w:t>
      </w:r>
    </w:p>
    <w:p>
      <w:pPr>
        <w:ind w:firstLine="420"/>
        <w:rPr>
          <w:rFonts w:cs="Times New Roman"/>
          <w:szCs w:val="21"/>
        </w:rPr>
      </w:pPr>
      <w:r>
        <w:rPr>
          <w:rFonts w:cs="Times New Roman"/>
          <w:szCs w:val="21"/>
        </w:rPr>
        <w:t>调研数据显示，2021届毕业生总体就业现状满意度为97.28%。</w:t>
      </w:r>
      <w:r>
        <w:rPr>
          <w:rFonts w:hint="eastAsia" w:cs="Times New Roman"/>
          <w:szCs w:val="21"/>
        </w:rPr>
        <w:t>非常满意占比</w:t>
      </w:r>
      <w:r>
        <w:rPr>
          <w:rFonts w:cs="Times New Roman"/>
          <w:szCs w:val="21"/>
        </w:rPr>
        <w:t>14.29</w:t>
      </w:r>
      <w:r>
        <w:rPr>
          <w:rFonts w:hint="eastAsia" w:cs="Times New Roman"/>
          <w:szCs w:val="21"/>
        </w:rPr>
        <w:t>%，满意占比4</w:t>
      </w:r>
      <w:r>
        <w:rPr>
          <w:rFonts w:cs="Times New Roman"/>
          <w:szCs w:val="21"/>
        </w:rPr>
        <w:t>3.20</w:t>
      </w:r>
      <w:r>
        <w:rPr>
          <w:rFonts w:hint="eastAsia" w:cs="Times New Roman"/>
          <w:szCs w:val="21"/>
        </w:rPr>
        <w:t>%。</w:t>
      </w:r>
      <w:r>
        <w:rPr>
          <w:rFonts w:cs="Times New Roman"/>
          <w:szCs w:val="21"/>
        </w:rPr>
        <w:t>毕业生就业现状满意度总体来说较高。在未来的就业工作中，可进一步提升校招单位层次，丰富职业岗位，为毕业生提供具有针对性的就业服务及专场招聘活动；同时，持续加强对毕业生择业观的引导，帮助学生树立正确的就业观念。</w:t>
      </w:r>
    </w:p>
    <w:p>
      <w:pPr>
        <w:spacing w:line="300" w:lineRule="auto"/>
        <w:ind w:firstLine="0" w:firstLineChars="0"/>
        <w:jc w:val="center"/>
        <w:rPr>
          <w:rFonts w:ascii="宋体" w:hAnsi="宋体"/>
          <w:color w:val="000000"/>
          <w:sz w:val="24"/>
        </w:rPr>
      </w:pPr>
      <w:r>
        <w:drawing>
          <wp:inline distT="0" distB="0" distL="0" distR="0">
            <wp:extent cx="5079365" cy="2473325"/>
            <wp:effectExtent l="0" t="0" r="6985" b="3175"/>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6</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总体就业满意度</w:t>
      </w:r>
    </w:p>
    <w:p>
      <w:pPr>
        <w:spacing w:line="300" w:lineRule="auto"/>
        <w:ind w:firstLine="0" w:firstLineChars="0"/>
        <w:rPr>
          <w:rFonts w:ascii="宋体" w:hAnsi="宋体"/>
          <w:color w:val="000000"/>
          <w:sz w:val="24"/>
        </w:rPr>
      </w:pPr>
    </w:p>
    <w:p>
      <w:pPr>
        <w:pStyle w:val="5"/>
      </w:pPr>
      <w:r>
        <w:rPr>
          <w:rFonts w:hint="eastAsia"/>
        </w:rPr>
        <w:t>2</w:t>
      </w:r>
      <w:r>
        <w:t>.</w:t>
      </w:r>
      <w:r>
        <w:rPr>
          <w:rFonts w:hint="eastAsia"/>
        </w:rPr>
        <w:t>各学院/专业就业满意度</w:t>
      </w:r>
    </w:p>
    <w:p>
      <w:pPr>
        <w:ind w:firstLine="420"/>
        <w:rPr>
          <w:rFonts w:cs="Times New Roman"/>
          <w:szCs w:val="21"/>
        </w:rPr>
      </w:pPr>
      <w:r>
        <w:rPr>
          <w:rFonts w:cs="Times New Roman"/>
          <w:szCs w:val="21"/>
        </w:rPr>
        <w:t>2021届毕业生中，各个学院对于就业情况都很满意，</w:t>
      </w:r>
      <w:r>
        <w:rPr>
          <w:rFonts w:hint="eastAsia" w:cs="Times New Roman"/>
          <w:szCs w:val="21"/>
        </w:rPr>
        <w:t>其中</w:t>
      </w:r>
      <w:r>
        <w:rPr>
          <w:rFonts w:cs="Times New Roman"/>
          <w:szCs w:val="21"/>
        </w:rPr>
        <w:t>满意度</w:t>
      </w:r>
      <w:r>
        <w:rPr>
          <w:rFonts w:hint="eastAsia" w:cs="Times New Roman"/>
          <w:szCs w:val="21"/>
        </w:rPr>
        <w:t>为</w:t>
      </w:r>
      <w:r>
        <w:rPr>
          <w:rFonts w:cs="Times New Roman"/>
          <w:szCs w:val="21"/>
        </w:rPr>
        <w:t>100%的学院</w:t>
      </w:r>
      <w:r>
        <w:rPr>
          <w:rFonts w:hint="eastAsia" w:cs="Times New Roman"/>
          <w:szCs w:val="21"/>
        </w:rPr>
        <w:t>为商学院</w:t>
      </w:r>
      <w:r>
        <w:rPr>
          <w:rFonts w:cs="Times New Roman"/>
          <w:szCs w:val="21"/>
        </w:rPr>
        <w:t>。</w:t>
      </w:r>
      <w:r>
        <w:rPr>
          <w:rFonts w:hint="eastAsia" w:cs="Times New Roman"/>
          <w:szCs w:val="21"/>
        </w:rPr>
        <w:t>各学院满意度均高于9</w:t>
      </w:r>
      <w:r>
        <w:rPr>
          <w:rFonts w:cs="Times New Roman"/>
          <w:szCs w:val="21"/>
        </w:rPr>
        <w:t>0</w:t>
      </w:r>
      <w:r>
        <w:rPr>
          <w:rFonts w:hint="eastAsia" w:cs="Times New Roman"/>
          <w:szCs w:val="21"/>
        </w:rPr>
        <w:t>%</w:t>
      </w:r>
    </w:p>
    <w:p>
      <w:pPr>
        <w:ind w:firstLine="0" w:firstLineChars="0"/>
        <w:rPr>
          <w:rFonts w:cs="Times New Roman"/>
          <w:sz w:val="24"/>
        </w:rPr>
      </w:pPr>
      <w:r>
        <w:drawing>
          <wp:inline distT="0" distB="0" distL="0" distR="0">
            <wp:extent cx="5286375" cy="1476375"/>
            <wp:effectExtent l="0" t="0" r="0" b="0"/>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7</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各学院就业满意度</w:t>
      </w:r>
    </w:p>
    <w:p>
      <w:pPr>
        <w:ind w:firstLine="482"/>
        <w:outlineLvl w:val="2"/>
        <w:rPr>
          <w:rFonts w:cs="Times New Roman"/>
          <w:b/>
          <w:bCs/>
          <w:color w:val="005099"/>
          <w:sz w:val="24"/>
        </w:rPr>
      </w:pPr>
      <w:bookmarkStart w:id="35" w:name="_Toc90288222"/>
      <w:r>
        <w:rPr>
          <w:rFonts w:hint="eastAsia" w:cs="Times New Roman"/>
          <w:b/>
          <w:bCs/>
          <w:color w:val="005099"/>
          <w:sz w:val="24"/>
        </w:rPr>
        <w:t>（二）福利保障</w:t>
      </w:r>
      <w:bookmarkEnd w:id="35"/>
    </w:p>
    <w:p>
      <w:pPr>
        <w:pStyle w:val="5"/>
      </w:pPr>
      <w:r>
        <w:rPr>
          <w:rFonts w:hint="eastAsia"/>
        </w:rPr>
        <w:t>1</w:t>
      </w:r>
      <w:r>
        <w:t>.</w:t>
      </w:r>
      <w:r>
        <w:rPr>
          <w:rFonts w:hint="eastAsia"/>
        </w:rPr>
        <w:t>“四险一金”情况</w:t>
      </w:r>
    </w:p>
    <w:p>
      <w:pPr>
        <w:ind w:firstLine="420"/>
        <w:rPr>
          <w:rFonts w:cs="Times New Roman"/>
          <w:szCs w:val="21"/>
        </w:rPr>
      </w:pPr>
      <w:r>
        <w:rPr>
          <w:rFonts w:cs="Times New Roman"/>
          <w:szCs w:val="21"/>
        </w:rPr>
        <w:t>2021届毕业生中，93.20%的毕业生所在单位都提供了社会保障，其中有43.20%的企业除提供</w:t>
      </w:r>
      <w:r>
        <w:rPr>
          <w:rFonts w:hint="eastAsia" w:cs="Times New Roman"/>
          <w:szCs w:val="21"/>
        </w:rPr>
        <w:t>四</w:t>
      </w:r>
      <w:r>
        <w:rPr>
          <w:rFonts w:cs="Times New Roman"/>
          <w:szCs w:val="21"/>
        </w:rPr>
        <w:t>险一金外，还提供了其他保障和补贴。整体来看，2021届毕业生所工作的企业能够提供比较完善的社会福利保障。</w:t>
      </w:r>
    </w:p>
    <w:p>
      <w:pPr>
        <w:spacing w:line="300" w:lineRule="auto"/>
        <w:ind w:firstLine="0" w:firstLineChars="0"/>
        <w:jc w:val="center"/>
      </w:pPr>
      <w:r>
        <w:drawing>
          <wp:inline distT="0" distB="0" distL="0" distR="0">
            <wp:extent cx="5121910" cy="2161540"/>
            <wp:effectExtent l="0" t="0" r="2540" b="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line="300" w:lineRule="auto"/>
        <w:ind w:firstLine="0" w:firstLineChars="0"/>
        <w:jc w:val="center"/>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8</w:t>
      </w:r>
      <w:r>
        <w:fldChar w:fldCharType="end"/>
      </w:r>
      <w:r>
        <w:t xml:space="preserve"> </w:t>
      </w:r>
      <w:r>
        <w:rPr>
          <w:rFonts w:hint="eastAsia"/>
        </w:rPr>
        <w:t>整体保障度</w:t>
      </w:r>
    </w:p>
    <w:p>
      <w:pPr>
        <w:pStyle w:val="5"/>
      </w:pPr>
      <w:r>
        <w:rPr>
          <w:rFonts w:hint="eastAsia"/>
        </w:rPr>
        <w:t>2</w:t>
      </w:r>
      <w:r>
        <w:t>.</w:t>
      </w:r>
      <w:r>
        <w:rPr>
          <w:rFonts w:hint="eastAsia"/>
        </w:rPr>
        <w:t>各学院/专业毕业生获得“四险一金”情况</w:t>
      </w:r>
    </w:p>
    <w:p>
      <w:pPr>
        <w:ind w:firstLine="420"/>
        <w:rPr>
          <w:rFonts w:cs="Times New Roman"/>
          <w:szCs w:val="21"/>
        </w:rPr>
      </w:pPr>
      <w:r>
        <w:rPr>
          <w:rFonts w:cs="Times New Roman"/>
          <w:szCs w:val="21"/>
        </w:rPr>
        <w:t>2021届毕业生中，各个学院毕业生所在单位提供</w:t>
      </w:r>
      <w:r>
        <w:rPr>
          <w:rFonts w:hint="eastAsia" w:cs="Times New Roman"/>
          <w:szCs w:val="21"/>
        </w:rPr>
        <w:t>的</w:t>
      </w:r>
      <w:r>
        <w:rPr>
          <w:rFonts w:cs="Times New Roman"/>
          <w:szCs w:val="21"/>
        </w:rPr>
        <w:t>社会保障</w:t>
      </w:r>
      <w:r>
        <w:rPr>
          <w:rFonts w:hint="eastAsia" w:cs="Times New Roman"/>
          <w:szCs w:val="21"/>
        </w:rPr>
        <w:t>度均超过</w:t>
      </w:r>
      <w:r>
        <w:rPr>
          <w:rFonts w:cs="Times New Roman"/>
          <w:szCs w:val="21"/>
        </w:rPr>
        <w:t>86%，</w:t>
      </w:r>
      <w:r>
        <w:rPr>
          <w:rFonts w:hint="eastAsia" w:cs="Times New Roman"/>
          <w:szCs w:val="21"/>
        </w:rPr>
        <w:t>其中</w:t>
      </w:r>
      <w:r>
        <w:rPr>
          <w:rFonts w:cs="Times New Roman"/>
          <w:szCs w:val="21"/>
        </w:rPr>
        <w:t>保障</w:t>
      </w:r>
      <w:r>
        <w:rPr>
          <w:rFonts w:hint="eastAsia" w:cs="Times New Roman"/>
          <w:szCs w:val="21"/>
        </w:rPr>
        <w:t>度超过9</w:t>
      </w:r>
      <w:r>
        <w:rPr>
          <w:rFonts w:cs="Times New Roman"/>
          <w:szCs w:val="21"/>
        </w:rPr>
        <w:t>0%的学院有：</w:t>
      </w:r>
      <w:r>
        <w:rPr>
          <w:rFonts w:hint="eastAsia" w:cs="Times New Roman"/>
          <w:szCs w:val="21"/>
        </w:rPr>
        <w:t>信息科学与工程学院、医学院、艺术与设计学院、食品工程学院、外国语学院。</w:t>
      </w:r>
    </w:p>
    <w:p>
      <w:pPr>
        <w:pStyle w:val="37"/>
        <w:ind w:firstLine="0" w:firstLineChars="0"/>
        <w:rPr>
          <w:rFonts w:ascii="宋体" w:hAnsi="宋体" w:eastAsia="宋体"/>
          <w:color w:val="000000"/>
          <w:sz w:val="24"/>
          <w:szCs w:val="24"/>
        </w:rPr>
      </w:pPr>
      <w:r>
        <w:drawing>
          <wp:inline distT="0" distB="0" distL="0" distR="0">
            <wp:extent cx="5257800" cy="1209675"/>
            <wp:effectExtent l="0" t="0" r="0" b="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9</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各学院保障度</w:t>
      </w:r>
    </w:p>
    <w:p>
      <w:pPr>
        <w:pStyle w:val="5"/>
      </w:pPr>
      <w:r>
        <w:rPr>
          <w:rFonts w:hint="eastAsia"/>
        </w:rPr>
        <w:t>3</w:t>
      </w:r>
      <w:r>
        <w:t>.</w:t>
      </w:r>
      <w:r>
        <w:rPr>
          <w:rFonts w:hint="eastAsia"/>
        </w:rPr>
        <w:t>毕业生对福利保障的满意度</w:t>
      </w:r>
    </w:p>
    <w:p>
      <w:pPr>
        <w:ind w:firstLine="420"/>
        <w:rPr>
          <w:rFonts w:cs="Times New Roman"/>
          <w:szCs w:val="21"/>
        </w:rPr>
      </w:pPr>
      <w:r>
        <w:rPr>
          <w:rFonts w:cs="Times New Roman"/>
          <w:szCs w:val="21"/>
        </w:rPr>
        <w:t>2021届毕业生中，97.62%的毕业生</w:t>
      </w:r>
      <w:r>
        <w:rPr>
          <w:rFonts w:hint="eastAsia" w:cs="Times New Roman"/>
          <w:szCs w:val="21"/>
        </w:rPr>
        <w:t>对于自己的</w:t>
      </w:r>
      <w:r>
        <w:rPr>
          <w:rFonts w:cs="Times New Roman"/>
          <w:szCs w:val="21"/>
        </w:rPr>
        <w:t>社会</w:t>
      </w:r>
      <w:r>
        <w:rPr>
          <w:rFonts w:hint="eastAsia" w:cs="Times New Roman"/>
          <w:szCs w:val="21"/>
        </w:rPr>
        <w:t>福利</w:t>
      </w:r>
      <w:r>
        <w:rPr>
          <w:rFonts w:cs="Times New Roman"/>
          <w:szCs w:val="21"/>
        </w:rPr>
        <w:t>保障</w:t>
      </w:r>
      <w:r>
        <w:rPr>
          <w:rFonts w:hint="eastAsia" w:cs="Times New Roman"/>
          <w:szCs w:val="21"/>
        </w:rPr>
        <w:t>持有满意态度</w:t>
      </w:r>
      <w:r>
        <w:rPr>
          <w:rFonts w:cs="Times New Roman"/>
          <w:szCs w:val="21"/>
        </w:rPr>
        <w:t>，其中有13.61%</w:t>
      </w:r>
      <w:r>
        <w:rPr>
          <w:rFonts w:hint="eastAsia" w:cs="Times New Roman"/>
          <w:szCs w:val="21"/>
        </w:rPr>
        <w:t>的毕业生对于自己的</w:t>
      </w:r>
      <w:r>
        <w:rPr>
          <w:rFonts w:cs="Times New Roman"/>
          <w:szCs w:val="21"/>
        </w:rPr>
        <w:t>社会</w:t>
      </w:r>
      <w:r>
        <w:rPr>
          <w:rFonts w:hint="eastAsia" w:cs="Times New Roman"/>
          <w:szCs w:val="21"/>
        </w:rPr>
        <w:t>福利</w:t>
      </w:r>
      <w:r>
        <w:rPr>
          <w:rFonts w:cs="Times New Roman"/>
          <w:szCs w:val="21"/>
        </w:rPr>
        <w:t>保障</w:t>
      </w:r>
      <w:r>
        <w:rPr>
          <w:rFonts w:hint="eastAsia" w:cs="Times New Roman"/>
          <w:szCs w:val="21"/>
        </w:rPr>
        <w:t>非常满意</w:t>
      </w:r>
      <w:r>
        <w:rPr>
          <w:rFonts w:cs="Times New Roman"/>
          <w:szCs w:val="21"/>
        </w:rPr>
        <w:t>。整体来看，2021届毕业生</w:t>
      </w:r>
      <w:r>
        <w:rPr>
          <w:rFonts w:hint="eastAsia" w:cs="Times New Roman"/>
          <w:szCs w:val="21"/>
        </w:rPr>
        <w:t>对于自己的</w:t>
      </w:r>
      <w:r>
        <w:rPr>
          <w:rFonts w:cs="Times New Roman"/>
          <w:szCs w:val="21"/>
        </w:rPr>
        <w:t>社会</w:t>
      </w:r>
      <w:r>
        <w:rPr>
          <w:rFonts w:hint="eastAsia" w:cs="Times New Roman"/>
          <w:szCs w:val="21"/>
        </w:rPr>
        <w:t>福利</w:t>
      </w:r>
      <w:r>
        <w:rPr>
          <w:rFonts w:cs="Times New Roman"/>
          <w:szCs w:val="21"/>
        </w:rPr>
        <w:t>保障</w:t>
      </w:r>
      <w:r>
        <w:rPr>
          <w:rFonts w:hint="eastAsia" w:cs="Times New Roman"/>
          <w:szCs w:val="21"/>
        </w:rPr>
        <w:t>持有较高的评价</w:t>
      </w:r>
      <w:r>
        <w:rPr>
          <w:rFonts w:cs="Times New Roman"/>
          <w:szCs w:val="21"/>
        </w:rPr>
        <w:t>。</w:t>
      </w:r>
    </w:p>
    <w:p>
      <w:pPr>
        <w:spacing w:line="300" w:lineRule="auto"/>
        <w:ind w:firstLine="0" w:firstLineChars="0"/>
        <w:jc w:val="center"/>
      </w:pPr>
      <w:r>
        <w:drawing>
          <wp:inline distT="0" distB="0" distL="0" distR="0">
            <wp:extent cx="5314950" cy="231457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10</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毕业生对福利保障的满意度</w:t>
      </w:r>
    </w:p>
    <w:p>
      <w:pPr>
        <w:ind w:firstLine="482"/>
        <w:outlineLvl w:val="2"/>
        <w:rPr>
          <w:rFonts w:cs="Times New Roman"/>
          <w:b/>
          <w:bCs/>
          <w:color w:val="005099"/>
          <w:sz w:val="24"/>
        </w:rPr>
      </w:pPr>
      <w:bookmarkStart w:id="36" w:name="_Toc90288223"/>
      <w:r>
        <w:rPr>
          <w:rFonts w:hint="eastAsia" w:cs="Times New Roman"/>
          <w:b/>
          <w:bCs/>
          <w:color w:val="005099"/>
          <w:sz w:val="24"/>
        </w:rPr>
        <w:t>（三）专业相关度</w:t>
      </w:r>
      <w:bookmarkEnd w:id="36"/>
    </w:p>
    <w:p>
      <w:pPr>
        <w:pStyle w:val="5"/>
      </w:pPr>
      <w:r>
        <w:rPr>
          <w:rFonts w:hint="eastAsia"/>
        </w:rPr>
        <w:t>1</w:t>
      </w:r>
      <w:r>
        <w:t>.</w:t>
      </w:r>
      <w:r>
        <w:rPr>
          <w:rFonts w:hint="eastAsia"/>
        </w:rPr>
        <w:t>毕业生工作与专业相关度</w:t>
      </w:r>
    </w:p>
    <w:p>
      <w:pPr>
        <w:ind w:firstLine="420"/>
        <w:rPr>
          <w:rFonts w:cs="Times New Roman"/>
          <w:szCs w:val="21"/>
        </w:rPr>
      </w:pPr>
      <w:r>
        <w:rPr>
          <w:rFonts w:cs="Times New Roman"/>
          <w:szCs w:val="21"/>
        </w:rPr>
        <w:t>2021届毕业生总体工作岗位与专业相关度为66.67%，相关程度比较高(含</w:t>
      </w:r>
      <w:r>
        <w:rPr>
          <w:rFonts w:hint="eastAsia" w:cs="Times New Roman"/>
          <w:szCs w:val="21"/>
        </w:rPr>
        <w:t>“</w:t>
      </w:r>
      <w:r>
        <w:rPr>
          <w:rFonts w:cs="Times New Roman"/>
          <w:szCs w:val="21"/>
        </w:rPr>
        <w:t>非常相关</w:t>
      </w:r>
      <w:r>
        <w:rPr>
          <w:rFonts w:hint="eastAsia" w:cs="Times New Roman"/>
          <w:szCs w:val="21"/>
        </w:rPr>
        <w:t>”</w:t>
      </w:r>
      <w:r>
        <w:rPr>
          <w:rFonts w:cs="Times New Roman"/>
          <w:szCs w:val="21"/>
        </w:rPr>
        <w:t>、</w:t>
      </w:r>
      <w:r>
        <w:rPr>
          <w:rFonts w:hint="eastAsia" w:cs="Times New Roman"/>
          <w:szCs w:val="21"/>
        </w:rPr>
        <w:t>“比较</w:t>
      </w:r>
      <w:r>
        <w:rPr>
          <w:rFonts w:cs="Times New Roman"/>
          <w:szCs w:val="21"/>
        </w:rPr>
        <w:t>相关</w:t>
      </w:r>
      <w:r>
        <w:rPr>
          <w:rFonts w:hint="eastAsia" w:cs="Times New Roman"/>
          <w:szCs w:val="21"/>
        </w:rPr>
        <w:t>”</w:t>
      </w:r>
      <w:r>
        <w:rPr>
          <w:rFonts w:cs="Times New Roman"/>
          <w:szCs w:val="21"/>
        </w:rPr>
        <w:t>)的占</w:t>
      </w:r>
      <w:r>
        <w:rPr>
          <w:rFonts w:hint="eastAsia" w:cs="Times New Roman"/>
          <w:szCs w:val="21"/>
        </w:rPr>
        <w:t>3</w:t>
      </w:r>
      <w:r>
        <w:rPr>
          <w:rFonts w:cs="Times New Roman"/>
          <w:szCs w:val="21"/>
        </w:rPr>
        <w:t>8.78%，</w:t>
      </w:r>
      <w:r>
        <w:rPr>
          <w:rFonts w:hint="eastAsia" w:cs="Times New Roman"/>
          <w:szCs w:val="21"/>
        </w:rPr>
        <w:t>接近四</w:t>
      </w:r>
      <w:r>
        <w:rPr>
          <w:rFonts w:cs="Times New Roman"/>
          <w:szCs w:val="21"/>
        </w:rPr>
        <w:t>成。可见，毕业生在求职时</w:t>
      </w:r>
      <w:r>
        <w:rPr>
          <w:rFonts w:hint="eastAsia" w:cs="Times New Roman"/>
          <w:szCs w:val="21"/>
        </w:rPr>
        <w:t>比较</w:t>
      </w:r>
      <w:r>
        <w:rPr>
          <w:rFonts w:cs="Times New Roman"/>
          <w:szCs w:val="21"/>
        </w:rPr>
        <w:t>倾向于专业对口的工作岗位，且大部分毕业生能找到与所学专业相关的工作岗位。</w:t>
      </w:r>
    </w:p>
    <w:p>
      <w:pPr>
        <w:spacing w:line="240" w:lineRule="auto"/>
        <w:ind w:firstLine="0" w:firstLineChars="0"/>
        <w:jc w:val="center"/>
        <w:rPr>
          <w:rFonts w:cs="Times New Roman"/>
          <w:sz w:val="24"/>
        </w:rPr>
      </w:pPr>
      <w:r>
        <w:drawing>
          <wp:inline distT="0" distB="0" distL="0" distR="0">
            <wp:extent cx="5251450" cy="2260600"/>
            <wp:effectExtent l="0" t="0" r="6350" b="635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24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毕业生工作与专业相关度</w:t>
      </w:r>
    </w:p>
    <w:p>
      <w:pPr>
        <w:spacing w:line="300" w:lineRule="auto"/>
        <w:ind w:firstLine="0" w:firstLineChars="0"/>
        <w:rPr>
          <w:rFonts w:ascii="宋体" w:hAnsi="宋体"/>
          <w:color w:val="000000"/>
          <w:sz w:val="24"/>
        </w:rPr>
      </w:pPr>
    </w:p>
    <w:p>
      <w:pPr>
        <w:pStyle w:val="5"/>
      </w:pPr>
      <w:r>
        <w:rPr>
          <w:rFonts w:hint="eastAsia"/>
        </w:rPr>
        <w:t>2</w:t>
      </w:r>
      <w:r>
        <w:t>.</w:t>
      </w:r>
      <w:r>
        <w:rPr>
          <w:rFonts w:hint="eastAsia"/>
        </w:rPr>
        <w:t>各学院/专业毕业生工作与专业相关度</w:t>
      </w:r>
    </w:p>
    <w:p>
      <w:pPr>
        <w:ind w:firstLine="420"/>
        <w:rPr>
          <w:rFonts w:cs="Times New Roman"/>
          <w:szCs w:val="21"/>
        </w:rPr>
      </w:pPr>
      <w:r>
        <w:rPr>
          <w:rFonts w:cs="Times New Roman"/>
          <w:szCs w:val="21"/>
        </w:rPr>
        <w:t>2021届毕业生中，</w:t>
      </w:r>
      <w:r>
        <w:rPr>
          <w:rFonts w:hint="eastAsia" w:cs="Times New Roman"/>
          <w:szCs w:val="21"/>
        </w:rPr>
        <w:t>工作与专业相关度较高的学院是医学院，达到</w:t>
      </w:r>
      <w:r>
        <w:rPr>
          <w:rFonts w:cs="Times New Roman"/>
          <w:szCs w:val="21"/>
        </w:rPr>
        <w:t>82.67%</w:t>
      </w:r>
      <w:r>
        <w:rPr>
          <w:rFonts w:hint="eastAsia" w:cs="Times New Roman"/>
          <w:szCs w:val="21"/>
        </w:rPr>
        <w:t>；其次是商学院，相关度达到</w:t>
      </w:r>
      <w:r>
        <w:rPr>
          <w:rFonts w:cs="Times New Roman"/>
          <w:szCs w:val="21"/>
        </w:rPr>
        <w:t>77.78%</w:t>
      </w:r>
      <w:r>
        <w:rPr>
          <w:rFonts w:hint="eastAsia" w:cs="Times New Roman"/>
          <w:szCs w:val="21"/>
        </w:rPr>
        <w:t>；再次是外国语学院，相关度达到</w:t>
      </w:r>
      <w:r>
        <w:rPr>
          <w:rFonts w:cs="Times New Roman"/>
          <w:szCs w:val="21"/>
        </w:rPr>
        <w:t>61.54%</w:t>
      </w:r>
      <w:r>
        <w:rPr>
          <w:rFonts w:hint="eastAsia" w:cs="Times New Roman"/>
          <w:szCs w:val="21"/>
        </w:rPr>
        <w:t>。</w:t>
      </w:r>
    </w:p>
    <w:p>
      <w:pPr>
        <w:pStyle w:val="37"/>
        <w:spacing w:line="240" w:lineRule="auto"/>
        <w:ind w:firstLine="0" w:firstLineChars="0"/>
        <w:jc w:val="center"/>
        <w:rPr>
          <w:rFonts w:ascii="宋体" w:hAnsi="宋体" w:eastAsia="宋体"/>
          <w:color w:val="000000"/>
          <w:sz w:val="24"/>
          <w:szCs w:val="24"/>
        </w:rPr>
      </w:pPr>
      <w:r>
        <w:drawing>
          <wp:inline distT="0" distB="0" distL="0" distR="0">
            <wp:extent cx="5314950" cy="15621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24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各学院工作与专业相关度</w:t>
      </w:r>
    </w:p>
    <w:p>
      <w:pPr>
        <w:pStyle w:val="5"/>
      </w:pPr>
      <w:r>
        <w:rPr>
          <w:rFonts w:hint="eastAsia"/>
        </w:rPr>
        <w:t>3.选择工作岗位与专业不相关原因</w:t>
      </w:r>
    </w:p>
    <w:p>
      <w:pPr>
        <w:ind w:firstLine="420"/>
        <w:rPr>
          <w:rFonts w:cs="Times New Roman"/>
          <w:szCs w:val="21"/>
        </w:rPr>
      </w:pPr>
      <w:r>
        <w:rPr>
          <w:rFonts w:cs="Times New Roman"/>
          <w:szCs w:val="21"/>
        </w:rPr>
        <w:t>2021届</w:t>
      </w:r>
      <w:r>
        <w:rPr>
          <w:rFonts w:hint="eastAsia" w:cs="Times New Roman"/>
          <w:szCs w:val="21"/>
        </w:rPr>
        <w:t>选择与专业不相关工作岗位的</w:t>
      </w:r>
      <w:r>
        <w:rPr>
          <w:rFonts w:cs="Times New Roman"/>
          <w:szCs w:val="21"/>
        </w:rPr>
        <w:t>毕业生对</w:t>
      </w:r>
      <w:r>
        <w:rPr>
          <w:rFonts w:hint="eastAsia" w:cs="Times New Roman"/>
          <w:szCs w:val="21"/>
        </w:rPr>
        <w:t>于选择该工作岗位的</w:t>
      </w:r>
      <w:r>
        <w:rPr>
          <w:rFonts w:cs="Times New Roman"/>
          <w:szCs w:val="21"/>
        </w:rPr>
        <w:t>原因占比较高的有：</w:t>
      </w:r>
      <w:r>
        <w:rPr>
          <w:rFonts w:hint="eastAsia" w:cs="Times New Roman"/>
          <w:szCs w:val="21"/>
        </w:rPr>
        <w:t>专业工作不符合自己的职业期待</w:t>
      </w:r>
      <w:r>
        <w:rPr>
          <w:rFonts w:cs="Times New Roman"/>
          <w:szCs w:val="21"/>
        </w:rPr>
        <w:t>（53.06%）、</w:t>
      </w:r>
      <w:r>
        <w:rPr>
          <w:rFonts w:hint="eastAsia" w:cs="Times New Roman"/>
          <w:szCs w:val="21"/>
        </w:rPr>
        <w:t>迫于现实先就业再择业（</w:t>
      </w:r>
      <w:r>
        <w:rPr>
          <w:rFonts w:cs="Times New Roman"/>
          <w:szCs w:val="21"/>
        </w:rPr>
        <w:t>48.98%</w:t>
      </w:r>
      <w:r>
        <w:rPr>
          <w:rFonts w:hint="eastAsia" w:cs="Times New Roman"/>
          <w:szCs w:val="21"/>
        </w:rPr>
        <w:t>）</w:t>
      </w:r>
      <w:r>
        <w:rPr>
          <w:rFonts w:cs="Times New Roman"/>
          <w:szCs w:val="21"/>
        </w:rPr>
        <w:t>以及</w:t>
      </w:r>
      <w:r>
        <w:rPr>
          <w:rFonts w:hint="eastAsia" w:cs="Times New Roman"/>
          <w:szCs w:val="21"/>
        </w:rPr>
        <w:t>达不到专业相关工作的要求</w:t>
      </w:r>
      <w:r>
        <w:rPr>
          <w:rFonts w:cs="Times New Roman"/>
          <w:szCs w:val="21"/>
        </w:rPr>
        <w:t>（28.57%）。</w:t>
      </w:r>
    </w:p>
    <w:p>
      <w:pPr>
        <w:spacing w:line="300" w:lineRule="auto"/>
        <w:ind w:firstLine="0" w:firstLineChars="0"/>
        <w:rPr>
          <w:rFonts w:ascii="宋体" w:hAnsi="宋体"/>
          <w:color w:val="000000"/>
          <w:sz w:val="24"/>
        </w:rPr>
      </w:pPr>
      <w:r>
        <w:drawing>
          <wp:inline distT="0" distB="0" distL="0" distR="0">
            <wp:extent cx="5274310" cy="1143000"/>
            <wp:effectExtent l="0" t="0" r="2540" b="0"/>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选择工作岗位与专业不相关原因</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37" w:name="_Toc90288224"/>
      <w:r>
        <w:rPr>
          <w:rFonts w:hint="eastAsia" w:cs="Times New Roman"/>
          <w:b/>
          <w:bCs/>
          <w:color w:val="005099"/>
          <w:sz w:val="24"/>
        </w:rPr>
        <w:t>（四）期待吻合度</w:t>
      </w:r>
      <w:bookmarkEnd w:id="37"/>
    </w:p>
    <w:p>
      <w:pPr>
        <w:pStyle w:val="5"/>
      </w:pPr>
      <w:r>
        <w:rPr>
          <w:rFonts w:hint="eastAsia"/>
        </w:rPr>
        <w:t>1</w:t>
      </w:r>
      <w:r>
        <w:t>.</w:t>
      </w:r>
      <w:r>
        <w:rPr>
          <w:rFonts w:hint="eastAsia"/>
        </w:rPr>
        <w:t>毕业生工作与期待吻合度</w:t>
      </w:r>
    </w:p>
    <w:p>
      <w:pPr>
        <w:ind w:firstLine="420"/>
        <w:rPr>
          <w:rFonts w:cs="Times New Roman"/>
          <w:szCs w:val="21"/>
        </w:rPr>
      </w:pPr>
      <w:r>
        <w:rPr>
          <w:rFonts w:hint="eastAsia" w:cs="Times New Roman"/>
          <w:szCs w:val="21"/>
        </w:rPr>
        <w:t>202</w:t>
      </w:r>
      <w:r>
        <w:rPr>
          <w:rFonts w:cs="Times New Roman"/>
          <w:szCs w:val="21"/>
        </w:rPr>
        <w:t>1届毕业生所从事工作与职业期待的吻合度为78.91</w:t>
      </w:r>
      <w:r>
        <w:rPr>
          <w:rFonts w:hint="eastAsia" w:cs="Times New Roman"/>
          <w:szCs w:val="21"/>
        </w:rPr>
        <w:t>%</w:t>
      </w:r>
      <w:r>
        <w:rPr>
          <w:rFonts w:cs="Times New Roman"/>
          <w:szCs w:val="21"/>
        </w:rPr>
        <w:t>，其中</w:t>
      </w:r>
      <w:r>
        <w:rPr>
          <w:rFonts w:hint="eastAsia" w:cs="Times New Roman"/>
          <w:szCs w:val="21"/>
        </w:rPr>
        <w:t>2</w:t>
      </w:r>
      <w:r>
        <w:rPr>
          <w:rFonts w:cs="Times New Roman"/>
          <w:szCs w:val="21"/>
        </w:rPr>
        <w:t>7.82</w:t>
      </w:r>
      <w:r>
        <w:rPr>
          <w:rFonts w:hint="eastAsia" w:cs="Times New Roman"/>
          <w:szCs w:val="21"/>
        </w:rPr>
        <w:t>%</w:t>
      </w:r>
      <w:r>
        <w:rPr>
          <w:rFonts w:cs="Times New Roman"/>
          <w:szCs w:val="21"/>
        </w:rPr>
        <w:t>的毕业生表示所从事工作与职业期待非常吻合，43.20</w:t>
      </w:r>
      <w:r>
        <w:rPr>
          <w:rFonts w:hint="eastAsia" w:cs="Times New Roman"/>
          <w:szCs w:val="21"/>
        </w:rPr>
        <w:t>%</w:t>
      </w:r>
      <w:r>
        <w:rPr>
          <w:rFonts w:cs="Times New Roman"/>
          <w:szCs w:val="21"/>
        </w:rPr>
        <w:t>的毕业生表示比较吻合</w:t>
      </w:r>
      <w:r>
        <w:rPr>
          <w:rFonts w:hint="eastAsia" w:cs="Times New Roman"/>
          <w:szCs w:val="21"/>
        </w:rPr>
        <w:t>，</w:t>
      </w:r>
      <w:r>
        <w:rPr>
          <w:rFonts w:cs="Times New Roman"/>
          <w:szCs w:val="21"/>
        </w:rPr>
        <w:t>27.89</w:t>
      </w:r>
      <w:r>
        <w:rPr>
          <w:rFonts w:hint="eastAsia" w:cs="Times New Roman"/>
          <w:szCs w:val="21"/>
        </w:rPr>
        <w:t>%</w:t>
      </w:r>
      <w:r>
        <w:rPr>
          <w:rFonts w:cs="Times New Roman"/>
          <w:szCs w:val="21"/>
        </w:rPr>
        <w:t>的毕业生表示吻合。</w:t>
      </w:r>
    </w:p>
    <w:p>
      <w:pPr>
        <w:ind w:firstLine="0" w:firstLineChars="0"/>
        <w:rPr>
          <w:rFonts w:cs="Times New Roman"/>
          <w:sz w:val="24"/>
        </w:rPr>
      </w:pPr>
      <w:r>
        <w:drawing>
          <wp:inline distT="0" distB="0" distL="0" distR="0">
            <wp:extent cx="5324475" cy="2336165"/>
            <wp:effectExtent l="0" t="0" r="0" b="6985"/>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14</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毕业生工作与期待吻合度</w:t>
      </w:r>
    </w:p>
    <w:p>
      <w:pPr>
        <w:pStyle w:val="5"/>
      </w:pPr>
      <w:r>
        <w:rPr>
          <w:rFonts w:hint="eastAsia"/>
        </w:rPr>
        <w:t>2</w:t>
      </w:r>
      <w:r>
        <w:t>.</w:t>
      </w:r>
      <w:r>
        <w:rPr>
          <w:rFonts w:hint="eastAsia"/>
        </w:rPr>
        <w:t xml:space="preserve">各学院/专业毕业生工作与期待吻合度 </w:t>
      </w:r>
      <w:r>
        <w:t xml:space="preserve"> </w:t>
      </w:r>
      <w:r>
        <w:rPr>
          <w:rFonts w:hint="eastAsia"/>
        </w:rPr>
        <w:t>这项内容缺失图没有</w:t>
      </w:r>
    </w:p>
    <w:p>
      <w:pPr>
        <w:ind w:firstLine="420"/>
        <w:rPr>
          <w:rFonts w:cs="Times New Roman"/>
          <w:szCs w:val="21"/>
        </w:rPr>
      </w:pPr>
      <w:r>
        <w:rPr>
          <w:rFonts w:cs="Times New Roman"/>
          <w:szCs w:val="21"/>
        </w:rPr>
        <w:t>2021届毕业生中，各个学院毕业生</w:t>
      </w:r>
      <w:r>
        <w:rPr>
          <w:rFonts w:hint="eastAsia" w:cs="Times New Roman"/>
          <w:szCs w:val="21"/>
        </w:rPr>
        <w:t>工作与期待吻合度均超过</w:t>
      </w:r>
      <w:r>
        <w:rPr>
          <w:rFonts w:cs="Times New Roman"/>
          <w:szCs w:val="21"/>
        </w:rPr>
        <w:t>60%，</w:t>
      </w:r>
      <w:r>
        <w:rPr>
          <w:rFonts w:hint="eastAsia" w:cs="Times New Roman"/>
          <w:szCs w:val="21"/>
        </w:rPr>
        <w:t>其中吻合度超过</w:t>
      </w:r>
      <w:r>
        <w:rPr>
          <w:rFonts w:cs="Times New Roman"/>
          <w:szCs w:val="21"/>
        </w:rPr>
        <w:t>80%的学院有：</w:t>
      </w:r>
      <w:r>
        <w:rPr>
          <w:rFonts w:hint="eastAsia" w:cs="Times New Roman"/>
          <w:szCs w:val="21"/>
        </w:rPr>
        <w:t>经济金融学院、信息科学与工程学院、商学院、食品工程学院。</w:t>
      </w:r>
    </w:p>
    <w:p>
      <w:pPr>
        <w:pStyle w:val="37"/>
        <w:ind w:firstLine="0" w:firstLineChars="0"/>
        <w:rPr>
          <w:rFonts w:ascii="宋体" w:hAnsi="宋体" w:eastAsia="宋体"/>
          <w:color w:val="000000"/>
          <w:sz w:val="24"/>
          <w:szCs w:val="24"/>
        </w:rPr>
      </w:pPr>
      <w:r>
        <w:drawing>
          <wp:inline distT="0" distB="0" distL="0" distR="0">
            <wp:extent cx="5274310" cy="1978025"/>
            <wp:effectExtent l="0" t="0" r="2540" b="317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15</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各学院工作与期待吻合度</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38" w:name="_Toc90288225"/>
      <w:r>
        <w:rPr>
          <w:rFonts w:hint="eastAsia" w:cs="Times New Roman"/>
          <w:b/>
          <w:bCs/>
          <w:color w:val="005099"/>
          <w:sz w:val="24"/>
        </w:rPr>
        <w:t>（五）职业发展</w:t>
      </w:r>
      <w:bookmarkEnd w:id="38"/>
      <w:r>
        <w:rPr>
          <w:rFonts w:hint="eastAsia" w:cs="Times New Roman"/>
          <w:b/>
          <w:bCs/>
          <w:color w:val="005099"/>
          <w:sz w:val="24"/>
        </w:rPr>
        <w:t xml:space="preserve"> </w:t>
      </w:r>
    </w:p>
    <w:p>
      <w:pPr>
        <w:ind w:firstLine="420"/>
        <w:rPr>
          <w:rFonts w:cs="Times New Roman"/>
          <w:szCs w:val="21"/>
        </w:rPr>
      </w:pPr>
      <w:r>
        <w:rPr>
          <w:rFonts w:hint="eastAsia" w:cs="Times New Roman"/>
          <w:szCs w:val="21"/>
        </w:rPr>
        <w:t>202</w:t>
      </w:r>
      <w:r>
        <w:rPr>
          <w:rFonts w:cs="Times New Roman"/>
          <w:szCs w:val="21"/>
        </w:rPr>
        <w:t>1届毕业生</w:t>
      </w:r>
      <w:r>
        <w:rPr>
          <w:rFonts w:hint="eastAsia" w:cs="Times New Roman"/>
          <w:szCs w:val="21"/>
        </w:rPr>
        <w:t>对自身职业发展整体满意度为</w:t>
      </w:r>
      <w:r>
        <w:rPr>
          <w:rFonts w:cs="Times New Roman"/>
          <w:szCs w:val="21"/>
        </w:rPr>
        <w:t>3.84</w:t>
      </w:r>
      <w:r>
        <w:rPr>
          <w:rFonts w:hint="eastAsia" w:cs="Times New Roman"/>
          <w:szCs w:val="21"/>
        </w:rPr>
        <w:t>分（满分5分），对所</w:t>
      </w:r>
      <w:r>
        <w:rPr>
          <w:rFonts w:cs="Times New Roman"/>
          <w:szCs w:val="21"/>
        </w:rPr>
        <w:t>从事工作</w:t>
      </w:r>
      <w:r>
        <w:rPr>
          <w:rFonts w:hint="eastAsia" w:cs="Times New Roman"/>
          <w:szCs w:val="21"/>
        </w:rPr>
        <w:t>的岗位发展前景的平均评价得分为</w:t>
      </w:r>
      <w:r>
        <w:rPr>
          <w:rFonts w:cs="Times New Roman"/>
          <w:szCs w:val="21"/>
        </w:rPr>
        <w:t>3.84</w:t>
      </w:r>
      <w:r>
        <w:rPr>
          <w:rFonts w:hint="eastAsia" w:cs="Times New Roman"/>
          <w:szCs w:val="21"/>
        </w:rPr>
        <w:t>分，对所</w:t>
      </w:r>
      <w:r>
        <w:rPr>
          <w:rFonts w:cs="Times New Roman"/>
          <w:szCs w:val="21"/>
        </w:rPr>
        <w:t>从事工作</w:t>
      </w:r>
      <w:r>
        <w:rPr>
          <w:rFonts w:hint="eastAsia" w:cs="Times New Roman"/>
          <w:szCs w:val="21"/>
        </w:rPr>
        <w:t>的岗位晋升空间的评价得分为</w:t>
      </w:r>
      <w:r>
        <w:rPr>
          <w:rFonts w:cs="Times New Roman"/>
          <w:szCs w:val="21"/>
        </w:rPr>
        <w:t>3.66</w:t>
      </w:r>
      <w:r>
        <w:rPr>
          <w:rFonts w:hint="eastAsia" w:cs="Times New Roman"/>
          <w:szCs w:val="21"/>
        </w:rPr>
        <w:t>分，对所</w:t>
      </w:r>
      <w:r>
        <w:rPr>
          <w:rFonts w:cs="Times New Roman"/>
          <w:szCs w:val="21"/>
        </w:rPr>
        <w:t>从事工作</w:t>
      </w:r>
      <w:r>
        <w:rPr>
          <w:rFonts w:hint="eastAsia" w:cs="Times New Roman"/>
          <w:szCs w:val="21"/>
        </w:rPr>
        <w:t>的培训进修机会的评价得分为3</w:t>
      </w:r>
      <w:r>
        <w:rPr>
          <w:rFonts w:cs="Times New Roman"/>
          <w:szCs w:val="21"/>
        </w:rPr>
        <w:t>.72</w:t>
      </w:r>
      <w:r>
        <w:rPr>
          <w:rFonts w:hint="eastAsia" w:cs="Times New Roman"/>
          <w:szCs w:val="21"/>
        </w:rPr>
        <w:t>分，。</w:t>
      </w:r>
    </w:p>
    <w:p>
      <w:pPr>
        <w:spacing w:line="300" w:lineRule="auto"/>
        <w:ind w:firstLine="0" w:firstLineChars="0"/>
        <w:jc w:val="center"/>
        <w:rPr>
          <w:rFonts w:eastAsia="黑体" w:cs="Times New Roman"/>
          <w:sz w:val="18"/>
          <w:szCs w:val="18"/>
        </w:rPr>
      </w:pPr>
      <w:r>
        <w:drawing>
          <wp:inline distT="0" distB="0" distL="0" distR="0">
            <wp:extent cx="5086350" cy="2659380"/>
            <wp:effectExtent l="0" t="0" r="0" b="76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SEQ 图2- \* ARABIC </w:instrText>
      </w:r>
      <w:r>
        <w:rPr>
          <w:rFonts w:eastAsia="黑体" w:cs="Times New Roman"/>
          <w:sz w:val="18"/>
          <w:szCs w:val="18"/>
        </w:rPr>
        <w:fldChar w:fldCharType="separate"/>
      </w:r>
      <w:r>
        <w:rPr>
          <w:rFonts w:eastAsia="黑体" w:cs="Times New Roman"/>
          <w:sz w:val="18"/>
          <w:szCs w:val="18"/>
        </w:rPr>
        <w:t>16</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毕业生对自身职业发展的评价</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39" w:name="_Toc90288226"/>
      <w:r>
        <w:rPr>
          <w:rFonts w:hint="eastAsia" w:cs="Times New Roman"/>
          <w:b/>
          <w:bCs/>
          <w:color w:val="005099"/>
          <w:sz w:val="24"/>
        </w:rPr>
        <w:t>（六）就业稳定性</w:t>
      </w:r>
      <w:bookmarkEnd w:id="39"/>
    </w:p>
    <w:p>
      <w:pPr>
        <w:pStyle w:val="5"/>
      </w:pPr>
      <w:r>
        <w:rPr>
          <w:rFonts w:hint="eastAsia"/>
        </w:rPr>
        <w:t>1</w:t>
      </w:r>
      <w:r>
        <w:t>.</w:t>
      </w:r>
      <w:r>
        <w:rPr>
          <w:rFonts w:hint="eastAsia"/>
        </w:rPr>
        <w:t>离职情况</w:t>
      </w:r>
    </w:p>
    <w:p>
      <w:pPr>
        <w:ind w:firstLine="420"/>
        <w:rPr>
          <w:rFonts w:cs="Times New Roman"/>
          <w:szCs w:val="21"/>
        </w:rPr>
      </w:pPr>
      <w:r>
        <w:rPr>
          <w:rFonts w:hint="eastAsia" w:cs="Times New Roman"/>
          <w:szCs w:val="21"/>
        </w:rPr>
        <w:t>2</w:t>
      </w:r>
      <w:r>
        <w:rPr>
          <w:rFonts w:cs="Times New Roman"/>
          <w:szCs w:val="21"/>
        </w:rPr>
        <w:t>021</w:t>
      </w:r>
      <w:r>
        <w:rPr>
          <w:rFonts w:hint="eastAsia" w:cs="Times New Roman"/>
          <w:szCs w:val="21"/>
        </w:rPr>
        <w:t>届已签约毕业生离职率为</w:t>
      </w:r>
      <w:r>
        <w:rPr>
          <w:rFonts w:cs="Times New Roman"/>
          <w:szCs w:val="21"/>
        </w:rPr>
        <w:t>17.01%</w:t>
      </w:r>
      <w:r>
        <w:rPr>
          <w:rFonts w:hint="eastAsia" w:cs="Times New Roman"/>
          <w:szCs w:val="21"/>
        </w:rPr>
        <w:t>，其中离职3次及以上的毕业生仅占比</w:t>
      </w:r>
      <w:r>
        <w:rPr>
          <w:rFonts w:cs="Times New Roman"/>
          <w:szCs w:val="21"/>
        </w:rPr>
        <w:t>0.68%</w:t>
      </w:r>
      <w:r>
        <w:rPr>
          <w:rFonts w:hint="eastAsia" w:cs="Times New Roman"/>
          <w:szCs w:val="21"/>
        </w:rPr>
        <w:t>，总体来看，离职率较低。</w:t>
      </w:r>
    </w:p>
    <w:p>
      <w:pPr>
        <w:spacing w:line="300" w:lineRule="auto"/>
        <w:ind w:firstLine="0" w:firstLineChars="0"/>
        <w:jc w:val="center"/>
        <w:rPr>
          <w:rFonts w:ascii="宋体" w:hAnsi="宋体"/>
          <w:color w:val="000000"/>
          <w:sz w:val="24"/>
        </w:rPr>
      </w:pPr>
      <w:r>
        <w:drawing>
          <wp:inline distT="0" distB="0" distL="0" distR="0">
            <wp:extent cx="4344670" cy="2395855"/>
            <wp:effectExtent l="0" t="0" r="0" b="4445"/>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17</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离职情况</w:t>
      </w:r>
    </w:p>
    <w:p>
      <w:pPr>
        <w:spacing w:line="300" w:lineRule="auto"/>
        <w:ind w:firstLine="0" w:firstLineChars="0"/>
        <w:rPr>
          <w:rFonts w:ascii="宋体" w:hAnsi="宋体"/>
          <w:color w:val="000000"/>
          <w:sz w:val="24"/>
        </w:rPr>
      </w:pPr>
    </w:p>
    <w:p>
      <w:pPr>
        <w:pStyle w:val="5"/>
      </w:pPr>
      <w:r>
        <w:t>2.</w:t>
      </w:r>
      <w:r>
        <w:rPr>
          <w:rFonts w:hint="eastAsia"/>
        </w:rPr>
        <w:t>离职原因</w:t>
      </w:r>
    </w:p>
    <w:p>
      <w:pPr>
        <w:ind w:firstLine="420"/>
        <w:rPr>
          <w:rFonts w:cs="Times New Roman"/>
          <w:szCs w:val="21"/>
        </w:rPr>
      </w:pPr>
      <w:r>
        <w:rPr>
          <w:rFonts w:cs="Times New Roman"/>
          <w:szCs w:val="21"/>
        </w:rPr>
        <w:t>2021届</w:t>
      </w:r>
      <w:r>
        <w:rPr>
          <w:rFonts w:hint="eastAsia" w:cs="Times New Roman"/>
          <w:szCs w:val="21"/>
        </w:rPr>
        <w:t>离职的</w:t>
      </w:r>
      <w:r>
        <w:rPr>
          <w:rFonts w:cs="Times New Roman"/>
          <w:szCs w:val="21"/>
        </w:rPr>
        <w:t>毕业生</w:t>
      </w:r>
      <w:r>
        <w:rPr>
          <w:rFonts w:hint="eastAsia" w:cs="Times New Roman"/>
          <w:szCs w:val="21"/>
        </w:rPr>
        <w:t>认为主要的离职原因有薪资福利差，占比</w:t>
      </w:r>
      <w:r>
        <w:rPr>
          <w:rFonts w:cs="Times New Roman"/>
          <w:szCs w:val="21"/>
        </w:rPr>
        <w:t>40.00%</w:t>
      </w:r>
      <w:r>
        <w:rPr>
          <w:rFonts w:hint="eastAsia" w:cs="Times New Roman"/>
          <w:szCs w:val="21"/>
        </w:rPr>
        <w:t>；其次发展空间不大，占比</w:t>
      </w:r>
      <w:r>
        <w:rPr>
          <w:rFonts w:cs="Times New Roman"/>
          <w:szCs w:val="21"/>
        </w:rPr>
        <w:t>3</w:t>
      </w:r>
      <w:r>
        <w:rPr>
          <w:rFonts w:hint="eastAsia" w:cs="Times New Roman"/>
          <w:szCs w:val="21"/>
        </w:rPr>
        <w:t>2</w:t>
      </w:r>
      <w:r>
        <w:rPr>
          <w:rFonts w:cs="Times New Roman"/>
          <w:szCs w:val="21"/>
        </w:rPr>
        <w:t>.00%</w:t>
      </w:r>
      <w:r>
        <w:rPr>
          <w:rFonts w:hint="eastAsia" w:cs="Times New Roman"/>
          <w:szCs w:val="21"/>
        </w:rPr>
        <w:t>；再次想改变职业或行业其他原因，占比3</w:t>
      </w:r>
      <w:r>
        <w:rPr>
          <w:rFonts w:cs="Times New Roman"/>
          <w:szCs w:val="21"/>
        </w:rPr>
        <w:t>0.000%</w:t>
      </w:r>
      <w:r>
        <w:rPr>
          <w:rFonts w:hint="eastAsia" w:cs="Times New Roman"/>
          <w:szCs w:val="21"/>
        </w:rPr>
        <w:t>。</w:t>
      </w:r>
    </w:p>
    <w:p>
      <w:pPr>
        <w:spacing w:line="300" w:lineRule="auto"/>
        <w:ind w:firstLine="0" w:firstLineChars="0"/>
        <w:jc w:val="center"/>
        <w:rPr>
          <w:rFonts w:ascii="宋体" w:hAnsi="宋体"/>
          <w:color w:val="000000"/>
          <w:sz w:val="24"/>
        </w:rPr>
      </w:pPr>
      <w:r>
        <w:drawing>
          <wp:inline distT="0" distB="0" distL="0" distR="0">
            <wp:extent cx="5415280" cy="2416810"/>
            <wp:effectExtent l="0" t="0" r="0" b="2540"/>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18</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离职原因</w:t>
      </w:r>
    </w:p>
    <w:p>
      <w:pPr>
        <w:spacing w:line="300" w:lineRule="auto"/>
        <w:ind w:firstLine="480"/>
        <w:rPr>
          <w:rFonts w:ascii="宋体" w:hAnsi="宋体"/>
          <w:color w:val="000000"/>
          <w:sz w:val="24"/>
        </w:rPr>
        <w:sectPr>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40" w:name="_Toc90288227"/>
      <w:r>
        <w:rPr>
          <w:rFonts w:hint="eastAsia" w:ascii="宋体" w:hAnsi="宋体"/>
          <w:b/>
          <w:bCs/>
          <w:color w:val="FFFFFF" w:themeColor="background1"/>
          <w:sz w:val="32"/>
          <w:szCs w:val="32"/>
          <w14:textFill>
            <w14:solidFill>
              <w14:schemeClr w14:val="bg1"/>
            </w14:solidFill>
          </w14:textFill>
        </w:rPr>
        <w:t>第三章 毕业生继续深造情况与自主创业情况</w:t>
      </w:r>
      <w:bookmarkEnd w:id="40"/>
    </w:p>
    <w:p>
      <w:pPr>
        <w:ind w:firstLine="602"/>
        <w:outlineLvl w:val="1"/>
        <w:rPr>
          <w:rFonts w:cs="Times New Roman"/>
          <w:b/>
          <w:bCs/>
          <w:color w:val="005099"/>
          <w:sz w:val="30"/>
          <w:szCs w:val="30"/>
        </w:rPr>
      </w:pPr>
      <w:bookmarkStart w:id="41" w:name="_Toc90288228"/>
      <w:r>
        <w:rPr>
          <w:rFonts w:hint="eastAsia" w:cs="Times New Roman"/>
          <w:b/>
          <w:bCs/>
          <w:color w:val="005099"/>
          <w:sz w:val="30"/>
          <w:szCs w:val="30"/>
        </w:rPr>
        <w:t>一、继续深造情况</w:t>
      </w:r>
      <w:bookmarkEnd w:id="41"/>
    </w:p>
    <w:p>
      <w:pPr>
        <w:ind w:firstLine="482"/>
        <w:outlineLvl w:val="2"/>
        <w:rPr>
          <w:rFonts w:cs="Times New Roman"/>
          <w:b/>
          <w:bCs/>
          <w:color w:val="005099"/>
          <w:sz w:val="24"/>
        </w:rPr>
      </w:pPr>
      <w:bookmarkStart w:id="42" w:name="_Toc90288229"/>
      <w:r>
        <w:rPr>
          <w:rFonts w:hint="eastAsia" w:cs="Times New Roman"/>
          <w:b/>
          <w:bCs/>
          <w:color w:val="005099"/>
          <w:sz w:val="24"/>
        </w:rPr>
        <w:t>（一）国内升学情况</w:t>
      </w:r>
      <w:bookmarkEnd w:id="42"/>
    </w:p>
    <w:p>
      <w:pPr>
        <w:pStyle w:val="5"/>
      </w:pPr>
      <w:r>
        <w:rPr>
          <w:rFonts w:hint="eastAsia"/>
        </w:rPr>
        <w:t>1</w:t>
      </w:r>
      <w:r>
        <w:t>.</w:t>
      </w:r>
      <w:r>
        <w:rPr>
          <w:rFonts w:hint="eastAsia"/>
        </w:rPr>
        <w:t>国内升学率</w:t>
      </w:r>
      <w:r>
        <w:footnoteReference w:id="1"/>
      </w:r>
    </w:p>
    <w:p>
      <w:pPr>
        <w:ind w:firstLine="480"/>
        <w:rPr>
          <w:rFonts w:cs="Times New Roman"/>
          <w:sz w:val="24"/>
        </w:rPr>
      </w:pPr>
      <w:r>
        <w:rPr>
          <w:rFonts w:cs="Times New Roman"/>
          <w:sz w:val="24"/>
        </w:rPr>
        <w:t>2021届毕业生共37人升学，总体升学率2.05%。</w:t>
      </w:r>
      <w:r>
        <w:rPr>
          <w:rFonts w:hint="eastAsia" w:cs="Times New Roman"/>
          <w:sz w:val="24"/>
        </w:rPr>
        <w:t>本科</w:t>
      </w:r>
      <w:r>
        <w:rPr>
          <w:rFonts w:cs="Times New Roman"/>
          <w:sz w:val="24"/>
        </w:rPr>
        <w:t>毕业生升学率1.09%，</w:t>
      </w:r>
      <w:r>
        <w:rPr>
          <w:rFonts w:hint="eastAsia" w:cs="Times New Roman"/>
          <w:sz w:val="24"/>
        </w:rPr>
        <w:t>专科</w:t>
      </w:r>
      <w:r>
        <w:rPr>
          <w:rFonts w:cs="Times New Roman"/>
          <w:sz w:val="24"/>
        </w:rPr>
        <w:t>毕业生升学率8058%。详见下表。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表3-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表3-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届毕业生分学历升学率</w:t>
      </w:r>
    </w:p>
    <w:p>
      <w:pPr>
        <w:ind w:firstLine="420"/>
        <w:jc w:val="right"/>
      </w:pPr>
      <w:r>
        <w:rPr>
          <w:rFonts w:hint="eastAsia"/>
        </w:rPr>
        <w:t>单位：人数（人），比例（%）</w:t>
      </w:r>
    </w:p>
    <w:tbl>
      <w:tblPr>
        <w:tblStyle w:val="23"/>
        <w:tblW w:w="5000" w:type="pct"/>
        <w:tblInd w:w="0" w:type="dxa"/>
        <w:tblLayout w:type="autofit"/>
        <w:tblCellMar>
          <w:top w:w="0" w:type="dxa"/>
          <w:left w:w="108" w:type="dxa"/>
          <w:bottom w:w="0" w:type="dxa"/>
          <w:right w:w="108" w:type="dxa"/>
        </w:tblCellMar>
      </w:tblPr>
      <w:tblGrid>
        <w:gridCol w:w="2534"/>
        <w:gridCol w:w="2132"/>
        <w:gridCol w:w="2132"/>
        <w:gridCol w:w="1724"/>
      </w:tblGrid>
      <w:tr>
        <w:tblPrEx>
          <w:tblCellMar>
            <w:top w:w="0" w:type="dxa"/>
            <w:left w:w="108" w:type="dxa"/>
            <w:bottom w:w="0" w:type="dxa"/>
            <w:right w:w="108" w:type="dxa"/>
          </w:tblCellMar>
        </w:tblPrEx>
        <w:trPr>
          <w:trHeight w:val="312" w:hRule="atLeast"/>
        </w:trPr>
        <w:tc>
          <w:tcPr>
            <w:tcW w:w="148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学历</w:t>
            </w:r>
          </w:p>
        </w:tc>
        <w:tc>
          <w:tcPr>
            <w:tcW w:w="125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毕业人数</w:t>
            </w:r>
          </w:p>
        </w:tc>
        <w:tc>
          <w:tcPr>
            <w:tcW w:w="125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升学人数</w:t>
            </w:r>
          </w:p>
        </w:tc>
        <w:tc>
          <w:tcPr>
            <w:tcW w:w="101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升学率</w:t>
            </w:r>
          </w:p>
        </w:tc>
      </w:tr>
      <w:tr>
        <w:tblPrEx>
          <w:tblCellMar>
            <w:top w:w="0" w:type="dxa"/>
            <w:left w:w="108" w:type="dxa"/>
            <w:bottom w:w="0" w:type="dxa"/>
            <w:right w:w="108" w:type="dxa"/>
          </w:tblCellMar>
        </w:tblPrEx>
        <w:trPr>
          <w:trHeight w:val="312" w:hRule="atLeast"/>
        </w:trPr>
        <w:tc>
          <w:tcPr>
            <w:tcW w:w="1487"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本科毕业生</w:t>
            </w:r>
          </w:p>
        </w:tc>
        <w:tc>
          <w:tcPr>
            <w:tcW w:w="1251"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1566</w:t>
            </w:r>
          </w:p>
        </w:tc>
        <w:tc>
          <w:tcPr>
            <w:tcW w:w="1251"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17</w:t>
            </w:r>
          </w:p>
        </w:tc>
        <w:tc>
          <w:tcPr>
            <w:tcW w:w="1011"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1.09%</w:t>
            </w:r>
          </w:p>
        </w:tc>
      </w:tr>
      <w:tr>
        <w:tblPrEx>
          <w:tblCellMar>
            <w:top w:w="0" w:type="dxa"/>
            <w:left w:w="108" w:type="dxa"/>
            <w:bottom w:w="0" w:type="dxa"/>
            <w:right w:w="108" w:type="dxa"/>
          </w:tblCellMar>
        </w:tblPrEx>
        <w:trPr>
          <w:trHeight w:val="312" w:hRule="atLeast"/>
        </w:trPr>
        <w:tc>
          <w:tcPr>
            <w:tcW w:w="148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专科毕业生</w:t>
            </w:r>
          </w:p>
        </w:tc>
        <w:tc>
          <w:tcPr>
            <w:tcW w:w="125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233</w:t>
            </w:r>
          </w:p>
        </w:tc>
        <w:tc>
          <w:tcPr>
            <w:tcW w:w="125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w:t>
            </w:r>
          </w:p>
        </w:tc>
        <w:tc>
          <w:tcPr>
            <w:tcW w:w="101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8.58%</w:t>
            </w:r>
          </w:p>
        </w:tc>
      </w:tr>
      <w:tr>
        <w:tblPrEx>
          <w:tblCellMar>
            <w:top w:w="0" w:type="dxa"/>
            <w:left w:w="108" w:type="dxa"/>
            <w:bottom w:w="0" w:type="dxa"/>
            <w:right w:w="108" w:type="dxa"/>
          </w:tblCellMar>
        </w:tblPrEx>
        <w:trPr>
          <w:trHeight w:val="312" w:hRule="atLeast"/>
        </w:trPr>
        <w:tc>
          <w:tcPr>
            <w:tcW w:w="148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总计</w:t>
            </w:r>
          </w:p>
        </w:tc>
        <w:tc>
          <w:tcPr>
            <w:tcW w:w="125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1799</w:t>
            </w:r>
          </w:p>
        </w:tc>
        <w:tc>
          <w:tcPr>
            <w:tcW w:w="125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37</w:t>
            </w:r>
          </w:p>
        </w:tc>
        <w:tc>
          <w:tcPr>
            <w:tcW w:w="101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2.06%</w:t>
            </w:r>
          </w:p>
        </w:tc>
      </w:tr>
    </w:tbl>
    <w:p>
      <w:pPr>
        <w:pStyle w:val="5"/>
      </w:pPr>
      <w:r>
        <w:rPr>
          <w:rFonts w:hint="eastAsia"/>
        </w:rPr>
        <w:t>2</w:t>
      </w:r>
      <w:r>
        <w:t>.</w:t>
      </w:r>
      <w:r>
        <w:rPr>
          <w:rFonts w:hint="eastAsia"/>
        </w:rPr>
        <w:t>专业升学率</w:t>
      </w:r>
    </w:p>
    <w:p>
      <w:pPr>
        <w:ind w:firstLine="420"/>
        <w:rPr>
          <w:rFonts w:cs="Times New Roman"/>
          <w:szCs w:val="21"/>
        </w:rPr>
      </w:pPr>
      <w:r>
        <w:rPr>
          <w:rFonts w:cs="Times New Roman"/>
          <w:szCs w:val="21"/>
        </w:rPr>
        <w:t>2021届</w:t>
      </w:r>
      <w:r>
        <w:rPr>
          <w:rFonts w:hint="eastAsia" w:cs="Times New Roman"/>
          <w:szCs w:val="21"/>
        </w:rPr>
        <w:t>本科</w:t>
      </w:r>
      <w:r>
        <w:rPr>
          <w:rFonts w:cs="Times New Roman"/>
          <w:szCs w:val="21"/>
        </w:rPr>
        <w:t>各学院中，</w:t>
      </w:r>
      <w:r>
        <w:rPr>
          <w:rFonts w:hint="eastAsia" w:cs="Times New Roman"/>
          <w:szCs w:val="21"/>
        </w:rPr>
        <w:t>食品工程学院</w:t>
      </w:r>
      <w:r>
        <w:rPr>
          <w:rFonts w:cs="Times New Roman"/>
          <w:szCs w:val="21"/>
        </w:rPr>
        <w:t>毕业生升学率最高，达到6.35%。各专业中，</w:t>
      </w:r>
      <w:r>
        <w:rPr>
          <w:rFonts w:hint="eastAsia" w:cs="Times New Roman"/>
          <w:szCs w:val="21"/>
        </w:rPr>
        <w:t>食品质量与安全</w:t>
      </w:r>
      <w:r>
        <w:rPr>
          <w:rFonts w:cs="Times New Roman"/>
          <w:szCs w:val="21"/>
        </w:rPr>
        <w:t>专业毕业生升学率最高，达到9.62%；</w:t>
      </w:r>
      <w:r>
        <w:rPr>
          <w:rFonts w:hint="eastAsia" w:cs="Times New Roman"/>
          <w:szCs w:val="21"/>
        </w:rPr>
        <w:t>专科各学院中，商学院</w:t>
      </w:r>
      <w:r>
        <w:rPr>
          <w:rFonts w:cs="Times New Roman"/>
          <w:szCs w:val="21"/>
        </w:rPr>
        <w:t>毕业生升学率最高，达到10.53%。各专业中，</w:t>
      </w:r>
      <w:r>
        <w:rPr>
          <w:rFonts w:hint="eastAsia" w:cs="Times New Roman"/>
          <w:szCs w:val="21"/>
        </w:rPr>
        <w:t>工商企业管理</w:t>
      </w:r>
      <w:r>
        <w:rPr>
          <w:rFonts w:cs="Times New Roman"/>
          <w:szCs w:val="21"/>
        </w:rPr>
        <w:t>专业毕业生升学率最高，达到12.86%详见下表。</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表3-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表3-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202</w:t>
      </w:r>
      <w:r>
        <w:rPr>
          <w:rFonts w:eastAsia="黑体" w:cs="Times New Roman"/>
          <w:sz w:val="18"/>
          <w:szCs w:val="18"/>
        </w:rPr>
        <w:t>1</w:t>
      </w:r>
      <w:r>
        <w:rPr>
          <w:rFonts w:hint="eastAsia" w:eastAsia="黑体" w:cs="Times New Roman"/>
          <w:sz w:val="18"/>
          <w:szCs w:val="18"/>
        </w:rPr>
        <w:t>届毕业生分学院/专业升学率</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1305"/>
        <w:gridCol w:w="2148"/>
        <w:gridCol w:w="1936"/>
        <w:gridCol w:w="1098"/>
        <w:gridCol w:w="1098"/>
        <w:gridCol w:w="937"/>
      </w:tblGrid>
      <w:tr>
        <w:tblPrEx>
          <w:tblCellMar>
            <w:top w:w="0" w:type="dxa"/>
            <w:left w:w="108" w:type="dxa"/>
            <w:bottom w:w="0" w:type="dxa"/>
            <w:right w:w="108" w:type="dxa"/>
          </w:tblCellMar>
        </w:tblPrEx>
        <w:trPr>
          <w:trHeight w:val="312" w:hRule="atLeast"/>
          <w:tblHeader/>
        </w:trPr>
        <w:tc>
          <w:tcPr>
            <w:tcW w:w="76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学历</w:t>
            </w:r>
          </w:p>
        </w:tc>
        <w:tc>
          <w:tcPr>
            <w:tcW w:w="126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学院</w:t>
            </w:r>
          </w:p>
        </w:tc>
        <w:tc>
          <w:tcPr>
            <w:tcW w:w="1136"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专业</w:t>
            </w:r>
          </w:p>
        </w:tc>
        <w:tc>
          <w:tcPr>
            <w:tcW w:w="64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毕业人数</w:t>
            </w:r>
          </w:p>
        </w:tc>
        <w:tc>
          <w:tcPr>
            <w:tcW w:w="644" w:type="pct"/>
            <w:tcBorders>
              <w:top w:val="nil"/>
              <w:left w:val="nil"/>
              <w:bottom w:val="nil"/>
              <w:right w:val="nil"/>
            </w:tcBorders>
            <w:shd w:val="clear" w:color="000000" w:fill="3960A7"/>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升学人数</w:t>
            </w:r>
          </w:p>
        </w:tc>
        <w:tc>
          <w:tcPr>
            <w:tcW w:w="55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升学率</w:t>
            </w:r>
          </w:p>
        </w:tc>
      </w:tr>
      <w:tr>
        <w:tblPrEx>
          <w:tblCellMar>
            <w:top w:w="0" w:type="dxa"/>
            <w:left w:w="108" w:type="dxa"/>
            <w:bottom w:w="0" w:type="dxa"/>
            <w:right w:w="108" w:type="dxa"/>
          </w:tblCellMar>
        </w:tblPrEx>
        <w:trPr>
          <w:trHeight w:val="312" w:hRule="atLeast"/>
        </w:trPr>
        <w:tc>
          <w:tcPr>
            <w:tcW w:w="766" w:type="pct"/>
            <w:vMerge w:val="restar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本科毕业生</w:t>
            </w:r>
          </w:p>
        </w:tc>
        <w:tc>
          <w:tcPr>
            <w:tcW w:w="1260"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经济金融学院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保险学</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金融学</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100</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劳动与社会保障</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65</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人力资源管理</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经济金融学院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214</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商学院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财务管理</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94</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国际商务</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人力资源管理</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55</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市场营销</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85</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商学院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289</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食品工程学院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生物工程</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46</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6.52%</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食品科学与工程</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28</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食品质量与安全</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9.62%</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食品工程学院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126</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6.35%</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外国语学院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汉语国际教育</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98</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2.04%</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英语</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89</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外国语学院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187</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1.07%</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信息科学与工程学院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电子信息工程</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63</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计算机科学与技术</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67</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1.49%</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通信工程</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自动化</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信息科学与工程学院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0.47%</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医学院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护理学</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61</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康复治疗学</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51</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3.92%</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口腔医学技术</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54</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药学</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2.13%</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医学院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213</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1.41%</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艺术与设计学院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动画</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42</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公共艺术</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38</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环境设计</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74</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4.05%</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视觉传达设计</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52</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数字媒体艺术</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40</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舞蹈表演</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31</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音乐表演</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47</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艺术与设计学院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324</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0.93%</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本科毕业生</w:t>
            </w:r>
            <w:r>
              <w:rPr>
                <w:rFonts w:cs="Times New Roman"/>
                <w:b/>
                <w:bCs/>
                <w:color w:val="000000"/>
                <w:kern w:val="0"/>
                <w:sz w:val="18"/>
                <w:szCs w:val="18"/>
              </w:rPr>
              <w:t xml:space="preserve"> </w:t>
            </w:r>
            <w:r>
              <w:rPr>
                <w:rFonts w:hint="eastAsia" w:ascii="宋体" w:hAnsi="宋体" w:cs="Times New Roman"/>
                <w:b/>
                <w:bCs/>
                <w:color w:val="000000"/>
                <w:kern w:val="0"/>
                <w:sz w:val="18"/>
                <w:szCs w:val="18"/>
              </w:rPr>
              <w:t>小计</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1566</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17</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1.09%</w:t>
            </w:r>
          </w:p>
        </w:tc>
      </w:tr>
      <w:tr>
        <w:tblPrEx>
          <w:tblCellMar>
            <w:top w:w="0" w:type="dxa"/>
            <w:left w:w="108" w:type="dxa"/>
            <w:bottom w:w="0" w:type="dxa"/>
            <w:right w:w="108" w:type="dxa"/>
          </w:tblCellMar>
        </w:tblPrEx>
        <w:trPr>
          <w:trHeight w:val="312" w:hRule="atLeast"/>
        </w:trPr>
        <w:tc>
          <w:tcPr>
            <w:tcW w:w="766" w:type="pct"/>
            <w:vMerge w:val="restar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专科毕业生</w:t>
            </w:r>
          </w:p>
        </w:tc>
        <w:tc>
          <w:tcPr>
            <w:tcW w:w="1260" w:type="pct"/>
            <w:vMerge w:val="restar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商学院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工商企业管理</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70</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9</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12.86%</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市场营销</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44</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6.82%</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商学院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114</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12</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10.53%</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restar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信息科学与工程学院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计算机应用技术</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68</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7</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10.29%</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136"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通信技术</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12</w:t>
            </w:r>
          </w:p>
        </w:tc>
        <w:tc>
          <w:tcPr>
            <w:tcW w:w="644"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1</w:t>
            </w:r>
          </w:p>
        </w:tc>
        <w:tc>
          <w:tcPr>
            <w:tcW w:w="550"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8.33%</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信息科学与工程学院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80</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10.00%</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1260" w:type="pct"/>
            <w:tcBorders>
              <w:top w:val="nil"/>
              <w:left w:val="nil"/>
              <w:bottom w:val="nil"/>
              <w:right w:val="nil"/>
            </w:tcBorders>
            <w:shd w:val="clear" w:color="000000" w:fill="C6D4EC"/>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艺术与设计学院</w:t>
            </w:r>
          </w:p>
        </w:tc>
        <w:tc>
          <w:tcPr>
            <w:tcW w:w="1136" w:type="pct"/>
            <w:tcBorders>
              <w:top w:val="nil"/>
              <w:left w:val="nil"/>
              <w:bottom w:val="nil"/>
              <w:right w:val="nil"/>
            </w:tcBorders>
            <w:shd w:val="clear" w:color="auto" w:fill="auto"/>
            <w:vAlign w:val="center"/>
          </w:tcPr>
          <w:p>
            <w:pPr>
              <w:widowControl/>
              <w:spacing w:line="240" w:lineRule="auto"/>
              <w:ind w:firstLine="0" w:firstLineChars="0"/>
              <w:jc w:val="center"/>
              <w:rPr>
                <w:rFonts w:cs="Times New Roman"/>
                <w:color w:val="000000"/>
                <w:kern w:val="0"/>
                <w:sz w:val="18"/>
                <w:szCs w:val="18"/>
              </w:rPr>
            </w:pPr>
            <w:r>
              <w:rPr>
                <w:rFonts w:hint="eastAsia" w:ascii="宋体" w:hAnsi="宋体" w:cs="Times New Roman"/>
                <w:color w:val="000000"/>
                <w:kern w:val="0"/>
                <w:sz w:val="18"/>
                <w:szCs w:val="18"/>
              </w:rPr>
              <w:t>数字媒体艺术设计</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39</w:t>
            </w:r>
          </w:p>
        </w:tc>
        <w:tc>
          <w:tcPr>
            <w:tcW w:w="644"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c>
          <w:tcPr>
            <w:tcW w:w="550" w:type="pct"/>
            <w:tcBorders>
              <w:top w:val="nil"/>
              <w:left w:val="nil"/>
              <w:bottom w:val="nil"/>
              <w:right w:val="nil"/>
            </w:tcBorders>
            <w:shd w:val="clear" w:color="auto" w:fill="auto"/>
            <w:noWrap/>
            <w:vAlign w:val="center"/>
          </w:tcPr>
          <w:p>
            <w:pPr>
              <w:widowControl/>
              <w:spacing w:line="240" w:lineRule="auto"/>
              <w:ind w:firstLine="0" w:firstLineChars="0"/>
              <w:jc w:val="center"/>
              <w:rPr>
                <w:rFonts w:cs="Times New Roman"/>
                <w:color w:val="000000"/>
                <w:kern w:val="0"/>
                <w:sz w:val="18"/>
                <w:szCs w:val="18"/>
              </w:rPr>
            </w:pPr>
            <w:r>
              <w:rPr>
                <w:rFonts w:cs="Times New Roman"/>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艺术与设计学院</w:t>
            </w:r>
            <w:r>
              <w:rPr>
                <w:rFonts w:cs="Times New Roman"/>
                <w:b/>
                <w:bCs/>
                <w:color w:val="000000"/>
                <w:kern w:val="0"/>
                <w:sz w:val="18"/>
                <w:szCs w:val="18"/>
              </w:rPr>
              <w:t xml:space="preserve"> </w:t>
            </w:r>
            <w:r>
              <w:rPr>
                <w:rFonts w:hint="eastAsia" w:ascii="宋体" w:hAnsi="宋体" w:cs="Times New Roman"/>
                <w:b/>
                <w:bCs/>
                <w:color w:val="000000"/>
                <w:kern w:val="0"/>
                <w:sz w:val="18"/>
                <w:szCs w:val="18"/>
              </w:rPr>
              <w:t>汇总</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39</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w:t>
            </w:r>
          </w:p>
        </w:tc>
      </w:tr>
      <w:tr>
        <w:tblPrEx>
          <w:tblCellMar>
            <w:top w:w="0" w:type="dxa"/>
            <w:left w:w="108" w:type="dxa"/>
            <w:bottom w:w="0" w:type="dxa"/>
            <w:right w:w="108" w:type="dxa"/>
          </w:tblCellMar>
        </w:tblPrEx>
        <w:trPr>
          <w:trHeight w:val="312" w:hRule="atLeast"/>
        </w:trPr>
        <w:tc>
          <w:tcPr>
            <w:tcW w:w="766" w:type="pct"/>
            <w:vMerge w:val="continue"/>
            <w:tcBorders>
              <w:top w:val="nil"/>
              <w:left w:val="nil"/>
              <w:bottom w:val="nil"/>
              <w:right w:val="nil"/>
            </w:tcBorders>
            <w:vAlign w:val="center"/>
          </w:tcPr>
          <w:p>
            <w:pPr>
              <w:widowControl/>
              <w:spacing w:line="240" w:lineRule="auto"/>
              <w:ind w:firstLine="0" w:firstLineChars="0"/>
              <w:jc w:val="left"/>
              <w:rPr>
                <w:rFonts w:cs="Times New Roman"/>
                <w:color w:val="000000"/>
                <w:kern w:val="0"/>
                <w:sz w:val="18"/>
                <w:szCs w:val="18"/>
              </w:rPr>
            </w:pPr>
          </w:p>
        </w:tc>
        <w:tc>
          <w:tcPr>
            <w:tcW w:w="2396" w:type="pct"/>
            <w:gridSpan w:val="2"/>
            <w:tcBorders>
              <w:top w:val="nil"/>
              <w:left w:val="nil"/>
              <w:bottom w:val="nil"/>
              <w:right w:val="nil"/>
            </w:tcBorders>
            <w:shd w:val="clear" w:color="000000" w:fill="8DB4E2"/>
            <w:vAlign w:val="center"/>
          </w:tcPr>
          <w:p>
            <w:pPr>
              <w:widowControl/>
              <w:spacing w:line="240" w:lineRule="auto"/>
              <w:ind w:firstLine="0" w:firstLineChars="0"/>
              <w:jc w:val="center"/>
              <w:rPr>
                <w:rFonts w:cs="Times New Roman"/>
                <w:b/>
                <w:bCs/>
                <w:color w:val="000000"/>
                <w:kern w:val="0"/>
                <w:sz w:val="18"/>
                <w:szCs w:val="18"/>
              </w:rPr>
            </w:pPr>
            <w:r>
              <w:rPr>
                <w:rFonts w:hint="eastAsia" w:ascii="宋体" w:hAnsi="宋体" w:cs="Times New Roman"/>
                <w:b/>
                <w:bCs/>
                <w:color w:val="000000"/>
                <w:kern w:val="0"/>
                <w:sz w:val="18"/>
                <w:szCs w:val="18"/>
              </w:rPr>
              <w:t>专科毕业生</w:t>
            </w:r>
            <w:r>
              <w:rPr>
                <w:rFonts w:cs="Times New Roman"/>
                <w:b/>
                <w:bCs/>
                <w:color w:val="000000"/>
                <w:kern w:val="0"/>
                <w:sz w:val="18"/>
                <w:szCs w:val="18"/>
              </w:rPr>
              <w:t xml:space="preserve"> </w:t>
            </w:r>
            <w:r>
              <w:rPr>
                <w:rFonts w:hint="eastAsia" w:ascii="宋体" w:hAnsi="宋体" w:cs="Times New Roman"/>
                <w:b/>
                <w:bCs/>
                <w:color w:val="000000"/>
                <w:kern w:val="0"/>
                <w:sz w:val="18"/>
                <w:szCs w:val="18"/>
              </w:rPr>
              <w:t>小计</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233</w:t>
            </w:r>
          </w:p>
        </w:tc>
        <w:tc>
          <w:tcPr>
            <w:tcW w:w="644"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20</w:t>
            </w:r>
          </w:p>
        </w:tc>
        <w:tc>
          <w:tcPr>
            <w:tcW w:w="550" w:type="pct"/>
            <w:tcBorders>
              <w:top w:val="nil"/>
              <w:left w:val="nil"/>
              <w:bottom w:val="nil"/>
              <w:right w:val="nil"/>
            </w:tcBorders>
            <w:shd w:val="clear" w:color="000000" w:fill="8DB4E2"/>
            <w:noWrap/>
            <w:vAlign w:val="center"/>
          </w:tcPr>
          <w:p>
            <w:pPr>
              <w:widowControl/>
              <w:spacing w:line="240" w:lineRule="auto"/>
              <w:ind w:firstLine="0" w:firstLineChars="0"/>
              <w:jc w:val="center"/>
              <w:rPr>
                <w:rFonts w:cs="Times New Roman"/>
                <w:b/>
                <w:bCs/>
                <w:color w:val="000000"/>
                <w:kern w:val="0"/>
                <w:sz w:val="18"/>
                <w:szCs w:val="18"/>
              </w:rPr>
            </w:pPr>
            <w:r>
              <w:rPr>
                <w:rFonts w:cs="Times New Roman"/>
                <w:b/>
                <w:bCs/>
                <w:color w:val="000000"/>
                <w:kern w:val="0"/>
                <w:sz w:val="18"/>
                <w:szCs w:val="18"/>
              </w:rPr>
              <w:t>8.58%</w:t>
            </w:r>
          </w:p>
        </w:tc>
      </w:tr>
      <w:tr>
        <w:tblPrEx>
          <w:tblCellMar>
            <w:top w:w="0" w:type="dxa"/>
            <w:left w:w="108" w:type="dxa"/>
            <w:bottom w:w="0" w:type="dxa"/>
            <w:right w:w="108" w:type="dxa"/>
          </w:tblCellMar>
        </w:tblPrEx>
        <w:trPr>
          <w:trHeight w:val="312" w:hRule="atLeast"/>
        </w:trPr>
        <w:tc>
          <w:tcPr>
            <w:tcW w:w="3162" w:type="pct"/>
            <w:gridSpan w:val="3"/>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总计</w:t>
            </w:r>
          </w:p>
        </w:tc>
        <w:tc>
          <w:tcPr>
            <w:tcW w:w="64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1799</w:t>
            </w:r>
          </w:p>
        </w:tc>
        <w:tc>
          <w:tcPr>
            <w:tcW w:w="644"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37</w:t>
            </w:r>
          </w:p>
        </w:tc>
        <w:tc>
          <w:tcPr>
            <w:tcW w:w="550"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cs="Times New Roman"/>
                <w:b/>
                <w:bCs/>
                <w:color w:val="FFFFFF"/>
                <w:kern w:val="0"/>
                <w:sz w:val="18"/>
                <w:szCs w:val="18"/>
              </w:rPr>
              <w:t>2.06%</w:t>
            </w:r>
          </w:p>
        </w:tc>
      </w:tr>
    </w:tbl>
    <w:p>
      <w:pPr>
        <w:pStyle w:val="37"/>
        <w:ind w:firstLine="480"/>
        <w:rPr>
          <w:rFonts w:ascii="宋体" w:hAnsi="宋体" w:eastAsia="宋体"/>
          <w:color w:val="000000"/>
          <w:sz w:val="24"/>
          <w:szCs w:val="24"/>
        </w:rPr>
      </w:pPr>
    </w:p>
    <w:p>
      <w:pPr>
        <w:ind w:firstLine="482"/>
        <w:outlineLvl w:val="2"/>
        <w:rPr>
          <w:rFonts w:cs="Times New Roman"/>
          <w:b/>
          <w:bCs/>
          <w:color w:val="005099"/>
          <w:sz w:val="24"/>
        </w:rPr>
      </w:pPr>
      <w:bookmarkStart w:id="43" w:name="_Toc90288230"/>
      <w:r>
        <w:rPr>
          <w:rFonts w:hint="eastAsia" w:cs="Times New Roman"/>
          <w:b/>
          <w:bCs/>
          <w:color w:val="005099"/>
          <w:sz w:val="24"/>
        </w:rPr>
        <w:t>（二）继续深造评价与反馈</w:t>
      </w:r>
      <w:bookmarkEnd w:id="43"/>
    </w:p>
    <w:p>
      <w:pPr>
        <w:pStyle w:val="5"/>
      </w:pPr>
      <w:r>
        <w:rPr>
          <w:rFonts w:hint="eastAsia"/>
        </w:rPr>
        <w:t>1</w:t>
      </w:r>
      <w:r>
        <w:t>.</w:t>
      </w:r>
      <w:r>
        <w:rPr>
          <w:rFonts w:hint="eastAsia"/>
        </w:rPr>
        <w:t>继续深造满意度</w:t>
      </w:r>
    </w:p>
    <w:p>
      <w:pPr>
        <w:ind w:firstLine="420"/>
        <w:rPr>
          <w:rFonts w:cs="Times New Roman"/>
          <w:szCs w:val="21"/>
        </w:rPr>
      </w:pPr>
      <w:r>
        <w:rPr>
          <w:rFonts w:cs="Times New Roman"/>
          <w:szCs w:val="21"/>
        </w:rPr>
        <w:t>2021届继续深造毕业生对继续深造</w:t>
      </w:r>
      <w:r>
        <w:rPr>
          <w:rFonts w:hint="eastAsia" w:cs="Times New Roman"/>
          <w:szCs w:val="21"/>
        </w:rPr>
        <w:t>满意度</w:t>
      </w:r>
      <w:r>
        <w:rPr>
          <w:rFonts w:cs="Times New Roman"/>
          <w:szCs w:val="21"/>
        </w:rPr>
        <w:t>为100%，</w:t>
      </w:r>
      <w:r>
        <w:rPr>
          <w:rFonts w:hint="eastAsia" w:cs="Times New Roman"/>
          <w:szCs w:val="21"/>
        </w:rPr>
        <w:t>满意</w:t>
      </w:r>
      <w:r>
        <w:rPr>
          <w:rFonts w:cs="Times New Roman"/>
          <w:szCs w:val="21"/>
        </w:rPr>
        <w:t>程度比较高(含</w:t>
      </w:r>
      <w:r>
        <w:rPr>
          <w:rFonts w:hint="eastAsia" w:cs="Times New Roman"/>
          <w:szCs w:val="21"/>
        </w:rPr>
        <w:t>“</w:t>
      </w:r>
      <w:r>
        <w:rPr>
          <w:rFonts w:cs="Times New Roman"/>
          <w:szCs w:val="21"/>
        </w:rPr>
        <w:t>非常</w:t>
      </w:r>
      <w:r>
        <w:rPr>
          <w:rFonts w:hint="eastAsia" w:cs="Times New Roman"/>
          <w:szCs w:val="21"/>
        </w:rPr>
        <w:t>满意”</w:t>
      </w:r>
      <w:r>
        <w:rPr>
          <w:rFonts w:cs="Times New Roman"/>
          <w:szCs w:val="21"/>
        </w:rPr>
        <w:t>、</w:t>
      </w:r>
      <w:r>
        <w:rPr>
          <w:rFonts w:hint="eastAsia" w:cs="Times New Roman"/>
          <w:szCs w:val="21"/>
        </w:rPr>
        <w:t>“满意”</w:t>
      </w:r>
      <w:r>
        <w:rPr>
          <w:rFonts w:cs="Times New Roman"/>
          <w:szCs w:val="21"/>
        </w:rPr>
        <w:t>)的占87.50%，接近9成。可见，毕业生</w:t>
      </w:r>
      <w:r>
        <w:rPr>
          <w:rFonts w:hint="eastAsia" w:cs="Times New Roman"/>
          <w:szCs w:val="21"/>
        </w:rPr>
        <w:t>对于</w:t>
      </w:r>
      <w:r>
        <w:rPr>
          <w:rFonts w:cs="Times New Roman"/>
          <w:szCs w:val="21"/>
        </w:rPr>
        <w:t>继续深造</w:t>
      </w:r>
      <w:r>
        <w:rPr>
          <w:rFonts w:hint="eastAsia" w:cs="Times New Roman"/>
          <w:szCs w:val="21"/>
        </w:rPr>
        <w:t>的选择满意度非常高</w:t>
      </w:r>
      <w:r>
        <w:rPr>
          <w:rFonts w:cs="Times New Roman"/>
          <w:szCs w:val="21"/>
        </w:rPr>
        <w:t xml:space="preserve">。 </w:t>
      </w:r>
    </w:p>
    <w:p>
      <w:pPr>
        <w:spacing w:line="300" w:lineRule="auto"/>
        <w:ind w:firstLine="0" w:firstLineChars="0"/>
        <w:jc w:val="center"/>
        <w:rPr>
          <w:rFonts w:ascii="宋体" w:hAnsi="宋体"/>
          <w:color w:val="000000"/>
          <w:sz w:val="24"/>
        </w:rPr>
      </w:pPr>
      <w:r>
        <w:drawing>
          <wp:inline distT="0" distB="0" distL="0" distR="0">
            <wp:extent cx="5222875" cy="2132330"/>
            <wp:effectExtent l="0" t="0" r="0" b="127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图3-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图3-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继续深造满意度</w:t>
      </w:r>
    </w:p>
    <w:p>
      <w:pPr>
        <w:spacing w:line="300" w:lineRule="auto"/>
        <w:ind w:firstLine="0" w:firstLineChars="0"/>
        <w:rPr>
          <w:rFonts w:ascii="宋体" w:hAnsi="宋体"/>
          <w:color w:val="000000"/>
          <w:sz w:val="24"/>
        </w:rPr>
      </w:pPr>
    </w:p>
    <w:p>
      <w:pPr>
        <w:pStyle w:val="5"/>
      </w:pPr>
      <w:r>
        <w:rPr>
          <w:rFonts w:hint="eastAsia"/>
        </w:rPr>
        <w:t>2</w:t>
      </w:r>
      <w:r>
        <w:t>.</w:t>
      </w:r>
      <w:r>
        <w:rPr>
          <w:rFonts w:hint="eastAsia"/>
        </w:rPr>
        <w:t>继续深造与专业相关性</w:t>
      </w:r>
    </w:p>
    <w:p>
      <w:pPr>
        <w:ind w:firstLine="420"/>
        <w:rPr>
          <w:rFonts w:cs="Times New Roman"/>
          <w:szCs w:val="21"/>
        </w:rPr>
      </w:pPr>
      <w:r>
        <w:rPr>
          <w:rFonts w:cs="Times New Roman"/>
          <w:szCs w:val="21"/>
        </w:rPr>
        <w:t>2021届继续深造毕业生对继续深造与专业相关性为70.83%，相关程度比较高(含</w:t>
      </w:r>
      <w:r>
        <w:rPr>
          <w:rFonts w:hint="eastAsia" w:cs="Times New Roman"/>
          <w:szCs w:val="21"/>
        </w:rPr>
        <w:t>“</w:t>
      </w:r>
      <w:r>
        <w:rPr>
          <w:rFonts w:cs="Times New Roman"/>
          <w:szCs w:val="21"/>
        </w:rPr>
        <w:t>非常相关</w:t>
      </w:r>
      <w:r>
        <w:rPr>
          <w:rFonts w:hint="eastAsia" w:cs="Times New Roman"/>
          <w:szCs w:val="21"/>
        </w:rPr>
        <w:t>”</w:t>
      </w:r>
      <w:r>
        <w:rPr>
          <w:rFonts w:cs="Times New Roman"/>
          <w:szCs w:val="21"/>
        </w:rPr>
        <w:t>、</w:t>
      </w:r>
      <w:r>
        <w:rPr>
          <w:rFonts w:hint="eastAsia" w:cs="Times New Roman"/>
          <w:szCs w:val="21"/>
        </w:rPr>
        <w:t>“</w:t>
      </w:r>
      <w:r>
        <w:rPr>
          <w:rFonts w:cs="Times New Roman"/>
          <w:szCs w:val="21"/>
        </w:rPr>
        <w:t>相关</w:t>
      </w:r>
      <w:r>
        <w:rPr>
          <w:rFonts w:hint="eastAsia" w:cs="Times New Roman"/>
          <w:szCs w:val="21"/>
        </w:rPr>
        <w:t>”</w:t>
      </w:r>
      <w:r>
        <w:rPr>
          <w:rFonts w:cs="Times New Roman"/>
          <w:szCs w:val="21"/>
        </w:rPr>
        <w:t>)的占66.67%，</w:t>
      </w:r>
      <w:r>
        <w:rPr>
          <w:rFonts w:hint="eastAsia" w:cs="Times New Roman"/>
          <w:szCs w:val="21"/>
        </w:rPr>
        <w:t>超过六</w:t>
      </w:r>
      <w:r>
        <w:rPr>
          <w:rFonts w:cs="Times New Roman"/>
          <w:szCs w:val="21"/>
        </w:rPr>
        <w:t xml:space="preserve">成。可见，毕业生在继续深造时倾向于本专业相关的专业。 </w:t>
      </w:r>
    </w:p>
    <w:p>
      <w:pPr>
        <w:pStyle w:val="37"/>
        <w:ind w:firstLine="0" w:firstLineChars="0"/>
        <w:jc w:val="center"/>
        <w:rPr>
          <w:rFonts w:ascii="宋体" w:hAnsi="宋体" w:eastAsia="宋体"/>
          <w:color w:val="000000"/>
          <w:sz w:val="24"/>
          <w:szCs w:val="24"/>
        </w:rPr>
      </w:pPr>
      <w:r>
        <w:drawing>
          <wp:inline distT="0" distB="0" distL="0" distR="0">
            <wp:extent cx="5175250" cy="2132330"/>
            <wp:effectExtent l="0" t="0" r="6350" b="1270"/>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图3-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图3-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hint="eastAsia" w:eastAsia="黑体" w:cs="Times New Roman"/>
          <w:sz w:val="18"/>
          <w:szCs w:val="18"/>
        </w:rPr>
        <w:t>继续深造专业相关性</w:t>
      </w:r>
    </w:p>
    <w:p>
      <w:pPr>
        <w:spacing w:line="300" w:lineRule="auto"/>
        <w:ind w:firstLine="0" w:firstLineChars="0"/>
        <w:rPr>
          <w:rFonts w:ascii="宋体" w:hAnsi="宋体"/>
          <w:color w:val="000000"/>
          <w:sz w:val="24"/>
        </w:rPr>
      </w:pPr>
    </w:p>
    <w:p>
      <w:pPr>
        <w:pStyle w:val="5"/>
      </w:pPr>
      <w:r>
        <w:rPr>
          <w:rFonts w:hint="eastAsia"/>
        </w:rPr>
        <w:t>3</w:t>
      </w:r>
      <w:r>
        <w:t>.</w:t>
      </w:r>
      <w:r>
        <w:rPr>
          <w:rFonts w:hint="eastAsia"/>
        </w:rPr>
        <w:t>选择升学院校关注因素</w:t>
      </w:r>
    </w:p>
    <w:p>
      <w:pPr>
        <w:ind w:firstLine="420"/>
        <w:rPr>
          <w:rFonts w:cs="Times New Roman"/>
          <w:szCs w:val="21"/>
        </w:rPr>
      </w:pPr>
      <w:r>
        <w:rPr>
          <w:rFonts w:cs="Times New Roman"/>
          <w:szCs w:val="21"/>
        </w:rPr>
        <w:t>2021届毕业生对于选择考研院校关注因素占比较高的原因有：</w:t>
      </w:r>
      <w:r>
        <w:rPr>
          <w:rFonts w:hint="eastAsia" w:cs="Times New Roman"/>
          <w:szCs w:val="21"/>
        </w:rPr>
        <w:t>专业实力</w:t>
      </w:r>
      <w:r>
        <w:rPr>
          <w:rFonts w:cs="Times New Roman"/>
          <w:szCs w:val="21"/>
        </w:rPr>
        <w:t>（58.33%）</w:t>
      </w:r>
      <w:r>
        <w:rPr>
          <w:rFonts w:hint="eastAsia" w:cs="Times New Roman"/>
          <w:szCs w:val="21"/>
        </w:rPr>
        <w:t>学校实力（</w:t>
      </w:r>
      <w:r>
        <w:rPr>
          <w:rFonts w:cs="Times New Roman"/>
          <w:szCs w:val="21"/>
        </w:rPr>
        <w:t>54</w:t>
      </w:r>
      <w:r>
        <w:rPr>
          <w:rFonts w:hint="eastAsia" w:cs="Times New Roman"/>
          <w:szCs w:val="21"/>
        </w:rPr>
        <w:t>.</w:t>
      </w:r>
      <w:r>
        <w:rPr>
          <w:rFonts w:cs="Times New Roman"/>
          <w:szCs w:val="21"/>
        </w:rPr>
        <w:t>17%</w:t>
      </w:r>
      <w:r>
        <w:rPr>
          <w:rFonts w:hint="eastAsia" w:cs="Times New Roman"/>
          <w:szCs w:val="21"/>
        </w:rPr>
        <w:t>）</w:t>
      </w:r>
      <w:r>
        <w:rPr>
          <w:rFonts w:cs="Times New Roman"/>
          <w:szCs w:val="21"/>
        </w:rPr>
        <w:t>以及</w:t>
      </w:r>
      <w:r>
        <w:rPr>
          <w:rFonts w:hint="eastAsia" w:cs="Times New Roman"/>
          <w:szCs w:val="21"/>
        </w:rPr>
        <w:t>学校名气</w:t>
      </w:r>
      <w:r>
        <w:rPr>
          <w:rFonts w:cs="Times New Roman"/>
          <w:szCs w:val="21"/>
        </w:rPr>
        <w:t>（41.67%）</w:t>
      </w:r>
    </w:p>
    <w:p>
      <w:pPr>
        <w:spacing w:line="300" w:lineRule="auto"/>
        <w:ind w:firstLine="0" w:firstLineChars="0"/>
        <w:rPr>
          <w:rFonts w:cs="Times New Roman"/>
          <w:color w:val="000000"/>
          <w:sz w:val="24"/>
        </w:rPr>
      </w:pPr>
      <w:r>
        <w:drawing>
          <wp:inline distT="0" distB="0" distL="0" distR="0">
            <wp:extent cx="5039360" cy="2927350"/>
            <wp:effectExtent l="0" t="0" r="8890" b="6350"/>
            <wp:docPr id="91" name="图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图3-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图3-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继续深造关注因素</w:t>
      </w:r>
    </w:p>
    <w:p>
      <w:pPr>
        <w:spacing w:line="300" w:lineRule="auto"/>
        <w:ind w:firstLine="0" w:firstLineChars="0"/>
        <w:rPr>
          <w:rFonts w:ascii="宋体" w:hAnsi="宋体"/>
          <w:color w:val="000000"/>
          <w:sz w:val="24"/>
        </w:rPr>
      </w:pPr>
    </w:p>
    <w:p>
      <w:pPr>
        <w:ind w:firstLine="0" w:firstLineChars="0"/>
        <w:rPr>
          <w:rFonts w:ascii="宋体" w:hAnsi="宋体"/>
          <w:color w:val="000000"/>
          <w:sz w:val="24"/>
        </w:rPr>
      </w:pPr>
      <w:r>
        <w:rPr>
          <w:rFonts w:hint="eastAsia" w:ascii="宋体" w:hAnsi="宋体"/>
          <w:color w:val="000000"/>
          <w:sz w:val="24"/>
        </w:rPr>
        <w:t>二、毕业生自主创业情况</w:t>
      </w:r>
    </w:p>
    <w:p>
      <w:pPr>
        <w:pStyle w:val="5"/>
      </w:pPr>
      <w:r>
        <w:rPr>
          <w:rFonts w:hint="eastAsia"/>
        </w:rPr>
        <w:t>1</w:t>
      </w:r>
      <w:r>
        <w:t>.毕业生的自主创业比例</w:t>
      </w:r>
    </w:p>
    <w:p>
      <w:pPr>
        <w:ind w:firstLine="420"/>
        <w:rPr>
          <w:rFonts w:cs="Times New Roman"/>
          <w:szCs w:val="21"/>
        </w:rPr>
      </w:pPr>
      <w:r>
        <w:rPr>
          <w:rFonts w:cs="Times New Roman"/>
          <w:szCs w:val="21"/>
        </w:rPr>
        <w:t>本校2021届</w:t>
      </w:r>
      <w:r>
        <w:rPr>
          <w:rFonts w:hint="eastAsia" w:cs="Times New Roman"/>
          <w:szCs w:val="21"/>
        </w:rPr>
        <w:t>本科</w:t>
      </w:r>
      <w:r>
        <w:rPr>
          <w:rFonts w:cs="Times New Roman"/>
          <w:szCs w:val="21"/>
        </w:rPr>
        <w:t>毕业生的自主创业比例为0.77%</w:t>
      </w:r>
      <w:r>
        <w:rPr>
          <w:rFonts w:hint="eastAsia" w:cs="Times New Roman"/>
          <w:szCs w:val="21"/>
        </w:rPr>
        <w:t>，专科毕业生仅有一人选择自主创业</w:t>
      </w:r>
      <w:r>
        <w:rPr>
          <w:rFonts w:cs="Times New Roman"/>
          <w:szCs w:val="21"/>
        </w:rPr>
        <w:t>。</w:t>
      </w:r>
    </w:p>
    <w:p>
      <w:pPr>
        <w:keepNext/>
        <w:ind w:firstLine="420"/>
        <w:jc w:val="center"/>
      </w:pPr>
      <w:r>
        <w:drawing>
          <wp:inline distT="0" distB="0" distL="0" distR="0">
            <wp:extent cx="4572000" cy="274320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8"/>
        <w:rPr>
          <w:color w:val="000000"/>
        </w:rPr>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4</w:t>
      </w:r>
      <w:r>
        <w:fldChar w:fldCharType="end"/>
      </w:r>
      <w:r>
        <w:rPr>
          <w:rFonts w:hint="eastAsia"/>
        </w:rPr>
        <w:t>毕业生的自主创业比例（本科）</w:t>
      </w:r>
    </w:p>
    <w:p>
      <w:pPr>
        <w:ind w:firstLine="0" w:firstLineChars="0"/>
        <w:rPr>
          <w:color w:val="000000"/>
        </w:rPr>
      </w:pPr>
    </w:p>
    <w:p>
      <w:pPr>
        <w:pStyle w:val="5"/>
      </w:pPr>
      <w:r>
        <w:rPr>
          <w:rFonts w:hint="eastAsia"/>
        </w:rPr>
        <w:t>2</w:t>
      </w:r>
      <w:r>
        <w:t>.毕业生自主创业集中的行业类</w:t>
      </w:r>
    </w:p>
    <w:p>
      <w:pPr>
        <w:ind w:firstLine="420"/>
        <w:rPr>
          <w:rFonts w:cs="Times New Roman"/>
          <w:szCs w:val="21"/>
        </w:rPr>
      </w:pPr>
      <w:r>
        <w:rPr>
          <w:rFonts w:cs="Times New Roman"/>
          <w:szCs w:val="21"/>
        </w:rPr>
        <w:t>本校本科自主创业毕业生集中的主要行业类如下表所示。从表中可见，自主创业的毕业生主要集中</w:t>
      </w:r>
      <w:r>
        <w:rPr>
          <w:rFonts w:hint="eastAsia" w:cs="Times New Roman"/>
          <w:szCs w:val="21"/>
        </w:rPr>
        <w:t>在居民服务、修理和其他服务业（</w:t>
      </w:r>
      <w:r>
        <w:rPr>
          <w:rFonts w:cs="Times New Roman"/>
          <w:szCs w:val="21"/>
        </w:rPr>
        <w:t>23.08</w:t>
      </w:r>
      <w:r>
        <w:rPr>
          <w:rFonts w:hint="eastAsia" w:cs="Times New Roman"/>
          <w:szCs w:val="21"/>
        </w:rPr>
        <w:t>%）</w:t>
      </w:r>
      <w:r>
        <w:rPr>
          <w:rFonts w:cs="Times New Roman"/>
          <w:szCs w:val="21"/>
        </w:rPr>
        <w:t>。</w:t>
      </w:r>
    </w:p>
    <w:p>
      <w:pPr>
        <w:pStyle w:val="8"/>
        <w:keepNext/>
      </w:pPr>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3</w:t>
      </w:r>
      <w:r>
        <w:fldChar w:fldCharType="end"/>
      </w:r>
      <w:r>
        <w:rPr>
          <w:rFonts w:hint="eastAsia"/>
        </w:rPr>
        <w:t>毕业生创业的行业类（本科）</w:t>
      </w:r>
    </w:p>
    <w:tbl>
      <w:tblPr>
        <w:tblStyle w:val="23"/>
        <w:tblW w:w="5000" w:type="pct"/>
        <w:tblInd w:w="0" w:type="dxa"/>
        <w:tblLayout w:type="autofit"/>
        <w:tblCellMar>
          <w:top w:w="0" w:type="dxa"/>
          <w:left w:w="108" w:type="dxa"/>
          <w:bottom w:w="0" w:type="dxa"/>
          <w:right w:w="108" w:type="dxa"/>
        </w:tblCellMar>
      </w:tblPr>
      <w:tblGrid>
        <w:gridCol w:w="5030"/>
        <w:gridCol w:w="3492"/>
      </w:tblGrid>
      <w:tr>
        <w:trPr>
          <w:trHeight w:val="312" w:hRule="atLeast"/>
          <w:tblHeader/>
        </w:trPr>
        <w:tc>
          <w:tcPr>
            <w:tcW w:w="2951"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行业类名称</w:t>
            </w:r>
          </w:p>
        </w:tc>
        <w:tc>
          <w:tcPr>
            <w:tcW w:w="2049"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就业于该行业类的比例</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居民服务、修理和其他服务业</w:t>
            </w:r>
          </w:p>
        </w:tc>
        <w:tc>
          <w:tcPr>
            <w:tcW w:w="20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23.08%</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文化、体育和娱乐业</w:t>
            </w:r>
          </w:p>
        </w:tc>
        <w:tc>
          <w:tcPr>
            <w:tcW w:w="20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15.38%</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信息传输、软件和信息技术服务业</w:t>
            </w:r>
          </w:p>
        </w:tc>
        <w:tc>
          <w:tcPr>
            <w:tcW w:w="20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15.38%</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教育</w:t>
            </w:r>
          </w:p>
        </w:tc>
        <w:tc>
          <w:tcPr>
            <w:tcW w:w="20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15.38%</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批发和零售业</w:t>
            </w:r>
          </w:p>
        </w:tc>
        <w:tc>
          <w:tcPr>
            <w:tcW w:w="20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15.38%</w:t>
            </w:r>
          </w:p>
        </w:tc>
      </w:tr>
      <w:tr>
        <w:tblPrEx>
          <w:tblCellMar>
            <w:top w:w="0" w:type="dxa"/>
            <w:left w:w="108" w:type="dxa"/>
            <w:bottom w:w="0" w:type="dxa"/>
            <w:right w:w="108" w:type="dxa"/>
          </w:tblCellMar>
        </w:tblPrEx>
        <w:trPr>
          <w:trHeight w:val="312" w:hRule="atLeast"/>
        </w:trPr>
        <w:tc>
          <w:tcPr>
            <w:tcW w:w="2951"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20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7.69%</w:t>
            </w:r>
          </w:p>
        </w:tc>
      </w:tr>
      <w:tr>
        <w:tblPrEx>
          <w:tblCellMar>
            <w:top w:w="0" w:type="dxa"/>
            <w:left w:w="108" w:type="dxa"/>
            <w:bottom w:w="0" w:type="dxa"/>
            <w:right w:w="108" w:type="dxa"/>
          </w:tblCellMar>
        </w:tblPrEx>
        <w:trPr>
          <w:trHeight w:val="312" w:hRule="atLeast"/>
        </w:trPr>
        <w:tc>
          <w:tcPr>
            <w:tcW w:w="2951"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2049"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7.69%</w:t>
            </w:r>
          </w:p>
        </w:tc>
      </w:tr>
    </w:tbl>
    <w:p>
      <w:pPr>
        <w:spacing w:line="300" w:lineRule="auto"/>
        <w:ind w:firstLine="0" w:firstLineChars="0"/>
        <w:rPr>
          <w:rFonts w:ascii="宋体" w:hAnsi="宋体"/>
          <w:color w:val="000000"/>
          <w:sz w:val="24"/>
        </w:rPr>
      </w:pPr>
    </w:p>
    <w:p>
      <w:pPr>
        <w:ind w:firstLine="0" w:firstLineChars="0"/>
        <w:rPr>
          <w:rFonts w:ascii="宋体" w:hAnsi="宋体"/>
          <w:color w:val="000000"/>
          <w:sz w:val="24"/>
        </w:rPr>
      </w:pPr>
    </w:p>
    <w:p>
      <w:pPr>
        <w:spacing w:line="300" w:lineRule="auto"/>
        <w:ind w:firstLine="480"/>
        <w:rPr>
          <w:rFonts w:ascii="宋体" w:hAnsi="宋体"/>
          <w:color w:val="000000"/>
          <w:sz w:val="24"/>
        </w:rPr>
        <w:sectPr>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44" w:name="_Toc90288231"/>
      <w:r>
        <w:rPr>
          <w:rFonts w:hint="eastAsia" w:ascii="宋体" w:hAnsi="宋体"/>
          <w:b/>
          <w:bCs/>
          <w:color w:val="FFFFFF" w:themeColor="background1"/>
          <w:sz w:val="32"/>
          <w:szCs w:val="32"/>
          <w14:textFill>
            <w14:solidFill>
              <w14:schemeClr w14:val="bg1"/>
            </w14:solidFill>
          </w14:textFill>
        </w:rPr>
        <w:t>第四章 毕业生求职行为与未落实毕业去向情况</w:t>
      </w:r>
      <w:bookmarkEnd w:id="44"/>
    </w:p>
    <w:p>
      <w:pPr>
        <w:ind w:firstLine="602"/>
        <w:outlineLvl w:val="1"/>
        <w:rPr>
          <w:rFonts w:cs="Times New Roman"/>
          <w:b/>
          <w:bCs/>
          <w:color w:val="005099"/>
          <w:sz w:val="30"/>
          <w:szCs w:val="30"/>
        </w:rPr>
      </w:pPr>
      <w:bookmarkStart w:id="45" w:name="_Toc90288232"/>
      <w:r>
        <w:rPr>
          <w:rFonts w:hint="eastAsia" w:cs="Times New Roman"/>
          <w:b/>
          <w:bCs/>
          <w:color w:val="005099"/>
          <w:sz w:val="30"/>
          <w:szCs w:val="30"/>
        </w:rPr>
        <w:t>一、未落实毕业去向情况</w:t>
      </w:r>
      <w:bookmarkEnd w:id="45"/>
    </w:p>
    <w:p>
      <w:pPr>
        <w:ind w:firstLine="482"/>
        <w:outlineLvl w:val="2"/>
        <w:rPr>
          <w:rFonts w:cs="Times New Roman"/>
          <w:b/>
          <w:bCs/>
          <w:color w:val="005099"/>
          <w:sz w:val="24"/>
        </w:rPr>
      </w:pPr>
      <w:bookmarkStart w:id="46" w:name="_Toc90288233"/>
      <w:r>
        <w:rPr>
          <w:rFonts w:hint="eastAsia" w:cs="Times New Roman"/>
          <w:b/>
          <w:bCs/>
          <w:color w:val="005099"/>
          <w:sz w:val="24"/>
        </w:rPr>
        <w:t>（一）未落实毕业去向类型</w:t>
      </w:r>
      <w:bookmarkEnd w:id="46"/>
    </w:p>
    <w:p>
      <w:pPr>
        <w:ind w:firstLine="420"/>
        <w:rPr>
          <w:rFonts w:cs="Times New Roman"/>
          <w:szCs w:val="21"/>
        </w:rPr>
      </w:pPr>
      <w:r>
        <w:rPr>
          <w:rFonts w:cs="Times New Roman"/>
          <w:szCs w:val="21"/>
        </w:rPr>
        <w:t>2021届</w:t>
      </w:r>
      <w:r>
        <w:rPr>
          <w:rFonts w:hint="eastAsia" w:cs="Times New Roman"/>
          <w:szCs w:val="21"/>
        </w:rPr>
        <w:t>未落实毕业去向毕业生</w:t>
      </w:r>
      <w:r>
        <w:rPr>
          <w:rFonts w:cs="Times New Roman"/>
          <w:szCs w:val="21"/>
        </w:rPr>
        <w:t>人数343人，占毕业生人数的19.07%。整体来看，2021届暂</w:t>
      </w:r>
      <w:r>
        <w:rPr>
          <w:rFonts w:hint="eastAsia" w:cs="Times New Roman"/>
          <w:szCs w:val="21"/>
        </w:rPr>
        <w:t>未落实毕业去向</w:t>
      </w:r>
      <w:r>
        <w:rPr>
          <w:rFonts w:cs="Times New Roman"/>
          <w:szCs w:val="21"/>
        </w:rPr>
        <w:t>毕业生中75.51%在求职中，有5.25%的毕业生</w:t>
      </w:r>
      <w:r>
        <w:rPr>
          <w:rFonts w:hint="eastAsia" w:cs="Times New Roman"/>
          <w:szCs w:val="21"/>
        </w:rPr>
        <w:t>因自身原因暂不就业。</w:t>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表4-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表4-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未落实毕业去向类型</w:t>
      </w:r>
    </w:p>
    <w:p>
      <w:pPr>
        <w:spacing w:line="240" w:lineRule="auto"/>
        <w:ind w:firstLine="0" w:firstLineChars="0"/>
        <w:jc w:val="right"/>
        <w:rPr>
          <w:sz w:val="18"/>
          <w:szCs w:val="18"/>
        </w:rPr>
      </w:pPr>
      <w:r>
        <w:rPr>
          <w:rFonts w:hint="eastAsia"/>
          <w:sz w:val="18"/>
          <w:szCs w:val="18"/>
        </w:rPr>
        <w:t>单位：人数（人），比例（%）</w:t>
      </w:r>
    </w:p>
    <w:tbl>
      <w:tblPr>
        <w:tblStyle w:val="23"/>
        <w:tblW w:w="5000" w:type="pct"/>
        <w:tblInd w:w="0" w:type="dxa"/>
        <w:tblLayout w:type="autofit"/>
        <w:tblCellMar>
          <w:top w:w="0" w:type="dxa"/>
          <w:left w:w="108" w:type="dxa"/>
          <w:bottom w:w="0" w:type="dxa"/>
          <w:right w:w="108" w:type="dxa"/>
        </w:tblCellMar>
      </w:tblPr>
      <w:tblGrid>
        <w:gridCol w:w="2481"/>
        <w:gridCol w:w="1816"/>
        <w:gridCol w:w="712"/>
        <w:gridCol w:w="1047"/>
        <w:gridCol w:w="712"/>
        <w:gridCol w:w="1047"/>
        <w:gridCol w:w="712"/>
        <w:gridCol w:w="1043"/>
      </w:tblGrid>
      <w:tr>
        <w:tblPrEx>
          <w:tblCellMar>
            <w:top w:w="0" w:type="dxa"/>
            <w:left w:w="108" w:type="dxa"/>
            <w:bottom w:w="0" w:type="dxa"/>
            <w:right w:w="108" w:type="dxa"/>
          </w:tblCellMar>
        </w:tblPrEx>
        <w:trPr>
          <w:trHeight w:val="170" w:hRule="atLeast"/>
        </w:trPr>
        <w:tc>
          <w:tcPr>
            <w:tcW w:w="1296"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是否落实就业去向</w:t>
            </w:r>
          </w:p>
        </w:tc>
        <w:tc>
          <w:tcPr>
            <w:tcW w:w="949" w:type="pct"/>
            <w:vMerge w:val="restar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毕业去向</w:t>
            </w:r>
          </w:p>
        </w:tc>
        <w:tc>
          <w:tcPr>
            <w:tcW w:w="918"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本科毕业生</w:t>
            </w:r>
          </w:p>
        </w:tc>
        <w:tc>
          <w:tcPr>
            <w:tcW w:w="918"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专科毕业生</w:t>
            </w:r>
          </w:p>
        </w:tc>
        <w:tc>
          <w:tcPr>
            <w:tcW w:w="918"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总体</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949" w:type="pct"/>
            <w:vMerge w:val="continue"/>
            <w:tcBorders>
              <w:top w:val="nil"/>
              <w:left w:val="nil"/>
              <w:bottom w:val="nil"/>
              <w:right w:val="nil"/>
            </w:tcBorders>
            <w:vAlign w:val="center"/>
          </w:tcPr>
          <w:p>
            <w:pPr>
              <w:widowControl/>
              <w:spacing w:line="240" w:lineRule="auto"/>
              <w:ind w:firstLine="0" w:firstLineChars="0"/>
              <w:jc w:val="left"/>
              <w:rPr>
                <w:rFonts w:cs="Times New Roman"/>
                <w:b/>
                <w:bCs/>
                <w:color w:val="FFFFFF"/>
                <w:kern w:val="0"/>
                <w:sz w:val="18"/>
                <w:szCs w:val="18"/>
              </w:rPr>
            </w:pP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人数</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cs="Times New Roman"/>
                <w:b/>
                <w:bCs/>
                <w:color w:val="FFFFFF"/>
                <w:kern w:val="0"/>
                <w:sz w:val="18"/>
                <w:szCs w:val="18"/>
              </w:rPr>
            </w:pPr>
            <w:r>
              <w:rPr>
                <w:rFonts w:hint="eastAsia" w:ascii="宋体" w:hAnsi="宋体" w:cs="Times New Roman"/>
                <w:b/>
                <w:bCs/>
                <w:color w:val="FFFFFF"/>
                <w:kern w:val="0"/>
                <w:sz w:val="18"/>
                <w:szCs w:val="18"/>
              </w:rPr>
              <w:t>比例</w:t>
            </w:r>
          </w:p>
        </w:tc>
      </w:tr>
      <w:tr>
        <w:tblPrEx>
          <w:tblCellMar>
            <w:top w:w="0" w:type="dxa"/>
            <w:left w:w="108" w:type="dxa"/>
            <w:bottom w:w="0" w:type="dxa"/>
            <w:right w:w="108" w:type="dxa"/>
          </w:tblCellMar>
        </w:tblPrEx>
        <w:trPr>
          <w:trHeight w:val="170" w:hRule="atLeast"/>
        </w:trPr>
        <w:tc>
          <w:tcPr>
            <w:tcW w:w="1296" w:type="pct"/>
            <w:vMerge w:val="restar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未落实毕业去向343人</w:t>
            </w:r>
          </w:p>
        </w:tc>
        <w:tc>
          <w:tcPr>
            <w:tcW w:w="9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求职中</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75.92%</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72.73%</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259</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75.51%</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拟参加公招考试</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8.70%</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7.87%</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暂不就业</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5.35%</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4.55%</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5.25%</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签约中</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5.02%</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4.55%</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4.96%</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不就业拟升学</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4.35%</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4.55%</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4.37%</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拟应征入伍</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0.33%</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4.55%</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0.87%</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拟创业</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0.33%</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4.55%</w:t>
            </w:r>
          </w:p>
        </w:tc>
        <w:tc>
          <w:tcPr>
            <w:tcW w:w="372"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547" w:type="pct"/>
            <w:tcBorders>
              <w:top w:val="nil"/>
              <w:left w:val="nil"/>
              <w:bottom w:val="nil"/>
              <w:right w:val="nil"/>
            </w:tcBorders>
            <w:shd w:val="clear" w:color="000000" w:fill="C6D4EC"/>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0.87%</w:t>
            </w:r>
          </w:p>
        </w:tc>
      </w:tr>
      <w:tr>
        <w:tblPrEx>
          <w:tblCellMar>
            <w:top w:w="0" w:type="dxa"/>
            <w:left w:w="108" w:type="dxa"/>
            <w:bottom w:w="0" w:type="dxa"/>
            <w:right w:w="108" w:type="dxa"/>
          </w:tblCellMar>
        </w:tblPrEx>
        <w:trPr>
          <w:trHeight w:val="170" w:hRule="atLeast"/>
        </w:trPr>
        <w:tc>
          <w:tcPr>
            <w:tcW w:w="1296" w:type="pct"/>
            <w:vMerge w:val="continue"/>
            <w:tcBorders>
              <w:top w:val="nil"/>
              <w:left w:val="nil"/>
              <w:bottom w:val="nil"/>
              <w:right w:val="nil"/>
            </w:tcBorders>
            <w:vAlign w:val="center"/>
          </w:tcPr>
          <w:p>
            <w:pPr>
              <w:widowControl/>
              <w:spacing w:line="240" w:lineRule="auto"/>
              <w:ind w:firstLine="0" w:firstLineChars="0"/>
              <w:jc w:val="left"/>
              <w:rPr>
                <w:rFonts w:ascii="宋体" w:hAnsi="宋体" w:cs="宋体"/>
                <w:color w:val="000000"/>
                <w:kern w:val="0"/>
                <w:sz w:val="18"/>
                <w:szCs w:val="18"/>
              </w:rPr>
            </w:pPr>
          </w:p>
        </w:tc>
        <w:tc>
          <w:tcPr>
            <w:tcW w:w="949"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拟出国出境</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372"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7" w:type="pct"/>
            <w:tcBorders>
              <w:top w:val="nil"/>
              <w:left w:val="nil"/>
              <w:bottom w:val="nil"/>
              <w:right w:val="nil"/>
            </w:tcBorders>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0.29%</w:t>
            </w:r>
          </w:p>
        </w:tc>
      </w:tr>
      <w:tr>
        <w:tblPrEx>
          <w:tblCellMar>
            <w:top w:w="0" w:type="dxa"/>
            <w:left w:w="108" w:type="dxa"/>
            <w:bottom w:w="0" w:type="dxa"/>
            <w:right w:w="108" w:type="dxa"/>
          </w:tblCellMar>
        </w:tblPrEx>
        <w:trPr>
          <w:trHeight w:val="170" w:hRule="atLeast"/>
        </w:trPr>
        <w:tc>
          <w:tcPr>
            <w:tcW w:w="2245" w:type="pct"/>
            <w:gridSpan w:val="2"/>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总计</w:t>
            </w: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299</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44</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c>
          <w:tcPr>
            <w:tcW w:w="372"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343</w:t>
            </w:r>
          </w:p>
        </w:tc>
        <w:tc>
          <w:tcPr>
            <w:tcW w:w="547" w:type="pct"/>
            <w:tcBorders>
              <w:top w:val="nil"/>
              <w:left w:val="nil"/>
              <w:bottom w:val="nil"/>
              <w:right w:val="nil"/>
            </w:tcBorders>
            <w:shd w:val="clear" w:color="000000" w:fill="3960A7"/>
            <w:noWrap/>
            <w:vAlign w:val="center"/>
          </w:tcPr>
          <w:p>
            <w:pPr>
              <w:widowControl/>
              <w:spacing w:line="240" w:lineRule="auto"/>
              <w:ind w:firstLine="0" w:firstLineChars="0"/>
              <w:jc w:val="center"/>
              <w:rPr>
                <w:rFonts w:ascii="宋体" w:hAnsi="宋体" w:cs="宋体"/>
                <w:b/>
                <w:bCs/>
                <w:color w:val="FFFFFF"/>
                <w:kern w:val="0"/>
                <w:sz w:val="18"/>
                <w:szCs w:val="18"/>
              </w:rPr>
            </w:pPr>
            <w:r>
              <w:rPr>
                <w:rFonts w:hint="eastAsia" w:ascii="宋体" w:hAnsi="宋体" w:cs="宋体"/>
                <w:b/>
                <w:bCs/>
                <w:color w:val="FFFFFF"/>
                <w:kern w:val="0"/>
                <w:sz w:val="18"/>
                <w:szCs w:val="18"/>
              </w:rPr>
              <w:t>100.00%</w:t>
            </w:r>
          </w:p>
        </w:tc>
      </w:tr>
    </w:tbl>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47" w:name="_Toc90288234"/>
      <w:r>
        <w:rPr>
          <w:rFonts w:hint="eastAsia" w:cs="Times New Roman"/>
          <w:b/>
          <w:bCs/>
          <w:color w:val="005099"/>
          <w:sz w:val="24"/>
        </w:rPr>
        <w:t>（二）毕业生求职困难</w:t>
      </w:r>
      <w:bookmarkEnd w:id="47"/>
    </w:p>
    <w:p>
      <w:pPr>
        <w:ind w:firstLine="420"/>
        <w:rPr>
          <w:rFonts w:cs="Times New Roman"/>
          <w:szCs w:val="21"/>
        </w:rPr>
      </w:pPr>
      <w:r>
        <w:rPr>
          <w:rFonts w:hint="eastAsia" w:cs="Times New Roman"/>
          <w:szCs w:val="21"/>
        </w:rPr>
        <w:t>具体来看，2021届毕业生未落实毕业去向的主要原因主要为：适合自己专业和学历的岗位不多（</w:t>
      </w:r>
      <w:r>
        <w:rPr>
          <w:rFonts w:cs="Times New Roman"/>
          <w:szCs w:val="21"/>
        </w:rPr>
        <w:t>62.50</w:t>
      </w:r>
      <w:r>
        <w:rPr>
          <w:rFonts w:hint="eastAsia" w:cs="Times New Roman"/>
          <w:szCs w:val="21"/>
        </w:rPr>
        <w:t>%）、缺乏实践经验（</w:t>
      </w:r>
      <w:r>
        <w:rPr>
          <w:rFonts w:cs="Times New Roman"/>
          <w:szCs w:val="21"/>
        </w:rPr>
        <w:t>36.67</w:t>
      </w:r>
      <w:r>
        <w:rPr>
          <w:rFonts w:hint="eastAsia" w:cs="Times New Roman"/>
          <w:szCs w:val="21"/>
        </w:rPr>
        <w:t>%）、用人单位待遇和条件不符合预期（</w:t>
      </w:r>
      <w:r>
        <w:rPr>
          <w:rFonts w:cs="Times New Roman"/>
          <w:szCs w:val="21"/>
        </w:rPr>
        <w:t>28.33</w:t>
      </w:r>
      <w:r>
        <w:rPr>
          <w:rFonts w:hint="eastAsia" w:cs="Times New Roman"/>
          <w:szCs w:val="21"/>
        </w:rPr>
        <w:t>%）。</w:t>
      </w:r>
    </w:p>
    <w:p>
      <w:pPr>
        <w:spacing w:line="300" w:lineRule="auto"/>
        <w:ind w:firstLine="0" w:firstLineChars="0"/>
        <w:rPr>
          <w:rFonts w:ascii="宋体" w:hAnsi="宋体"/>
          <w:color w:val="000000"/>
          <w:sz w:val="24"/>
        </w:rPr>
      </w:pPr>
      <w:r>
        <w:drawing>
          <wp:inline distT="0" distB="0" distL="0" distR="0">
            <wp:extent cx="5981700" cy="234886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求职困难</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48" w:name="_Toc90288235"/>
      <w:r>
        <w:rPr>
          <w:rFonts w:hint="eastAsia" w:cs="Times New Roman"/>
          <w:b/>
          <w:bCs/>
          <w:color w:val="005099"/>
          <w:sz w:val="24"/>
        </w:rPr>
        <w:t>（三）毕业生求职期望</w:t>
      </w:r>
      <w:bookmarkEnd w:id="48"/>
    </w:p>
    <w:p>
      <w:pPr>
        <w:pStyle w:val="5"/>
      </w:pPr>
      <w:r>
        <w:rPr>
          <w:rFonts w:hint="eastAsia"/>
        </w:rPr>
        <w:t>1</w:t>
      </w:r>
      <w:r>
        <w:t>.</w:t>
      </w:r>
      <w:r>
        <w:rPr>
          <w:rFonts w:hint="eastAsia"/>
        </w:rPr>
        <w:t>求职期望地域</w:t>
      </w:r>
    </w:p>
    <w:p>
      <w:pPr>
        <w:ind w:firstLine="420"/>
        <w:rPr>
          <w:rFonts w:cs="Times New Roman"/>
          <w:szCs w:val="21"/>
        </w:rPr>
      </w:pPr>
      <w:r>
        <w:rPr>
          <w:rFonts w:cs="Times New Roman"/>
          <w:szCs w:val="21"/>
        </w:rPr>
        <w:t>2021届</w:t>
      </w:r>
      <w:r>
        <w:rPr>
          <w:rFonts w:hint="eastAsia" w:cs="Times New Roman"/>
          <w:szCs w:val="21"/>
        </w:rPr>
        <w:t>未落实毕业去向</w:t>
      </w:r>
      <w:r>
        <w:rPr>
          <w:rFonts w:cs="Times New Roman"/>
          <w:szCs w:val="21"/>
        </w:rPr>
        <w:t>毕业生对就业单位</w:t>
      </w:r>
      <w:r>
        <w:rPr>
          <w:rFonts w:hint="eastAsia" w:cs="Times New Roman"/>
          <w:szCs w:val="21"/>
        </w:rPr>
        <w:t>所在地</w:t>
      </w:r>
      <w:r>
        <w:rPr>
          <w:rFonts w:cs="Times New Roman"/>
          <w:szCs w:val="21"/>
        </w:rPr>
        <w:t>期望较高的为</w:t>
      </w:r>
      <w:r>
        <w:rPr>
          <w:rFonts w:hint="eastAsia" w:cs="Times New Roman"/>
          <w:szCs w:val="21"/>
        </w:rPr>
        <w:t>天津</w:t>
      </w:r>
      <w:r>
        <w:rPr>
          <w:rFonts w:cs="Times New Roman"/>
          <w:szCs w:val="21"/>
        </w:rPr>
        <w:t>（39.17%）、</w:t>
      </w:r>
      <w:r>
        <w:rPr>
          <w:rFonts w:hint="eastAsia" w:cs="Times New Roman"/>
          <w:szCs w:val="21"/>
        </w:rPr>
        <w:t>其他部分地域较为平均，甘肃</w:t>
      </w:r>
      <w:r>
        <w:rPr>
          <w:rFonts w:cs="Times New Roman"/>
          <w:szCs w:val="21"/>
        </w:rPr>
        <w:t>（8.33%）</w:t>
      </w:r>
      <w:r>
        <w:rPr>
          <w:rFonts w:hint="eastAsia" w:cs="Times New Roman"/>
          <w:szCs w:val="21"/>
        </w:rPr>
        <w:t>、贵州（</w:t>
      </w:r>
      <w:r>
        <w:rPr>
          <w:rFonts w:cs="Times New Roman"/>
          <w:szCs w:val="21"/>
        </w:rPr>
        <w:t>6.67</w:t>
      </w:r>
      <w:r>
        <w:rPr>
          <w:rFonts w:hint="eastAsia" w:cs="Times New Roman"/>
          <w:szCs w:val="21"/>
        </w:rPr>
        <w:t>%）、云南（5</w:t>
      </w:r>
      <w:r>
        <w:rPr>
          <w:rFonts w:cs="Times New Roman"/>
          <w:szCs w:val="21"/>
        </w:rPr>
        <w:t>.83</w:t>
      </w:r>
      <w:r>
        <w:rPr>
          <w:rFonts w:hint="eastAsia" w:cs="Times New Roman"/>
          <w:szCs w:val="21"/>
        </w:rPr>
        <w:t>%）、北京（5.</w:t>
      </w:r>
      <w:r>
        <w:rPr>
          <w:rFonts w:cs="Times New Roman"/>
          <w:szCs w:val="21"/>
        </w:rPr>
        <w:t>00</w:t>
      </w:r>
      <w:r>
        <w:rPr>
          <w:rFonts w:hint="eastAsia" w:cs="Times New Roman"/>
          <w:szCs w:val="21"/>
        </w:rPr>
        <w:t>%）。</w:t>
      </w:r>
    </w:p>
    <w:p>
      <w:pPr>
        <w:pStyle w:val="37"/>
        <w:ind w:firstLine="0" w:firstLineChars="0"/>
        <w:jc w:val="center"/>
        <w:rPr>
          <w:rFonts w:ascii="宋体" w:hAnsi="宋体" w:eastAsia="宋体"/>
          <w:color w:val="000000"/>
          <w:sz w:val="24"/>
        </w:rPr>
      </w:pPr>
      <w:r>
        <w:drawing>
          <wp:inline distT="0" distB="0" distL="0" distR="0">
            <wp:extent cx="5833110" cy="30861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求职期望地域</w:t>
      </w:r>
    </w:p>
    <w:p>
      <w:pPr>
        <w:pStyle w:val="5"/>
      </w:pPr>
      <w:r>
        <w:t>2.</w:t>
      </w:r>
      <w:r>
        <w:rPr>
          <w:rFonts w:hint="eastAsia"/>
        </w:rPr>
        <w:t>求职期望单位性质</w:t>
      </w:r>
    </w:p>
    <w:p>
      <w:pPr>
        <w:ind w:firstLine="420"/>
        <w:rPr>
          <w:rFonts w:cs="Times New Roman"/>
          <w:szCs w:val="21"/>
        </w:rPr>
      </w:pPr>
      <w:r>
        <w:rPr>
          <w:rFonts w:cs="Times New Roman"/>
          <w:szCs w:val="21"/>
        </w:rPr>
        <w:t>2021届</w:t>
      </w:r>
      <w:r>
        <w:rPr>
          <w:rFonts w:hint="eastAsia" w:cs="Times New Roman"/>
          <w:szCs w:val="21"/>
        </w:rPr>
        <w:t>未落实毕业去向</w:t>
      </w:r>
      <w:r>
        <w:rPr>
          <w:rFonts w:cs="Times New Roman"/>
          <w:szCs w:val="21"/>
        </w:rPr>
        <w:t>毕业生对就业单位性质期望较高</w:t>
      </w:r>
      <w:r>
        <w:rPr>
          <w:rFonts w:hint="eastAsia" w:cs="Times New Roman"/>
          <w:szCs w:val="21"/>
        </w:rPr>
        <w:t>排名前三位的</w:t>
      </w:r>
      <w:r>
        <w:rPr>
          <w:rFonts w:cs="Times New Roman"/>
          <w:szCs w:val="21"/>
        </w:rPr>
        <w:t>为</w:t>
      </w:r>
      <w:r>
        <w:rPr>
          <w:rFonts w:hint="eastAsia" w:cs="Times New Roman"/>
          <w:szCs w:val="21"/>
        </w:rPr>
        <w:t>，党政机关</w:t>
      </w:r>
      <w:r>
        <w:rPr>
          <w:rFonts w:cs="Times New Roman"/>
          <w:szCs w:val="21"/>
        </w:rPr>
        <w:t>（30.83%）</w:t>
      </w:r>
      <w:r>
        <w:rPr>
          <w:rFonts w:hint="eastAsia" w:cs="Times New Roman"/>
          <w:szCs w:val="21"/>
        </w:rPr>
        <w:t>、其他事业单位</w:t>
      </w:r>
      <w:r>
        <w:rPr>
          <w:rFonts w:cs="Times New Roman"/>
          <w:szCs w:val="21"/>
        </w:rPr>
        <w:t>（</w:t>
      </w:r>
      <w:r>
        <w:rPr>
          <w:rFonts w:hint="eastAsia" w:cs="Times New Roman"/>
          <w:szCs w:val="21"/>
        </w:rPr>
        <w:t>2</w:t>
      </w:r>
      <w:r>
        <w:rPr>
          <w:rFonts w:cs="Times New Roman"/>
          <w:szCs w:val="21"/>
        </w:rPr>
        <w:t>9.17%）和</w:t>
      </w:r>
      <w:r>
        <w:rPr>
          <w:rFonts w:hint="eastAsia" w:cs="Times New Roman"/>
          <w:szCs w:val="21"/>
        </w:rPr>
        <w:t>医疗卫生单位、国有企业</w:t>
      </w:r>
      <w:r>
        <w:rPr>
          <w:rFonts w:cs="Times New Roman"/>
          <w:szCs w:val="21"/>
        </w:rPr>
        <w:t>（28.33%）</w:t>
      </w:r>
    </w:p>
    <w:p>
      <w:pPr>
        <w:ind w:firstLine="0" w:firstLineChars="0"/>
        <w:jc w:val="center"/>
        <w:rPr>
          <w:lang w:val="zh-CN" w:bidi="zh-CN"/>
        </w:rPr>
      </w:pPr>
      <w:r>
        <w:drawing>
          <wp:inline distT="0" distB="0" distL="0" distR="0">
            <wp:extent cx="5895975" cy="2558415"/>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求职期望单位</w:t>
      </w:r>
    </w:p>
    <w:p>
      <w:pPr>
        <w:ind w:firstLine="482"/>
        <w:outlineLvl w:val="2"/>
        <w:rPr>
          <w:rFonts w:cs="Times New Roman"/>
          <w:b/>
          <w:bCs/>
          <w:color w:val="005099"/>
          <w:sz w:val="24"/>
        </w:rPr>
      </w:pPr>
      <w:bookmarkStart w:id="49" w:name="_Toc90288236"/>
      <w:r>
        <w:rPr>
          <w:rFonts w:hint="eastAsia" w:cs="Times New Roman"/>
          <w:b/>
          <w:bCs/>
          <w:color w:val="005099"/>
          <w:sz w:val="24"/>
        </w:rPr>
        <w:t>（四）毕业生就业能力提升需求</w:t>
      </w:r>
      <w:bookmarkEnd w:id="49"/>
    </w:p>
    <w:p>
      <w:pPr>
        <w:ind w:firstLine="420"/>
        <w:rPr>
          <w:rFonts w:cs="Times New Roman"/>
          <w:szCs w:val="21"/>
        </w:rPr>
      </w:pPr>
      <w:r>
        <w:rPr>
          <w:rFonts w:cs="Times New Roman"/>
          <w:szCs w:val="21"/>
        </w:rPr>
        <w:t>2021届</w:t>
      </w:r>
      <w:r>
        <w:rPr>
          <w:rFonts w:hint="eastAsia" w:cs="Times New Roman"/>
          <w:szCs w:val="21"/>
        </w:rPr>
        <w:t>未落实毕业去向</w:t>
      </w:r>
      <w:r>
        <w:rPr>
          <w:rFonts w:cs="Times New Roman"/>
          <w:szCs w:val="21"/>
        </w:rPr>
        <w:t>毕业生认为对自己能力提升</w:t>
      </w:r>
      <w:r>
        <w:rPr>
          <w:rFonts w:hint="eastAsia" w:cs="Times New Roman"/>
          <w:szCs w:val="21"/>
        </w:rPr>
        <w:t>需求</w:t>
      </w:r>
      <w:r>
        <w:rPr>
          <w:rFonts w:cs="Times New Roman"/>
          <w:szCs w:val="21"/>
        </w:rPr>
        <w:t>最有帮助的</w:t>
      </w:r>
      <w:r>
        <w:rPr>
          <w:rFonts w:hint="eastAsia" w:cs="Times New Roman"/>
          <w:szCs w:val="21"/>
        </w:rPr>
        <w:t>两</w:t>
      </w:r>
      <w:r>
        <w:rPr>
          <w:rFonts w:cs="Times New Roman"/>
          <w:szCs w:val="21"/>
        </w:rPr>
        <w:t>个方面是</w:t>
      </w:r>
      <w:r>
        <w:rPr>
          <w:rFonts w:hint="eastAsia" w:cs="Times New Roman"/>
          <w:szCs w:val="21"/>
        </w:rPr>
        <w:t>专业知识的提升</w:t>
      </w:r>
      <w:r>
        <w:rPr>
          <w:rFonts w:cs="Times New Roman"/>
          <w:szCs w:val="21"/>
        </w:rPr>
        <w:t>（57.50%）和</w:t>
      </w:r>
      <w:r>
        <w:rPr>
          <w:rFonts w:hint="eastAsia" w:cs="Times New Roman"/>
          <w:szCs w:val="21"/>
        </w:rPr>
        <w:t>更多实习实践经历</w:t>
      </w:r>
      <w:r>
        <w:rPr>
          <w:rFonts w:cs="Times New Roman"/>
          <w:szCs w:val="21"/>
        </w:rPr>
        <w:t>（</w:t>
      </w:r>
      <w:r>
        <w:rPr>
          <w:rFonts w:hint="eastAsia" w:cs="Times New Roman"/>
          <w:szCs w:val="21"/>
        </w:rPr>
        <w:t>5</w:t>
      </w:r>
      <w:r>
        <w:rPr>
          <w:rFonts w:cs="Times New Roman"/>
          <w:szCs w:val="21"/>
        </w:rPr>
        <w:t>2.50%）</w:t>
      </w:r>
    </w:p>
    <w:p>
      <w:pPr>
        <w:spacing w:line="300" w:lineRule="auto"/>
        <w:ind w:firstLine="0" w:firstLineChars="0"/>
        <w:jc w:val="center"/>
        <w:rPr>
          <w:rFonts w:cs="Times New Roman"/>
          <w:sz w:val="24"/>
        </w:rPr>
      </w:pPr>
      <w:r>
        <w:drawing>
          <wp:inline distT="0" distB="0" distL="0" distR="0">
            <wp:extent cx="5939790" cy="1642110"/>
            <wp:effectExtent l="0" t="0" r="381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4</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就业能力提升需求</w:t>
      </w:r>
    </w:p>
    <w:p>
      <w:pPr>
        <w:ind w:firstLine="602"/>
        <w:outlineLvl w:val="1"/>
        <w:rPr>
          <w:rFonts w:cs="Times New Roman"/>
          <w:b/>
          <w:bCs/>
          <w:color w:val="005099"/>
          <w:sz w:val="30"/>
          <w:szCs w:val="30"/>
        </w:rPr>
      </w:pPr>
      <w:bookmarkStart w:id="50" w:name="_Toc90288237"/>
      <w:r>
        <w:rPr>
          <w:rFonts w:hint="eastAsia" w:cs="Times New Roman"/>
          <w:b/>
          <w:bCs/>
          <w:color w:val="005099"/>
          <w:sz w:val="30"/>
          <w:szCs w:val="30"/>
        </w:rPr>
        <w:t>二、求职过程</w:t>
      </w:r>
      <w:bookmarkEnd w:id="50"/>
    </w:p>
    <w:p>
      <w:pPr>
        <w:ind w:firstLine="482"/>
        <w:outlineLvl w:val="2"/>
        <w:rPr>
          <w:rFonts w:cs="Times New Roman"/>
          <w:b/>
          <w:bCs/>
          <w:color w:val="005099"/>
          <w:sz w:val="24"/>
        </w:rPr>
      </w:pPr>
      <w:bookmarkStart w:id="51" w:name="_Toc90288238"/>
      <w:r>
        <w:rPr>
          <w:rFonts w:hint="eastAsia" w:cs="Times New Roman"/>
          <w:b/>
          <w:bCs/>
          <w:color w:val="005099"/>
          <w:sz w:val="24"/>
        </w:rPr>
        <w:t>（一）毕业生求职途径</w:t>
      </w:r>
      <w:bookmarkEnd w:id="51"/>
    </w:p>
    <w:p>
      <w:pPr>
        <w:ind w:firstLine="420"/>
        <w:rPr>
          <w:rFonts w:cs="Times New Roman"/>
          <w:szCs w:val="21"/>
        </w:rPr>
      </w:pPr>
      <w:r>
        <w:rPr>
          <w:rFonts w:cs="Times New Roman"/>
          <w:szCs w:val="21"/>
        </w:rPr>
        <w:t>毕业生在求职过程中信息获取渠道最多的是来自于</w:t>
      </w:r>
      <w:r>
        <w:rPr>
          <w:rFonts w:hint="eastAsia" w:cs="Times New Roman"/>
          <w:szCs w:val="21"/>
        </w:rPr>
        <w:t>社会渠道</w:t>
      </w:r>
      <w:r>
        <w:rPr>
          <w:rFonts w:cs="Times New Roman"/>
          <w:szCs w:val="21"/>
        </w:rPr>
        <w:t>（59.52</w:t>
      </w:r>
      <w:r>
        <w:rPr>
          <w:rFonts w:hint="eastAsia" w:cs="Times New Roman"/>
          <w:szCs w:val="21"/>
        </w:rPr>
        <w:t>%</w:t>
      </w:r>
      <w:r>
        <w:rPr>
          <w:rFonts w:cs="Times New Roman"/>
          <w:szCs w:val="21"/>
        </w:rPr>
        <w:t>）</w:t>
      </w:r>
      <w:r>
        <w:rPr>
          <w:rFonts w:hint="eastAsia" w:cs="Times New Roman"/>
          <w:szCs w:val="21"/>
        </w:rPr>
        <w:t>，</w:t>
      </w:r>
      <w:r>
        <w:rPr>
          <w:rFonts w:cs="Times New Roman"/>
          <w:szCs w:val="21"/>
        </w:rPr>
        <w:t>其次是</w:t>
      </w:r>
      <w:r>
        <w:rPr>
          <w:rFonts w:hint="eastAsia" w:cs="Times New Roman"/>
          <w:szCs w:val="21"/>
        </w:rPr>
        <w:t>用人单位自设渠道</w:t>
      </w:r>
      <w:r>
        <w:rPr>
          <w:rFonts w:cs="Times New Roman"/>
          <w:szCs w:val="21"/>
        </w:rPr>
        <w:t>（46.26</w:t>
      </w:r>
      <w:r>
        <w:rPr>
          <w:rFonts w:hint="eastAsia" w:cs="Times New Roman"/>
          <w:szCs w:val="21"/>
        </w:rPr>
        <w:t>%</w:t>
      </w:r>
      <w:r>
        <w:rPr>
          <w:rFonts w:cs="Times New Roman"/>
          <w:szCs w:val="21"/>
        </w:rPr>
        <w:t>）和</w:t>
      </w:r>
      <w:r>
        <w:rPr>
          <w:rFonts w:hint="eastAsia" w:cs="Times New Roman"/>
          <w:szCs w:val="21"/>
        </w:rPr>
        <w:t>新媒体</w:t>
      </w:r>
      <w:r>
        <w:rPr>
          <w:rFonts w:cs="Times New Roman"/>
          <w:szCs w:val="21"/>
        </w:rPr>
        <w:t>（34.35</w:t>
      </w:r>
      <w:r>
        <w:rPr>
          <w:rFonts w:hint="eastAsia" w:cs="Times New Roman"/>
          <w:szCs w:val="21"/>
        </w:rPr>
        <w:t>%</w:t>
      </w:r>
      <w:r>
        <w:rPr>
          <w:rFonts w:cs="Times New Roman"/>
          <w:szCs w:val="21"/>
        </w:rPr>
        <w:t>）。由此可见，由母校组织开发的</w:t>
      </w:r>
      <w:r>
        <w:rPr>
          <w:rFonts w:hint="eastAsia" w:cs="Times New Roman"/>
          <w:szCs w:val="21"/>
        </w:rPr>
        <w:t>校园渠道占比为2</w:t>
      </w:r>
      <w:r>
        <w:rPr>
          <w:rFonts w:cs="Times New Roman"/>
          <w:szCs w:val="21"/>
        </w:rPr>
        <w:t>5.85</w:t>
      </w:r>
      <w:r>
        <w:rPr>
          <w:rFonts w:hint="eastAsia" w:cs="Times New Roman"/>
          <w:szCs w:val="21"/>
        </w:rPr>
        <w:t>%，这方面工作还待提升。</w:t>
      </w:r>
    </w:p>
    <w:p>
      <w:pPr>
        <w:spacing w:line="300" w:lineRule="auto"/>
        <w:ind w:firstLine="0" w:firstLineChars="0"/>
        <w:jc w:val="center"/>
        <w:rPr>
          <w:rFonts w:ascii="宋体" w:hAnsi="宋体"/>
          <w:color w:val="000000"/>
          <w:sz w:val="24"/>
        </w:rPr>
      </w:pPr>
      <w:r>
        <w:drawing>
          <wp:inline distT="0" distB="0" distL="0" distR="0">
            <wp:extent cx="5718810" cy="1227455"/>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5</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求职途径</w:t>
      </w:r>
    </w:p>
    <w:p>
      <w:pPr>
        <w:ind w:firstLine="198" w:firstLineChars="82"/>
        <w:outlineLvl w:val="2"/>
        <w:rPr>
          <w:rFonts w:cs="Times New Roman"/>
          <w:b/>
          <w:bCs/>
          <w:color w:val="005099"/>
          <w:sz w:val="24"/>
        </w:rPr>
      </w:pPr>
      <w:bookmarkStart w:id="52" w:name="_Toc90288239"/>
      <w:r>
        <w:rPr>
          <w:rFonts w:hint="eastAsia" w:cs="Times New Roman"/>
          <w:b/>
          <w:bCs/>
          <w:color w:val="005099"/>
          <w:sz w:val="24"/>
        </w:rPr>
        <w:t>（二）毕业生简历投递、面试机会与OFFER数</w:t>
      </w:r>
      <w:bookmarkEnd w:id="52"/>
    </w:p>
    <w:p>
      <w:pPr>
        <w:ind w:firstLine="420"/>
        <w:rPr>
          <w:rFonts w:cs="Times New Roman"/>
          <w:szCs w:val="21"/>
        </w:rPr>
      </w:pPr>
      <w:r>
        <w:rPr>
          <w:rFonts w:hint="eastAsia" w:cs="Times New Roman"/>
          <w:szCs w:val="21"/>
        </w:rPr>
        <w:t>毕业生在求职过程中投递简历平均数为1</w:t>
      </w:r>
      <w:r>
        <w:rPr>
          <w:rFonts w:cs="Times New Roman"/>
          <w:szCs w:val="21"/>
        </w:rPr>
        <w:t>4.62</w:t>
      </w:r>
      <w:r>
        <w:rPr>
          <w:rFonts w:hint="eastAsia" w:cs="Times New Roman"/>
          <w:szCs w:val="21"/>
        </w:rPr>
        <w:t>次，毕业生在求职过程中的收到面试机会平均数为4</w:t>
      </w:r>
      <w:r>
        <w:rPr>
          <w:rFonts w:cs="Times New Roman"/>
          <w:szCs w:val="21"/>
        </w:rPr>
        <w:t>.36</w:t>
      </w:r>
      <w:r>
        <w:rPr>
          <w:rFonts w:hint="eastAsia" w:cs="Times New Roman"/>
          <w:szCs w:val="21"/>
        </w:rPr>
        <w:t>次，毕业生在求职过程中收到offer的平均数为2</w:t>
      </w:r>
      <w:r>
        <w:rPr>
          <w:rFonts w:cs="Times New Roman"/>
          <w:szCs w:val="21"/>
        </w:rPr>
        <w:t>.99</w:t>
      </w:r>
      <w:r>
        <w:rPr>
          <w:rFonts w:hint="eastAsia" w:cs="Times New Roman"/>
          <w:szCs w:val="21"/>
        </w:rPr>
        <w:t>次。</w:t>
      </w:r>
    </w:p>
    <w:p>
      <w:pPr>
        <w:spacing w:line="300" w:lineRule="auto"/>
        <w:ind w:firstLine="0" w:firstLineChars="0"/>
        <w:jc w:val="center"/>
        <w:rPr>
          <w:rFonts w:ascii="宋体" w:hAnsi="宋体"/>
          <w:color w:val="000000"/>
          <w:sz w:val="24"/>
        </w:rPr>
      </w:pPr>
      <w:r>
        <w:drawing>
          <wp:inline distT="0" distB="0" distL="0" distR="0">
            <wp:extent cx="5500370" cy="2040255"/>
            <wp:effectExtent l="0" t="0" r="508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6</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简历投递情况</w:t>
      </w:r>
    </w:p>
    <w:p>
      <w:pPr>
        <w:spacing w:line="300" w:lineRule="auto"/>
        <w:ind w:firstLine="720" w:firstLineChars="300"/>
        <w:rPr>
          <w:rFonts w:ascii="宋体" w:hAnsi="宋体"/>
          <w:color w:val="000000"/>
          <w:sz w:val="24"/>
        </w:rPr>
      </w:pPr>
    </w:p>
    <w:p>
      <w:pPr>
        <w:ind w:firstLine="482"/>
        <w:outlineLvl w:val="2"/>
        <w:rPr>
          <w:rFonts w:cs="Times New Roman"/>
          <w:b/>
          <w:bCs/>
          <w:color w:val="005099"/>
          <w:sz w:val="24"/>
        </w:rPr>
      </w:pPr>
      <w:bookmarkStart w:id="53" w:name="_Toc90288240"/>
      <w:r>
        <w:rPr>
          <w:rFonts w:hint="eastAsia" w:cs="Times New Roman"/>
          <w:b/>
          <w:bCs/>
          <w:color w:val="005099"/>
          <w:sz w:val="24"/>
        </w:rPr>
        <w:t>（三）毕业生求职成本</w:t>
      </w:r>
      <w:bookmarkEnd w:id="53"/>
    </w:p>
    <w:p>
      <w:pPr>
        <w:pStyle w:val="5"/>
      </w:pPr>
      <w:r>
        <w:rPr>
          <w:rFonts w:hint="eastAsia"/>
        </w:rPr>
        <w:t>1</w:t>
      </w:r>
      <w:r>
        <w:t>.</w:t>
      </w:r>
      <w:r>
        <w:rPr>
          <w:rFonts w:hint="eastAsia"/>
        </w:rPr>
        <w:t>求职时间成本</w:t>
      </w:r>
    </w:p>
    <w:p>
      <w:pPr>
        <w:ind w:firstLine="420"/>
        <w:rPr>
          <w:rFonts w:cs="Times New Roman"/>
          <w:szCs w:val="21"/>
        </w:rPr>
      </w:pPr>
      <w:r>
        <w:rPr>
          <w:rFonts w:hint="eastAsia" w:cs="Times New Roman"/>
          <w:szCs w:val="21"/>
        </w:rPr>
        <w:t>毕业生的求职时间成本平均时间在2.0</w:t>
      </w:r>
      <w:r>
        <w:rPr>
          <w:rFonts w:cs="Times New Roman"/>
          <w:szCs w:val="21"/>
        </w:rPr>
        <w:t>4</w:t>
      </w:r>
      <w:r>
        <w:rPr>
          <w:rFonts w:hint="eastAsia" w:cs="Times New Roman"/>
          <w:szCs w:val="21"/>
        </w:rPr>
        <w:t>个月，而毕业生求职时的金钱成本平均在5</w:t>
      </w:r>
      <w:r>
        <w:rPr>
          <w:rFonts w:cs="Times New Roman"/>
          <w:szCs w:val="21"/>
        </w:rPr>
        <w:t>29.42</w:t>
      </w:r>
      <w:r>
        <w:rPr>
          <w:rFonts w:hint="eastAsia" w:cs="Times New Roman"/>
          <w:szCs w:val="21"/>
        </w:rPr>
        <w:t>元</w:t>
      </w:r>
    </w:p>
    <w:p>
      <w:pPr>
        <w:spacing w:line="240" w:lineRule="auto"/>
        <w:ind w:firstLine="0" w:firstLineChars="0"/>
        <w:jc w:val="center"/>
        <w:rPr>
          <w:rFonts w:cs="Times New Roman"/>
          <w:szCs w:val="21"/>
        </w:rPr>
      </w:pPr>
      <w:r>
        <w:drawing>
          <wp:inline distT="0" distB="0" distL="0" distR="0">
            <wp:extent cx="4409440" cy="2785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409768" cy="2785533"/>
                    </a:xfrm>
                    <a:prstGeom prst="rect">
                      <a:avLst/>
                    </a:prstGeom>
                    <a:noFill/>
                    <a:ln>
                      <a:noFill/>
                    </a:ln>
                  </pic:spPr>
                </pic:pic>
              </a:graphicData>
            </a:graphic>
          </wp:inline>
        </w:drawing>
      </w:r>
    </w:p>
    <w:p>
      <w:pPr>
        <w:spacing w:line="300" w:lineRule="auto"/>
        <w:ind w:firstLine="0" w:firstLineChars="0"/>
        <w:jc w:val="center"/>
        <w:rPr>
          <w:rFonts w:ascii="宋体" w:hAnsi="宋体"/>
          <w:color w:val="000000"/>
          <w:sz w:val="24"/>
        </w:rPr>
      </w:pPr>
    </w:p>
    <w:p>
      <w:pPr>
        <w:ind w:firstLine="482"/>
        <w:outlineLvl w:val="2"/>
        <w:rPr>
          <w:rFonts w:cs="Times New Roman"/>
          <w:b/>
          <w:bCs/>
          <w:color w:val="005099"/>
          <w:sz w:val="24"/>
        </w:rPr>
      </w:pPr>
      <w:bookmarkStart w:id="54" w:name="_Toc90288241"/>
      <w:r>
        <w:rPr>
          <w:rFonts w:hint="eastAsia" w:cs="Times New Roman"/>
          <w:b/>
          <w:bCs/>
          <w:color w:val="005099"/>
          <w:sz w:val="24"/>
        </w:rPr>
        <w:t>（五）毕业生求职影响因素</w:t>
      </w:r>
      <w:bookmarkEnd w:id="54"/>
    </w:p>
    <w:p>
      <w:pPr>
        <w:ind w:firstLine="420"/>
        <w:rPr>
          <w:rFonts w:cs="Times New Roman"/>
          <w:szCs w:val="21"/>
        </w:rPr>
      </w:pPr>
      <w:r>
        <w:rPr>
          <w:rFonts w:cs="Times New Roman"/>
          <w:szCs w:val="21"/>
        </w:rPr>
        <w:t>2021届毕业生对影响求职成功的关键因素评分最高的</w:t>
      </w:r>
      <w:r>
        <w:rPr>
          <w:rFonts w:hint="eastAsia" w:cs="Times New Roman"/>
          <w:szCs w:val="21"/>
        </w:rPr>
        <w:t>专业相关能力强（4</w:t>
      </w:r>
      <w:r>
        <w:rPr>
          <w:rFonts w:cs="Times New Roman"/>
          <w:szCs w:val="21"/>
        </w:rPr>
        <w:t>.03</w:t>
      </w:r>
      <w:r>
        <w:rPr>
          <w:rFonts w:hint="eastAsia" w:cs="Times New Roman"/>
          <w:szCs w:val="21"/>
        </w:rPr>
        <w:t>），其次是实践/实习经验丰富与学历层次高</w:t>
      </w:r>
      <w:r>
        <w:rPr>
          <w:rFonts w:cs="Times New Roman"/>
          <w:szCs w:val="21"/>
        </w:rPr>
        <w:t>（3.93分），</w:t>
      </w:r>
      <w:r>
        <w:rPr>
          <w:rFonts w:hint="eastAsia" w:cs="Times New Roman"/>
          <w:szCs w:val="21"/>
        </w:rPr>
        <w:t>排在第三位的是掌握求职技巧（3</w:t>
      </w:r>
      <w:r>
        <w:rPr>
          <w:rFonts w:cs="Times New Roman"/>
          <w:szCs w:val="21"/>
        </w:rPr>
        <w:t>.88分</w:t>
      </w:r>
      <w:r>
        <w:rPr>
          <w:rFonts w:hint="eastAsia" w:cs="Times New Roman"/>
          <w:szCs w:val="21"/>
        </w:rPr>
        <w:t>）。</w:t>
      </w:r>
    </w:p>
    <w:p>
      <w:pPr>
        <w:spacing w:line="300" w:lineRule="auto"/>
        <w:ind w:firstLine="0" w:firstLineChars="0"/>
        <w:rPr>
          <w:rFonts w:ascii="宋体" w:hAnsi="宋体"/>
          <w:color w:val="000000"/>
          <w:sz w:val="24"/>
        </w:rPr>
      </w:pPr>
      <w:r>
        <w:drawing>
          <wp:inline distT="0" distB="0" distL="0" distR="0">
            <wp:extent cx="5648960" cy="3125470"/>
            <wp:effectExtent l="0" t="0" r="889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图4-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图4-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求职影响因素</w:t>
      </w:r>
    </w:p>
    <w:p>
      <w:pPr>
        <w:spacing w:line="300" w:lineRule="auto"/>
        <w:ind w:firstLine="0" w:firstLineChars="0"/>
        <w:rPr>
          <w:rFonts w:ascii="宋体" w:hAnsi="宋体"/>
          <w:color w:val="000000"/>
          <w:sz w:val="24"/>
          <w:u w:val="single"/>
        </w:rPr>
        <w:sectPr>
          <w:pgSz w:w="11906" w:h="16838"/>
          <w:pgMar w:top="1440" w:right="1134" w:bottom="1440" w:left="1418"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55" w:name="_Toc90288242"/>
      <w:r>
        <w:rPr>
          <w:rFonts w:hint="eastAsia" w:ascii="宋体" w:hAnsi="宋体"/>
          <w:b/>
          <w:bCs/>
          <w:color w:val="FFFFFF" w:themeColor="background1"/>
          <w:sz w:val="32"/>
          <w:szCs w:val="32"/>
          <w14:textFill>
            <w14:solidFill>
              <w14:schemeClr w14:val="bg1"/>
            </w14:solidFill>
          </w14:textFill>
        </w:rPr>
        <w:t>第五章 母校评价</w:t>
      </w:r>
      <w:bookmarkEnd w:id="55"/>
    </w:p>
    <w:p>
      <w:pPr>
        <w:ind w:firstLine="602"/>
        <w:outlineLvl w:val="1"/>
        <w:rPr>
          <w:rFonts w:cs="Times New Roman"/>
          <w:b/>
          <w:bCs/>
          <w:color w:val="005099"/>
          <w:sz w:val="30"/>
          <w:szCs w:val="30"/>
        </w:rPr>
      </w:pPr>
      <w:bookmarkStart w:id="56" w:name="_Toc90288243"/>
      <w:r>
        <w:rPr>
          <w:rFonts w:hint="eastAsia" w:cs="Times New Roman"/>
          <w:b/>
          <w:bCs/>
          <w:color w:val="005099"/>
          <w:sz w:val="30"/>
          <w:szCs w:val="30"/>
        </w:rPr>
        <w:t>一、母校满意度</w:t>
      </w:r>
      <w:bookmarkEnd w:id="56"/>
    </w:p>
    <w:p>
      <w:pPr>
        <w:ind w:firstLine="482"/>
        <w:outlineLvl w:val="2"/>
        <w:rPr>
          <w:rFonts w:cs="Times New Roman"/>
          <w:b/>
          <w:bCs/>
          <w:color w:val="005099"/>
          <w:sz w:val="24"/>
        </w:rPr>
      </w:pPr>
      <w:bookmarkStart w:id="57" w:name="_Toc90288244"/>
      <w:r>
        <w:rPr>
          <w:rFonts w:hint="eastAsia" w:cs="Times New Roman"/>
          <w:b/>
          <w:bCs/>
          <w:color w:val="005099"/>
          <w:sz w:val="24"/>
        </w:rPr>
        <w:t>（一）母校总体满意度</w:t>
      </w:r>
      <w:bookmarkEnd w:id="57"/>
    </w:p>
    <w:p>
      <w:pPr>
        <w:ind w:firstLine="420"/>
        <w:rPr>
          <w:rFonts w:cs="Times New Roman"/>
          <w:szCs w:val="21"/>
        </w:rPr>
      </w:pPr>
      <w:r>
        <w:rPr>
          <w:rFonts w:cs="Times New Roman"/>
          <w:szCs w:val="21"/>
        </w:rPr>
        <w:t>2021届毕业生对母校的整体满意度为95.69%，</w:t>
      </w:r>
      <w:r>
        <w:rPr>
          <w:rFonts w:hint="eastAsia" w:cs="Times New Roman"/>
          <w:szCs w:val="21"/>
        </w:rPr>
        <w:t>其中非常满意度为1</w:t>
      </w:r>
      <w:r>
        <w:rPr>
          <w:rFonts w:cs="Times New Roman"/>
          <w:szCs w:val="21"/>
        </w:rPr>
        <w:t>7.60</w:t>
      </w:r>
      <w:r>
        <w:rPr>
          <w:rFonts w:hint="eastAsia" w:cs="Times New Roman"/>
          <w:szCs w:val="21"/>
        </w:rPr>
        <w:t>%，满意度为</w:t>
      </w:r>
      <w:r>
        <w:rPr>
          <w:rFonts w:cs="Times New Roman"/>
          <w:szCs w:val="21"/>
        </w:rPr>
        <w:t>52.06</w:t>
      </w:r>
      <w:r>
        <w:rPr>
          <w:rFonts w:hint="eastAsia" w:cs="Times New Roman"/>
          <w:szCs w:val="21"/>
        </w:rPr>
        <w:t>%，</w:t>
      </w:r>
      <w:r>
        <w:rPr>
          <w:rFonts w:cs="Times New Roman"/>
          <w:szCs w:val="21"/>
        </w:rPr>
        <w:t>毕业生母校的整体满意度较高。</w:t>
      </w:r>
    </w:p>
    <w:p>
      <w:pPr>
        <w:spacing w:line="300" w:lineRule="auto"/>
        <w:ind w:firstLine="0" w:firstLineChars="0"/>
        <w:jc w:val="center"/>
        <w:rPr>
          <w:rFonts w:ascii="宋体" w:hAnsi="宋体"/>
          <w:color w:val="000000"/>
          <w:sz w:val="24"/>
        </w:rPr>
      </w:pPr>
      <w:r>
        <w:drawing>
          <wp:inline distT="0" distB="0" distL="0" distR="0">
            <wp:extent cx="5231130" cy="2126615"/>
            <wp:effectExtent l="0" t="0" r="7620" b="698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图5-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图5-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母校总体满意度</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58" w:name="_Toc90288245"/>
      <w:r>
        <w:rPr>
          <w:rFonts w:hint="eastAsia" w:cs="Times New Roman"/>
          <w:b/>
          <w:bCs/>
          <w:color w:val="005099"/>
          <w:sz w:val="24"/>
        </w:rPr>
        <w:t>（二）母校推荐度</w:t>
      </w:r>
      <w:bookmarkEnd w:id="58"/>
    </w:p>
    <w:p>
      <w:pPr>
        <w:ind w:firstLine="420"/>
        <w:rPr>
          <w:rFonts w:cs="Times New Roman"/>
          <w:szCs w:val="21"/>
        </w:rPr>
      </w:pPr>
      <w:r>
        <w:rPr>
          <w:rFonts w:cs="Times New Roman"/>
          <w:szCs w:val="21"/>
        </w:rPr>
        <w:t>2021届毕业生对母校的整体</w:t>
      </w:r>
      <w:r>
        <w:rPr>
          <w:rFonts w:hint="eastAsia" w:cs="Times New Roman"/>
          <w:szCs w:val="21"/>
        </w:rPr>
        <w:t>推荐度</w:t>
      </w:r>
      <w:r>
        <w:rPr>
          <w:rFonts w:cs="Times New Roman"/>
          <w:szCs w:val="21"/>
        </w:rPr>
        <w:t>为93.63%，</w:t>
      </w:r>
      <w:r>
        <w:rPr>
          <w:rFonts w:hint="eastAsia" w:cs="Times New Roman"/>
          <w:szCs w:val="21"/>
        </w:rPr>
        <w:t>大部分应届毕业生愿意为母校做推荐，一定程度上反映了毕业生对母校的认可。</w:t>
      </w:r>
    </w:p>
    <w:p>
      <w:pPr>
        <w:spacing w:line="300" w:lineRule="auto"/>
        <w:ind w:firstLine="0" w:firstLineChars="0"/>
        <w:jc w:val="center"/>
        <w:rPr>
          <w:rFonts w:ascii="宋体" w:hAnsi="宋体"/>
          <w:color w:val="000000"/>
          <w:sz w:val="24"/>
        </w:rPr>
      </w:pPr>
      <w:r>
        <w:drawing>
          <wp:inline distT="0" distB="0" distL="0" distR="0">
            <wp:extent cx="5197475" cy="2317115"/>
            <wp:effectExtent l="0" t="0" r="3175" b="6985"/>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图5-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图5-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母校推荐度</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59" w:name="_Toc87026723"/>
      <w:bookmarkStart w:id="60" w:name="_Toc90288246"/>
      <w:r>
        <w:rPr>
          <w:rFonts w:hint="eastAsia" w:cs="Times New Roman"/>
          <w:b/>
          <w:bCs/>
          <w:color w:val="005099"/>
          <w:sz w:val="24"/>
        </w:rPr>
        <w:t>（三）对母校分项评价</w:t>
      </w:r>
      <w:bookmarkEnd w:id="59"/>
      <w:bookmarkEnd w:id="60"/>
    </w:p>
    <w:p>
      <w:pPr>
        <w:ind w:firstLine="420"/>
        <w:rPr>
          <w:rFonts w:cs="Times New Roman"/>
          <w:szCs w:val="21"/>
        </w:rPr>
      </w:pPr>
      <w:r>
        <w:rPr>
          <w:rFonts w:cs="Times New Roman"/>
          <w:szCs w:val="21"/>
        </w:rPr>
        <w:t>2021届毕业生对母校各项工作及服务均给予较高评价</w:t>
      </w:r>
      <w:r>
        <w:rPr>
          <w:rFonts w:hint="eastAsia" w:cs="Times New Roman"/>
          <w:szCs w:val="21"/>
        </w:rPr>
        <w:t>，其中评价最高的为教育教学为（3.</w:t>
      </w:r>
      <w:r>
        <w:rPr>
          <w:rFonts w:cs="Times New Roman"/>
          <w:szCs w:val="21"/>
        </w:rPr>
        <w:t>87</w:t>
      </w:r>
      <w:r>
        <w:rPr>
          <w:rFonts w:hint="eastAsia" w:cs="Times New Roman"/>
          <w:szCs w:val="21"/>
        </w:rPr>
        <w:t>分，总分为5分）。</w:t>
      </w:r>
    </w:p>
    <w:p>
      <w:pPr>
        <w:pStyle w:val="37"/>
        <w:ind w:firstLine="0" w:firstLineChars="0"/>
        <w:jc w:val="center"/>
        <w:rPr>
          <w:rFonts w:ascii="宋体" w:hAnsi="宋体" w:eastAsia="宋体"/>
          <w:color w:val="000000"/>
          <w:sz w:val="24"/>
        </w:rPr>
      </w:pPr>
      <w:r>
        <w:drawing>
          <wp:inline distT="0" distB="0" distL="0" distR="0">
            <wp:extent cx="5126990" cy="2190115"/>
            <wp:effectExtent l="0" t="0" r="0" b="635"/>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图5-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图5-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毕业生对母校分项评价</w:t>
      </w:r>
    </w:p>
    <w:p>
      <w:pPr>
        <w:ind w:firstLine="602"/>
        <w:outlineLvl w:val="1"/>
        <w:rPr>
          <w:rFonts w:cs="Times New Roman"/>
          <w:b/>
          <w:bCs/>
          <w:color w:val="005099"/>
          <w:sz w:val="30"/>
          <w:szCs w:val="30"/>
        </w:rPr>
      </w:pPr>
      <w:bookmarkStart w:id="61" w:name="_Toc90288247"/>
      <w:r>
        <w:rPr>
          <w:rFonts w:hint="eastAsia" w:cs="Times New Roman"/>
          <w:b/>
          <w:bCs/>
          <w:color w:val="005099"/>
          <w:sz w:val="30"/>
          <w:szCs w:val="30"/>
        </w:rPr>
        <w:t>二、教育教学评价</w:t>
      </w:r>
      <w:bookmarkEnd w:id="61"/>
    </w:p>
    <w:p>
      <w:pPr>
        <w:ind w:firstLine="482"/>
        <w:outlineLvl w:val="2"/>
        <w:rPr>
          <w:rFonts w:cs="Times New Roman"/>
          <w:b/>
          <w:bCs/>
          <w:color w:val="005099"/>
          <w:sz w:val="24"/>
        </w:rPr>
      </w:pPr>
      <w:bookmarkStart w:id="62" w:name="_Toc90288248"/>
      <w:r>
        <w:rPr>
          <w:rFonts w:hint="eastAsia" w:cs="Times New Roman"/>
          <w:b/>
          <w:bCs/>
          <w:color w:val="005099"/>
          <w:sz w:val="24"/>
        </w:rPr>
        <w:t>（一）教育教学重要性、满意度</w:t>
      </w:r>
      <w:bookmarkEnd w:id="62"/>
    </w:p>
    <w:p>
      <w:pPr>
        <w:ind w:firstLine="420"/>
        <w:rPr>
          <w:rFonts w:cs="Times New Roman"/>
          <w:szCs w:val="21"/>
        </w:rPr>
      </w:pPr>
      <w:r>
        <w:rPr>
          <w:rFonts w:cs="Times New Roman"/>
          <w:szCs w:val="21"/>
        </w:rPr>
        <w:t>在教育教学方面，毕业生认为各项教育教学工作均有较高的重要性，评分均在</w:t>
      </w:r>
      <w:r>
        <w:rPr>
          <w:rFonts w:hint="eastAsia" w:cs="Times New Roman"/>
          <w:szCs w:val="21"/>
        </w:rPr>
        <w:t>3</w:t>
      </w:r>
      <w:r>
        <w:rPr>
          <w:rFonts w:cs="Times New Roman"/>
          <w:szCs w:val="21"/>
        </w:rPr>
        <w:t>.9分以上，</w:t>
      </w:r>
      <w:r>
        <w:rPr>
          <w:rFonts w:hint="eastAsia" w:cs="Times New Roman"/>
          <w:szCs w:val="21"/>
        </w:rPr>
        <w:t>其中最高的为教育教学最高（4</w:t>
      </w:r>
      <w:r>
        <w:rPr>
          <w:rFonts w:cs="Times New Roman"/>
          <w:szCs w:val="21"/>
        </w:rPr>
        <w:t>.04</w:t>
      </w:r>
      <w:r>
        <w:rPr>
          <w:rFonts w:hint="eastAsia" w:cs="Times New Roman"/>
          <w:szCs w:val="21"/>
        </w:rPr>
        <w:t>分）专业知识能力、其次为专业知识能力和师生互动（3</w:t>
      </w:r>
      <w:r>
        <w:rPr>
          <w:rFonts w:cs="Times New Roman"/>
          <w:szCs w:val="21"/>
        </w:rPr>
        <w:t>.98</w:t>
      </w:r>
      <w:r>
        <w:rPr>
          <w:rFonts w:hint="eastAsia" w:cs="Times New Roman"/>
          <w:szCs w:val="21"/>
        </w:rPr>
        <w:t>分）。</w:t>
      </w:r>
      <w:r>
        <w:rPr>
          <w:rFonts w:cs="Times New Roman"/>
          <w:szCs w:val="21"/>
        </w:rPr>
        <w:t>毕业</w:t>
      </w:r>
      <w:r>
        <w:rPr>
          <w:rFonts w:hint="eastAsia" w:cs="Times New Roman"/>
          <w:szCs w:val="21"/>
        </w:rPr>
        <w:t>对</w:t>
      </w:r>
      <w:r>
        <w:rPr>
          <w:rFonts w:cs="Times New Roman"/>
          <w:szCs w:val="21"/>
        </w:rPr>
        <w:t>各项教育教学工作均有较高的</w:t>
      </w:r>
      <w:r>
        <w:rPr>
          <w:rFonts w:hint="eastAsia" w:cs="Times New Roman"/>
          <w:szCs w:val="21"/>
        </w:rPr>
        <w:t>满意度。</w:t>
      </w:r>
    </w:p>
    <w:p>
      <w:pPr>
        <w:spacing w:line="300" w:lineRule="auto"/>
        <w:ind w:firstLine="0" w:firstLineChars="0"/>
        <w:jc w:val="center"/>
        <w:rPr>
          <w:rFonts w:ascii="宋体" w:hAnsi="宋体"/>
          <w:color w:val="000000"/>
          <w:sz w:val="24"/>
        </w:rPr>
      </w:pPr>
      <w:r>
        <w:drawing>
          <wp:inline distT="0" distB="0" distL="0" distR="0">
            <wp:extent cx="5514340" cy="3253105"/>
            <wp:effectExtent l="0" t="0" r="0" b="4445"/>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图5- 4 毕业生对教育教学的评价</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63" w:name="_Toc90288249"/>
      <w:r>
        <w:rPr>
          <w:rFonts w:hint="eastAsia" w:cs="Times New Roman"/>
          <w:b/>
          <w:bCs/>
          <w:color w:val="005099"/>
          <w:sz w:val="24"/>
        </w:rPr>
        <w:t>（二）实践教学重要性、满意度</w:t>
      </w:r>
      <w:bookmarkEnd w:id="63"/>
    </w:p>
    <w:p>
      <w:pPr>
        <w:ind w:firstLine="420"/>
        <w:rPr>
          <w:rFonts w:cs="Times New Roman"/>
          <w:szCs w:val="21"/>
        </w:rPr>
      </w:pPr>
      <w:r>
        <w:rPr>
          <w:rFonts w:cs="Times New Roman"/>
          <w:szCs w:val="21"/>
        </w:rPr>
        <w:t>在实践教学方面，毕业生认为各项实践教学工作均有较高的重要性，评分均在3.6分以上，在实践教学满意度方面</w:t>
      </w:r>
      <w:r>
        <w:rPr>
          <w:rFonts w:hint="eastAsia" w:cs="Times New Roman"/>
          <w:szCs w:val="21"/>
        </w:rPr>
        <w:t>、毕业论文毕业设计、实验社会调查活动</w:t>
      </w:r>
      <w:r>
        <w:rPr>
          <w:rFonts w:cs="Times New Roman"/>
          <w:szCs w:val="21"/>
        </w:rPr>
        <w:t>的满意度评分高于重要性评分，</w:t>
      </w:r>
      <w:r>
        <w:rPr>
          <w:rFonts w:hint="eastAsia" w:cs="Times New Roman"/>
          <w:szCs w:val="21"/>
        </w:rPr>
        <w:t>从而反映出毕业生对实践教学工作有较高的满意度。</w:t>
      </w:r>
    </w:p>
    <w:p>
      <w:pPr>
        <w:spacing w:line="300" w:lineRule="auto"/>
        <w:ind w:firstLine="0" w:firstLineChars="0"/>
        <w:jc w:val="center"/>
        <w:rPr>
          <w:rFonts w:ascii="宋体" w:hAnsi="宋体"/>
          <w:color w:val="000000"/>
          <w:sz w:val="24"/>
        </w:rPr>
      </w:pPr>
      <w:r>
        <w:drawing>
          <wp:inline distT="0" distB="0" distL="0" distR="0">
            <wp:extent cx="5500370" cy="3118485"/>
            <wp:effectExtent l="0" t="0" r="5080" b="5715"/>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图5- 5 毕业生对实践教学的评价</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64" w:name="_Toc90288250"/>
      <w:r>
        <w:rPr>
          <w:rFonts w:hint="eastAsia" w:cs="Times New Roman"/>
          <w:b/>
          <w:bCs/>
          <w:color w:val="005099"/>
          <w:sz w:val="24"/>
        </w:rPr>
        <w:t>（三）教师素质重要性、满意度</w:t>
      </w:r>
      <w:bookmarkEnd w:id="64"/>
    </w:p>
    <w:p>
      <w:pPr>
        <w:ind w:firstLine="420"/>
        <w:rPr>
          <w:rFonts w:cs="Times New Roman"/>
          <w:szCs w:val="21"/>
        </w:rPr>
      </w:pPr>
      <w:r>
        <w:rPr>
          <w:rFonts w:cs="Times New Roman"/>
          <w:szCs w:val="21"/>
        </w:rPr>
        <w:t>在对母校教师的评价方面，毕业生认为各项</w:t>
      </w:r>
      <w:r>
        <w:rPr>
          <w:rFonts w:hint="eastAsia" w:cs="Times New Roman"/>
          <w:szCs w:val="21"/>
        </w:rPr>
        <w:t>教师素质</w:t>
      </w:r>
      <w:r>
        <w:rPr>
          <w:rFonts w:cs="Times New Roman"/>
          <w:szCs w:val="21"/>
        </w:rPr>
        <w:t>均有较高的重要性，评分均在3.9分以上，对母校教师满意度方面，评分也均在3.9分以上。</w:t>
      </w:r>
      <w:r>
        <w:rPr>
          <w:rFonts w:hint="eastAsia" w:cs="Times New Roman"/>
          <w:szCs w:val="21"/>
        </w:rPr>
        <w:t>其中母校教师的教学态度重要性满意度评分最高，重要性为4</w:t>
      </w:r>
      <w:r>
        <w:rPr>
          <w:rFonts w:cs="Times New Roman"/>
          <w:szCs w:val="21"/>
        </w:rPr>
        <w:t>.04</w:t>
      </w:r>
      <w:r>
        <w:rPr>
          <w:rFonts w:hint="eastAsia" w:cs="Times New Roman"/>
          <w:szCs w:val="21"/>
        </w:rPr>
        <w:t>分，满意度为4</w:t>
      </w:r>
      <w:r>
        <w:rPr>
          <w:rFonts w:cs="Times New Roman"/>
          <w:szCs w:val="21"/>
        </w:rPr>
        <w:t>.03</w:t>
      </w:r>
      <w:r>
        <w:rPr>
          <w:rFonts w:hint="eastAsia" w:cs="Times New Roman"/>
          <w:szCs w:val="21"/>
        </w:rPr>
        <w:t>分。</w:t>
      </w:r>
    </w:p>
    <w:p>
      <w:pPr>
        <w:spacing w:line="300" w:lineRule="auto"/>
        <w:ind w:firstLine="0" w:firstLineChars="0"/>
        <w:jc w:val="center"/>
        <w:rPr>
          <w:rFonts w:ascii="宋体" w:hAnsi="宋体"/>
          <w:color w:val="000000"/>
          <w:sz w:val="24"/>
        </w:rPr>
      </w:pPr>
      <w:r>
        <w:drawing>
          <wp:inline distT="0" distB="0" distL="0" distR="0">
            <wp:extent cx="5274310" cy="2764155"/>
            <wp:effectExtent l="0" t="0" r="254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图5- 6 毕业生对教师素质的评价</w:t>
      </w:r>
    </w:p>
    <w:p>
      <w:pPr>
        <w:ind w:firstLine="482"/>
        <w:outlineLvl w:val="2"/>
        <w:rPr>
          <w:rFonts w:cs="Times New Roman"/>
          <w:b/>
          <w:bCs/>
          <w:color w:val="005099"/>
          <w:sz w:val="24"/>
        </w:rPr>
      </w:pPr>
      <w:bookmarkStart w:id="65" w:name="_Toc90288251"/>
      <w:r>
        <w:rPr>
          <w:rFonts w:hint="eastAsia" w:cs="Times New Roman"/>
          <w:b/>
          <w:bCs/>
          <w:color w:val="005099"/>
          <w:sz w:val="24"/>
        </w:rPr>
        <w:t>（四）毕业生自身素质增长评价</w:t>
      </w:r>
      <w:bookmarkEnd w:id="65"/>
    </w:p>
    <w:p>
      <w:pPr>
        <w:ind w:firstLine="420"/>
        <w:rPr>
          <w:rFonts w:cs="Times New Roman"/>
          <w:szCs w:val="21"/>
        </w:rPr>
      </w:pPr>
      <w:r>
        <w:rPr>
          <w:rFonts w:cs="Times New Roman"/>
          <w:szCs w:val="21"/>
        </w:rPr>
        <w:t>毕业生认为</w:t>
      </w:r>
      <w:r>
        <w:rPr>
          <w:rFonts w:hint="eastAsia" w:cs="Times New Roman"/>
          <w:szCs w:val="21"/>
        </w:rPr>
        <w:t>母校培养对于自身各方面能力增长都较多，各项能力增长评分均在3</w:t>
      </w:r>
      <w:r>
        <w:rPr>
          <w:rFonts w:cs="Times New Roman"/>
          <w:szCs w:val="21"/>
        </w:rPr>
        <w:t>.6</w:t>
      </w:r>
      <w:r>
        <w:rPr>
          <w:rFonts w:hint="eastAsia" w:cs="Times New Roman"/>
          <w:szCs w:val="21"/>
        </w:rPr>
        <w:t>分以上，其中，毕业生认为抗压能力增长较多（评分3</w:t>
      </w:r>
      <w:r>
        <w:rPr>
          <w:rFonts w:cs="Times New Roman"/>
          <w:szCs w:val="21"/>
        </w:rPr>
        <w:t>.96</w:t>
      </w:r>
      <w:r>
        <w:rPr>
          <w:rFonts w:hint="eastAsia" w:cs="Times New Roman"/>
          <w:szCs w:val="21"/>
        </w:rPr>
        <w:t>分），其次增长较多的是情绪管理能力（3</w:t>
      </w:r>
      <w:r>
        <w:rPr>
          <w:rFonts w:cs="Times New Roman"/>
          <w:szCs w:val="21"/>
        </w:rPr>
        <w:t>.93</w:t>
      </w:r>
      <w:r>
        <w:rPr>
          <w:rFonts w:hint="eastAsia" w:cs="Times New Roman"/>
          <w:szCs w:val="21"/>
        </w:rPr>
        <w:t>分）、人际交往能力（3</w:t>
      </w:r>
      <w:r>
        <w:rPr>
          <w:rFonts w:cs="Times New Roman"/>
          <w:szCs w:val="21"/>
        </w:rPr>
        <w:t>.90</w:t>
      </w:r>
      <w:r>
        <w:rPr>
          <w:rFonts w:hint="eastAsia" w:cs="Times New Roman"/>
          <w:szCs w:val="21"/>
        </w:rPr>
        <w:t>）。</w:t>
      </w:r>
    </w:p>
    <w:p>
      <w:pPr>
        <w:ind w:firstLine="0" w:firstLineChars="0"/>
        <w:jc w:val="center"/>
        <w:rPr>
          <w:rFonts w:cs="Times New Roman"/>
          <w:b/>
          <w:bCs/>
          <w:color w:val="226B80"/>
          <w:sz w:val="24"/>
        </w:rPr>
      </w:pPr>
      <w:r>
        <w:drawing>
          <wp:inline distT="0" distB="0" distL="0" distR="0">
            <wp:extent cx="5210175" cy="3030855"/>
            <wp:effectExtent l="0" t="0" r="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图5- 7 毕业生对核心知识的评价</w:t>
      </w:r>
    </w:p>
    <w:p>
      <w:pPr>
        <w:ind w:firstLine="602"/>
        <w:outlineLvl w:val="1"/>
        <w:rPr>
          <w:rFonts w:cs="Times New Roman"/>
          <w:b/>
          <w:bCs/>
          <w:color w:val="005099"/>
          <w:sz w:val="30"/>
          <w:szCs w:val="30"/>
        </w:rPr>
      </w:pPr>
      <w:bookmarkStart w:id="66" w:name="_Toc90288252"/>
      <w:r>
        <w:rPr>
          <w:rFonts w:hint="eastAsia" w:cs="Times New Roman"/>
          <w:b/>
          <w:bCs/>
          <w:color w:val="005099"/>
          <w:sz w:val="30"/>
          <w:szCs w:val="30"/>
        </w:rPr>
        <w:t>三、就业服务评价</w:t>
      </w:r>
      <w:bookmarkEnd w:id="66"/>
    </w:p>
    <w:p>
      <w:pPr>
        <w:ind w:firstLine="482"/>
        <w:outlineLvl w:val="2"/>
        <w:rPr>
          <w:rFonts w:cs="Times New Roman"/>
          <w:b/>
          <w:bCs/>
          <w:color w:val="005099"/>
          <w:sz w:val="24"/>
        </w:rPr>
      </w:pPr>
      <w:bookmarkStart w:id="67" w:name="_Toc90288253"/>
      <w:r>
        <w:rPr>
          <w:rFonts w:hint="eastAsia" w:cs="Times New Roman"/>
          <w:b/>
          <w:bCs/>
          <w:color w:val="005099"/>
          <w:sz w:val="24"/>
        </w:rPr>
        <w:t>（一）就业服务总体满意度</w:t>
      </w:r>
      <w:bookmarkEnd w:id="67"/>
    </w:p>
    <w:p>
      <w:pPr>
        <w:ind w:firstLine="480"/>
        <w:rPr>
          <w:rFonts w:cs="Times New Roman"/>
          <w:sz w:val="24"/>
        </w:rPr>
      </w:pPr>
      <w:r>
        <w:rPr>
          <w:rFonts w:cs="Times New Roman"/>
          <w:sz w:val="24"/>
        </w:rPr>
        <w:t>毕业生对就业创业服务工作的整体满意度为95.41%，其中非常满意的占</w:t>
      </w:r>
      <w:r>
        <w:rPr>
          <w:rFonts w:hint="eastAsia" w:cs="Times New Roman"/>
          <w:sz w:val="24"/>
        </w:rPr>
        <w:t>比为</w:t>
      </w:r>
      <w:r>
        <w:rPr>
          <w:rFonts w:cs="Times New Roman"/>
          <w:sz w:val="24"/>
        </w:rPr>
        <w:t>22.46%。</w:t>
      </w:r>
    </w:p>
    <w:p>
      <w:pPr>
        <w:ind w:firstLine="0" w:firstLineChars="0"/>
        <w:jc w:val="center"/>
      </w:pPr>
      <w:r>
        <w:drawing>
          <wp:inline distT="0" distB="0" distL="0" distR="0">
            <wp:extent cx="5231130" cy="2298065"/>
            <wp:effectExtent l="0" t="0" r="7620" b="698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line="300" w:lineRule="auto"/>
        <w:ind w:firstLine="0" w:firstLineChars="0"/>
        <w:jc w:val="center"/>
        <w:rPr>
          <w:rFonts w:eastAsia="黑体" w:cs="Times New Roman"/>
          <w:sz w:val="18"/>
          <w:szCs w:val="18"/>
        </w:rPr>
      </w:pPr>
      <w:r>
        <w:rPr>
          <w:rFonts w:eastAsia="黑体" w:cs="Times New Roman"/>
          <w:sz w:val="18"/>
          <w:szCs w:val="18"/>
        </w:rPr>
        <w:t>图5- 8 毕业生对就业服务工作的评价</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68" w:name="_Toc90288254"/>
      <w:r>
        <w:rPr>
          <w:rFonts w:hint="eastAsia" w:cs="Times New Roman"/>
          <w:b/>
          <w:bCs/>
          <w:color w:val="005099"/>
          <w:sz w:val="24"/>
        </w:rPr>
        <w:t>（二）各项就业服务参与度、有效性</w:t>
      </w:r>
      <w:bookmarkEnd w:id="68"/>
    </w:p>
    <w:p>
      <w:pPr>
        <w:ind w:firstLine="420"/>
        <w:rPr>
          <w:rFonts w:cs="Times New Roman"/>
          <w:szCs w:val="21"/>
        </w:rPr>
      </w:pPr>
      <w:r>
        <w:rPr>
          <w:rFonts w:cs="Times New Roman"/>
          <w:szCs w:val="21"/>
        </w:rPr>
        <w:t>对于我校开展的就业创业工作，毕业生参与率较高的为</w:t>
      </w:r>
      <w:r>
        <w:rPr>
          <w:rFonts w:hint="eastAsia" w:cs="Times New Roman"/>
          <w:szCs w:val="21"/>
        </w:rPr>
        <w:t>就业信息提供与发布（6</w:t>
      </w:r>
      <w:r>
        <w:rPr>
          <w:rFonts w:cs="Times New Roman"/>
          <w:szCs w:val="21"/>
        </w:rPr>
        <w:t>3.29</w:t>
      </w:r>
      <w:r>
        <w:rPr>
          <w:rFonts w:hint="eastAsia" w:cs="Times New Roman"/>
          <w:szCs w:val="21"/>
        </w:rPr>
        <w:t>%），其次为校园招聘活动（5</w:t>
      </w:r>
      <w:r>
        <w:rPr>
          <w:rFonts w:cs="Times New Roman"/>
          <w:szCs w:val="21"/>
        </w:rPr>
        <w:t>6.52</w:t>
      </w:r>
      <w:r>
        <w:rPr>
          <w:rFonts w:hint="eastAsia" w:cs="Times New Roman"/>
          <w:szCs w:val="21"/>
        </w:rPr>
        <w:t>%）</w:t>
      </w:r>
      <w:r>
        <w:rPr>
          <w:rFonts w:cs="Times New Roman"/>
          <w:szCs w:val="21"/>
        </w:rPr>
        <w:t>。毕业生认为</w:t>
      </w:r>
      <w:r>
        <w:rPr>
          <w:rFonts w:hint="eastAsia" w:cs="Times New Roman"/>
          <w:szCs w:val="21"/>
        </w:rPr>
        <w:t>就业信息提供与发布、就业手续办理、就业技能培训、职业选择咨询辅导、求职心心理调适</w:t>
      </w:r>
      <w:r>
        <w:rPr>
          <w:rFonts w:cs="Times New Roman"/>
          <w:szCs w:val="21"/>
        </w:rPr>
        <w:t>各项</w:t>
      </w:r>
      <w:r>
        <w:rPr>
          <w:rFonts w:hint="eastAsia" w:cs="Times New Roman"/>
          <w:szCs w:val="21"/>
        </w:rPr>
        <w:t>有</w:t>
      </w:r>
      <w:r>
        <w:rPr>
          <w:rFonts w:cs="Times New Roman"/>
          <w:szCs w:val="21"/>
        </w:rPr>
        <w:t>效</w:t>
      </w:r>
      <w:r>
        <w:rPr>
          <w:rFonts w:hint="eastAsia" w:cs="Times New Roman"/>
          <w:szCs w:val="21"/>
        </w:rPr>
        <w:t>性</w:t>
      </w:r>
      <w:r>
        <w:rPr>
          <w:rFonts w:cs="Times New Roman"/>
          <w:szCs w:val="21"/>
        </w:rPr>
        <w:t>均超过</w:t>
      </w:r>
      <w:r>
        <w:rPr>
          <w:rFonts w:hint="eastAsia" w:cs="Times New Roman"/>
          <w:szCs w:val="21"/>
        </w:rPr>
        <w:t>3</w:t>
      </w:r>
      <w:r>
        <w:rPr>
          <w:rFonts w:cs="Times New Roman"/>
          <w:szCs w:val="21"/>
        </w:rPr>
        <w:t>.5分</w:t>
      </w:r>
      <w:r>
        <w:rPr>
          <w:rFonts w:hint="eastAsia" w:cs="Times New Roman"/>
          <w:szCs w:val="21"/>
        </w:rPr>
        <w:t>。</w:t>
      </w:r>
    </w:p>
    <w:p>
      <w:pPr>
        <w:keepNext/>
        <w:ind w:firstLine="0" w:firstLineChars="0"/>
      </w:pPr>
      <w:r>
        <w:drawing>
          <wp:inline distT="0" distB="0" distL="0" distR="0">
            <wp:extent cx="5274310" cy="3700145"/>
            <wp:effectExtent l="0" t="0" r="254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图2-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图2-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19</w:t>
      </w:r>
      <w:r>
        <w:rPr>
          <w:rFonts w:eastAsia="黑体" w:cs="Times New Roman"/>
          <w:sz w:val="18"/>
          <w:szCs w:val="18"/>
        </w:rPr>
        <w:fldChar w:fldCharType="end"/>
      </w:r>
      <w:r>
        <w:rPr>
          <w:rFonts w:hint="eastAsia" w:eastAsia="黑体" w:cs="Times New Roman"/>
          <w:sz w:val="18"/>
          <w:szCs w:val="18"/>
        </w:rPr>
        <w:t>各项就业服务参与度、有效性</w:t>
      </w:r>
    </w:p>
    <w:p>
      <w:pPr>
        <w:spacing w:line="300" w:lineRule="auto"/>
        <w:ind w:firstLine="0" w:firstLineChars="0"/>
        <w:jc w:val="center"/>
        <w:rPr>
          <w:rFonts w:eastAsia="黑体" w:cs="Times New Roman"/>
          <w:sz w:val="18"/>
          <w:szCs w:val="18"/>
        </w:rPr>
      </w:pPr>
    </w:p>
    <w:p>
      <w:pPr>
        <w:spacing w:line="300" w:lineRule="auto"/>
        <w:ind w:firstLine="0" w:firstLineChars="0"/>
        <w:jc w:val="center"/>
        <w:rPr>
          <w:rFonts w:eastAsia="黑体" w:cs="Times New Roman"/>
          <w:sz w:val="18"/>
          <w:szCs w:val="18"/>
        </w:rPr>
      </w:pPr>
    </w:p>
    <w:p>
      <w:pPr>
        <w:spacing w:line="300" w:lineRule="auto"/>
        <w:ind w:firstLine="0" w:firstLineChars="0"/>
        <w:jc w:val="center"/>
        <w:rPr>
          <w:rFonts w:eastAsia="黑体" w:cs="Times New Roman"/>
          <w:sz w:val="18"/>
          <w:szCs w:val="18"/>
        </w:rPr>
      </w:pPr>
    </w:p>
    <w:p>
      <w:pPr>
        <w:spacing w:line="300" w:lineRule="auto"/>
        <w:ind w:firstLine="0" w:firstLineChars="0"/>
        <w:jc w:val="center"/>
        <w:rPr>
          <w:rFonts w:eastAsia="黑体" w:cs="Times New Roman"/>
          <w:sz w:val="18"/>
          <w:szCs w:val="18"/>
        </w:rPr>
      </w:pPr>
    </w:p>
    <w:p>
      <w:pPr>
        <w:spacing w:line="300" w:lineRule="auto"/>
        <w:ind w:firstLine="0" w:firstLineChars="0"/>
        <w:jc w:val="center"/>
        <w:rPr>
          <w:rFonts w:eastAsia="黑体" w:cs="Times New Roman"/>
          <w:sz w:val="18"/>
          <w:szCs w:val="18"/>
        </w:rPr>
        <w:sectPr>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69" w:name="_Toc90288255"/>
      <w:r>
        <w:rPr>
          <w:rFonts w:hint="eastAsia" w:ascii="宋体" w:hAnsi="宋体"/>
          <w:b/>
          <w:bCs/>
          <w:color w:val="FFFFFF" w:themeColor="background1"/>
          <w:sz w:val="32"/>
          <w:szCs w:val="32"/>
          <w14:textFill>
            <w14:solidFill>
              <w14:schemeClr w14:val="bg1"/>
            </w14:solidFill>
          </w14:textFill>
        </w:rPr>
        <w:t>第六章 社会评价</w:t>
      </w:r>
      <w:bookmarkEnd w:id="69"/>
    </w:p>
    <w:p>
      <w:pPr>
        <w:ind w:firstLine="602"/>
        <w:outlineLvl w:val="1"/>
        <w:rPr>
          <w:rFonts w:cs="Times New Roman"/>
          <w:b/>
          <w:bCs/>
          <w:color w:val="005099"/>
          <w:sz w:val="30"/>
          <w:szCs w:val="30"/>
        </w:rPr>
      </w:pPr>
      <w:bookmarkStart w:id="70" w:name="_Toc90288256"/>
      <w:r>
        <w:rPr>
          <w:rFonts w:hint="eastAsia" w:cs="Times New Roman"/>
          <w:b/>
          <w:bCs/>
          <w:color w:val="005099"/>
          <w:sz w:val="30"/>
          <w:szCs w:val="30"/>
        </w:rPr>
        <w:t>一、单位情况</w:t>
      </w:r>
      <w:bookmarkEnd w:id="70"/>
    </w:p>
    <w:p>
      <w:pPr>
        <w:ind w:firstLine="482"/>
        <w:outlineLvl w:val="2"/>
        <w:rPr>
          <w:rFonts w:cs="Times New Roman"/>
          <w:b/>
          <w:bCs/>
          <w:color w:val="005099"/>
          <w:sz w:val="24"/>
        </w:rPr>
      </w:pPr>
      <w:bookmarkStart w:id="71" w:name="_Toc75440648"/>
      <w:bookmarkStart w:id="72" w:name="_Toc86399911"/>
      <w:bookmarkStart w:id="73" w:name="_Toc87026734"/>
      <w:bookmarkStart w:id="74" w:name="_Toc90288257"/>
      <w:r>
        <w:rPr>
          <w:rFonts w:cs="Times New Roman"/>
          <w:b/>
          <w:bCs/>
          <w:color w:val="005099"/>
          <w:sz w:val="24"/>
        </w:rPr>
        <w:t>（一）</w:t>
      </w:r>
      <w:r>
        <w:rPr>
          <w:rFonts w:hint="eastAsia" w:cs="Times New Roman"/>
          <w:b/>
          <w:bCs/>
          <w:color w:val="005099"/>
          <w:sz w:val="24"/>
        </w:rPr>
        <w:t>用人</w:t>
      </w:r>
      <w:r>
        <w:rPr>
          <w:rFonts w:cs="Times New Roman"/>
          <w:b/>
          <w:bCs/>
          <w:color w:val="005099"/>
          <w:sz w:val="24"/>
        </w:rPr>
        <w:t>单位性质</w:t>
      </w:r>
      <w:bookmarkEnd w:id="71"/>
      <w:bookmarkEnd w:id="72"/>
      <w:bookmarkEnd w:id="73"/>
      <w:bookmarkEnd w:id="74"/>
    </w:p>
    <w:p>
      <w:pPr>
        <w:ind w:firstLine="420"/>
        <w:rPr>
          <w:rFonts w:cs="Times New Roman"/>
          <w:szCs w:val="21"/>
        </w:rPr>
      </w:pPr>
      <w:r>
        <w:rPr>
          <w:rFonts w:cs="Times New Roman"/>
          <w:szCs w:val="21"/>
        </w:rPr>
        <w:t>2021届在我校招聘人数较多的企业中，民营企业占比较高，比例为78.91%，其次为</w:t>
      </w:r>
      <w:r>
        <w:rPr>
          <w:rFonts w:hint="eastAsia" w:cs="Times New Roman"/>
          <w:szCs w:val="21"/>
        </w:rPr>
        <w:t>三资</w:t>
      </w:r>
      <w:r>
        <w:rPr>
          <w:rFonts w:cs="Times New Roman"/>
          <w:szCs w:val="21"/>
        </w:rPr>
        <w:t>企业，占比为8.84%。</w:t>
      </w:r>
    </w:p>
    <w:p>
      <w:pPr>
        <w:spacing w:line="300" w:lineRule="auto"/>
        <w:ind w:firstLine="0" w:firstLineChars="0"/>
        <w:jc w:val="center"/>
        <w:rPr>
          <w:rFonts w:ascii="宋体" w:hAnsi="宋体"/>
          <w:color w:val="000000"/>
          <w:sz w:val="24"/>
        </w:rPr>
      </w:pPr>
      <w:r>
        <w:drawing>
          <wp:inline distT="0" distB="0" distL="0" distR="0">
            <wp:extent cx="5222240" cy="2535555"/>
            <wp:effectExtent l="0" t="0" r="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w:t>
      </w:r>
      <w:r>
        <w:rPr>
          <w:rFonts w:eastAsia="黑体" w:cs="Times New Roman"/>
          <w:sz w:val="18"/>
          <w:szCs w:val="18"/>
        </w:rPr>
        <w:fldChar w:fldCharType="end"/>
      </w:r>
      <w:r>
        <w:rPr>
          <w:rFonts w:eastAsia="黑体" w:cs="Times New Roman"/>
          <w:sz w:val="18"/>
          <w:szCs w:val="18"/>
        </w:rPr>
        <w:t xml:space="preserve"> 单位性质</w:t>
      </w:r>
    </w:p>
    <w:p>
      <w:pPr>
        <w:ind w:firstLine="482"/>
        <w:outlineLvl w:val="2"/>
        <w:rPr>
          <w:rFonts w:cs="Times New Roman"/>
          <w:b/>
          <w:bCs/>
          <w:color w:val="005099"/>
          <w:sz w:val="24"/>
        </w:rPr>
      </w:pPr>
      <w:bookmarkStart w:id="75" w:name="_Toc90288258"/>
      <w:bookmarkStart w:id="76" w:name="_Toc86399912"/>
      <w:bookmarkStart w:id="77" w:name="_Toc75440649"/>
      <w:bookmarkStart w:id="78" w:name="_Toc87026735"/>
      <w:r>
        <w:rPr>
          <w:rFonts w:cs="Times New Roman"/>
          <w:b/>
          <w:bCs/>
          <w:color w:val="005099"/>
          <w:sz w:val="24"/>
        </w:rPr>
        <w:t>（二）</w:t>
      </w:r>
      <w:r>
        <w:rPr>
          <w:rFonts w:hint="eastAsia" w:cs="Times New Roman"/>
          <w:b/>
          <w:bCs/>
          <w:color w:val="005099"/>
          <w:sz w:val="24"/>
        </w:rPr>
        <w:t>用人</w:t>
      </w:r>
      <w:r>
        <w:rPr>
          <w:rFonts w:cs="Times New Roman"/>
          <w:b/>
          <w:bCs/>
          <w:color w:val="005099"/>
          <w:sz w:val="24"/>
        </w:rPr>
        <w:t>单位规模</w:t>
      </w:r>
      <w:bookmarkEnd w:id="75"/>
      <w:bookmarkEnd w:id="76"/>
      <w:bookmarkEnd w:id="77"/>
      <w:bookmarkEnd w:id="78"/>
    </w:p>
    <w:p>
      <w:pPr>
        <w:ind w:firstLine="420"/>
        <w:rPr>
          <w:rFonts w:cs="Times New Roman"/>
          <w:szCs w:val="21"/>
        </w:rPr>
      </w:pPr>
      <w:r>
        <w:rPr>
          <w:rFonts w:cs="Times New Roman"/>
          <w:szCs w:val="21"/>
        </w:rPr>
        <w:t>2021届在我校招聘人数较多的企业中，</w:t>
      </w:r>
      <w:r>
        <w:rPr>
          <w:rFonts w:hint="eastAsia" w:cs="Times New Roman"/>
          <w:szCs w:val="21"/>
        </w:rPr>
        <w:t>小微型企业</w:t>
      </w:r>
      <w:r>
        <w:rPr>
          <w:rFonts w:cs="Times New Roman"/>
          <w:szCs w:val="21"/>
        </w:rPr>
        <w:t>较多，占比为51.02%，其次是</w:t>
      </w:r>
      <w:r>
        <w:rPr>
          <w:rFonts w:hint="eastAsia" w:cs="Times New Roman"/>
          <w:szCs w:val="21"/>
        </w:rPr>
        <w:t>中型企业，</w:t>
      </w:r>
      <w:r>
        <w:rPr>
          <w:rFonts w:cs="Times New Roman"/>
          <w:szCs w:val="21"/>
        </w:rPr>
        <w:t>占比为27.21%，</w:t>
      </w:r>
      <w:r>
        <w:rPr>
          <w:rFonts w:hint="eastAsia" w:cs="Times New Roman"/>
          <w:szCs w:val="21"/>
        </w:rPr>
        <w:t>排名第三的是非5</w:t>
      </w:r>
      <w:r>
        <w:rPr>
          <w:rFonts w:cs="Times New Roman"/>
          <w:szCs w:val="21"/>
        </w:rPr>
        <w:t>00</w:t>
      </w:r>
      <w:r>
        <w:rPr>
          <w:rFonts w:hint="eastAsia" w:cs="Times New Roman"/>
          <w:szCs w:val="21"/>
        </w:rPr>
        <w:t>强大型企业</w:t>
      </w:r>
      <w:r>
        <w:rPr>
          <w:rFonts w:cs="Times New Roman"/>
          <w:szCs w:val="21"/>
        </w:rPr>
        <w:t>，占比为14.97%。</w:t>
      </w:r>
    </w:p>
    <w:p>
      <w:pPr>
        <w:spacing w:line="300" w:lineRule="auto"/>
        <w:ind w:firstLine="0" w:firstLineChars="0"/>
        <w:jc w:val="center"/>
        <w:rPr>
          <w:rFonts w:ascii="宋体" w:hAnsi="宋体"/>
          <w:color w:val="000000"/>
          <w:sz w:val="24"/>
        </w:rPr>
      </w:pPr>
      <w:r>
        <w:drawing>
          <wp:inline distT="0" distB="0" distL="0" distR="0">
            <wp:extent cx="5180330" cy="2527935"/>
            <wp:effectExtent l="0" t="0" r="1270" b="5715"/>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2</w:t>
      </w:r>
      <w:r>
        <w:rPr>
          <w:rFonts w:eastAsia="黑体" w:cs="Times New Roman"/>
          <w:sz w:val="18"/>
          <w:szCs w:val="18"/>
        </w:rPr>
        <w:fldChar w:fldCharType="end"/>
      </w:r>
      <w:r>
        <w:rPr>
          <w:rFonts w:eastAsia="黑体" w:cs="Times New Roman"/>
          <w:sz w:val="18"/>
          <w:szCs w:val="18"/>
        </w:rPr>
        <w:t xml:space="preserve"> 单位规模</w:t>
      </w:r>
    </w:p>
    <w:p>
      <w:pPr>
        <w:ind w:firstLine="482"/>
        <w:outlineLvl w:val="2"/>
        <w:rPr>
          <w:rFonts w:cs="Times New Roman"/>
          <w:b/>
          <w:bCs/>
          <w:color w:val="005099"/>
          <w:sz w:val="24"/>
        </w:rPr>
      </w:pPr>
      <w:bookmarkStart w:id="79" w:name="_Toc90288259"/>
      <w:bookmarkStart w:id="80" w:name="_Toc87026736"/>
      <w:bookmarkStart w:id="81" w:name="_Toc86399913"/>
      <w:r>
        <w:rPr>
          <w:rFonts w:cs="Times New Roman"/>
          <w:b/>
          <w:bCs/>
          <w:color w:val="005099"/>
          <w:sz w:val="24"/>
        </w:rPr>
        <w:t>（</w:t>
      </w:r>
      <w:r>
        <w:rPr>
          <w:rFonts w:hint="eastAsia" w:cs="Times New Roman"/>
          <w:b/>
          <w:bCs/>
          <w:color w:val="005099"/>
          <w:sz w:val="24"/>
        </w:rPr>
        <w:t>三</w:t>
      </w:r>
      <w:r>
        <w:rPr>
          <w:rFonts w:cs="Times New Roman"/>
          <w:b/>
          <w:bCs/>
          <w:color w:val="005099"/>
          <w:sz w:val="24"/>
        </w:rPr>
        <w:t>）</w:t>
      </w:r>
      <w:r>
        <w:rPr>
          <w:rFonts w:hint="eastAsia" w:cs="Times New Roman"/>
          <w:b/>
          <w:bCs/>
          <w:color w:val="005099"/>
          <w:sz w:val="24"/>
        </w:rPr>
        <w:t>用人</w:t>
      </w:r>
      <w:r>
        <w:rPr>
          <w:rFonts w:cs="Times New Roman"/>
          <w:b/>
          <w:bCs/>
          <w:color w:val="005099"/>
          <w:sz w:val="24"/>
        </w:rPr>
        <w:t>单位</w:t>
      </w:r>
      <w:r>
        <w:rPr>
          <w:rFonts w:hint="eastAsia" w:cs="Times New Roman"/>
          <w:b/>
          <w:bCs/>
          <w:color w:val="005099"/>
          <w:sz w:val="24"/>
        </w:rPr>
        <w:t>行业</w:t>
      </w:r>
      <w:bookmarkEnd w:id="79"/>
      <w:bookmarkEnd w:id="80"/>
      <w:bookmarkEnd w:id="81"/>
    </w:p>
    <w:p>
      <w:pPr>
        <w:ind w:firstLine="420"/>
        <w:rPr>
          <w:rFonts w:cs="Times New Roman"/>
          <w:szCs w:val="21"/>
        </w:rPr>
      </w:pPr>
      <w:r>
        <w:rPr>
          <w:rFonts w:cs="Times New Roman"/>
          <w:szCs w:val="21"/>
        </w:rPr>
        <w:t>2021届在我校招聘人数较多的企业中，</w:t>
      </w:r>
      <w:r>
        <w:rPr>
          <w:rFonts w:hint="eastAsia" w:cs="Times New Roman"/>
          <w:szCs w:val="21"/>
        </w:rPr>
        <w:t>信息传输、软件和信息技术服务业</w:t>
      </w:r>
      <w:r>
        <w:rPr>
          <w:rFonts w:cs="Times New Roman"/>
          <w:szCs w:val="21"/>
        </w:rPr>
        <w:t>较多，占比为22.45%</w:t>
      </w:r>
      <w:r>
        <w:rPr>
          <w:rFonts w:hint="eastAsia" w:cs="Times New Roman"/>
          <w:szCs w:val="21"/>
        </w:rPr>
        <w:t>；</w:t>
      </w:r>
      <w:r>
        <w:rPr>
          <w:rFonts w:cs="Times New Roman"/>
          <w:szCs w:val="21"/>
        </w:rPr>
        <w:t>其次是</w:t>
      </w:r>
      <w:r>
        <w:rPr>
          <w:rFonts w:hint="eastAsia" w:cs="Times New Roman"/>
          <w:szCs w:val="21"/>
        </w:rPr>
        <w:t>制造业，占比为</w:t>
      </w:r>
      <w:r>
        <w:rPr>
          <w:rFonts w:cs="Times New Roman"/>
          <w:szCs w:val="21"/>
        </w:rPr>
        <w:t>20.41%</w:t>
      </w:r>
      <w:r>
        <w:rPr>
          <w:rFonts w:hint="eastAsia" w:cs="Times New Roman"/>
          <w:szCs w:val="21"/>
        </w:rPr>
        <w:t>；再次是批发零售业</w:t>
      </w:r>
      <w:r>
        <w:rPr>
          <w:rFonts w:cs="Times New Roman"/>
          <w:szCs w:val="21"/>
        </w:rPr>
        <w:t>，占比为9.52%。</w:t>
      </w:r>
    </w:p>
    <w:p>
      <w:pPr>
        <w:spacing w:line="300" w:lineRule="auto"/>
        <w:ind w:firstLine="0" w:firstLineChars="0"/>
        <w:jc w:val="center"/>
        <w:rPr>
          <w:rFonts w:ascii="宋体" w:hAnsi="宋体"/>
          <w:color w:val="000000"/>
          <w:sz w:val="24"/>
        </w:rPr>
      </w:pPr>
      <w:r>
        <w:drawing>
          <wp:inline distT="0" distB="0" distL="0" distR="0">
            <wp:extent cx="5213985" cy="2527935"/>
            <wp:effectExtent l="0" t="0" r="5715" b="571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3</w:t>
      </w:r>
      <w:r>
        <w:rPr>
          <w:rFonts w:eastAsia="黑体" w:cs="Times New Roman"/>
          <w:sz w:val="18"/>
          <w:szCs w:val="18"/>
        </w:rPr>
        <w:fldChar w:fldCharType="end"/>
      </w:r>
      <w:r>
        <w:rPr>
          <w:rFonts w:eastAsia="黑体" w:cs="Times New Roman"/>
          <w:sz w:val="18"/>
          <w:szCs w:val="18"/>
        </w:rPr>
        <w:t xml:space="preserve"> 单位</w:t>
      </w:r>
      <w:r>
        <w:rPr>
          <w:rFonts w:hint="eastAsia" w:eastAsia="黑体" w:cs="Times New Roman"/>
          <w:sz w:val="18"/>
          <w:szCs w:val="18"/>
        </w:rPr>
        <w:t>行业</w:t>
      </w:r>
    </w:p>
    <w:p>
      <w:pPr>
        <w:ind w:firstLine="482"/>
        <w:outlineLvl w:val="2"/>
        <w:rPr>
          <w:rFonts w:cs="Times New Roman"/>
          <w:b/>
          <w:bCs/>
          <w:color w:val="005099"/>
          <w:sz w:val="24"/>
        </w:rPr>
      </w:pPr>
      <w:bookmarkStart w:id="82" w:name="_Toc87026737"/>
      <w:bookmarkStart w:id="83" w:name="_Toc90288260"/>
      <w:bookmarkStart w:id="84" w:name="_Toc86399914"/>
      <w:r>
        <w:rPr>
          <w:rFonts w:cs="Times New Roman"/>
          <w:b/>
          <w:bCs/>
          <w:color w:val="005099"/>
          <w:sz w:val="24"/>
        </w:rPr>
        <w:t>（</w:t>
      </w:r>
      <w:r>
        <w:rPr>
          <w:rFonts w:hint="eastAsia" w:cs="Times New Roman"/>
          <w:b/>
          <w:bCs/>
          <w:color w:val="005099"/>
          <w:sz w:val="24"/>
        </w:rPr>
        <w:t>四</w:t>
      </w:r>
      <w:r>
        <w:rPr>
          <w:rFonts w:cs="Times New Roman"/>
          <w:b/>
          <w:bCs/>
          <w:color w:val="005099"/>
          <w:sz w:val="24"/>
        </w:rPr>
        <w:t>）用人单位地区分布</w:t>
      </w:r>
      <w:bookmarkEnd w:id="82"/>
      <w:bookmarkEnd w:id="83"/>
      <w:bookmarkEnd w:id="84"/>
    </w:p>
    <w:p>
      <w:pPr>
        <w:ind w:firstLine="420"/>
        <w:rPr>
          <w:rFonts w:cs="Times New Roman"/>
          <w:szCs w:val="21"/>
        </w:rPr>
      </w:pPr>
      <w:r>
        <w:rPr>
          <w:rFonts w:cs="Times New Roman"/>
          <w:szCs w:val="21"/>
        </w:rPr>
        <w:t>2021</w:t>
      </w:r>
      <w:r>
        <w:rPr>
          <w:rFonts w:hint="eastAsia" w:cs="Times New Roman"/>
          <w:szCs w:val="21"/>
        </w:rPr>
        <w:t>年入驻</w:t>
      </w:r>
      <w:r>
        <w:rPr>
          <w:rFonts w:cs="Times New Roman"/>
          <w:szCs w:val="21"/>
        </w:rPr>
        <w:t>我校</w:t>
      </w:r>
      <w:r>
        <w:rPr>
          <w:rFonts w:hint="eastAsia" w:cs="Times New Roman"/>
          <w:szCs w:val="21"/>
        </w:rPr>
        <w:t>就业信息网</w:t>
      </w:r>
      <w:r>
        <w:rPr>
          <w:rFonts w:cs="Times New Roman"/>
          <w:szCs w:val="21"/>
        </w:rPr>
        <w:t>的企业中，在天津市的企业最多，占</w:t>
      </w:r>
      <w:r>
        <w:rPr>
          <w:rFonts w:hint="eastAsia" w:cs="Times New Roman"/>
          <w:szCs w:val="21"/>
        </w:rPr>
        <w:t>比为</w:t>
      </w:r>
      <w:r>
        <w:rPr>
          <w:rFonts w:cs="Times New Roman"/>
          <w:szCs w:val="21"/>
        </w:rPr>
        <w:t>64.63%，其次为在</w:t>
      </w:r>
      <w:r>
        <w:rPr>
          <w:rFonts w:hint="eastAsia" w:cs="Times New Roman"/>
          <w:szCs w:val="21"/>
        </w:rPr>
        <w:t>北京市</w:t>
      </w:r>
      <w:r>
        <w:rPr>
          <w:rFonts w:cs="Times New Roman"/>
          <w:szCs w:val="21"/>
        </w:rPr>
        <w:t>的企业，占</w:t>
      </w:r>
      <w:r>
        <w:rPr>
          <w:rFonts w:hint="eastAsia" w:cs="Times New Roman"/>
          <w:szCs w:val="21"/>
        </w:rPr>
        <w:t>比为</w:t>
      </w:r>
      <w:r>
        <w:rPr>
          <w:rFonts w:cs="Times New Roman"/>
          <w:szCs w:val="21"/>
        </w:rPr>
        <w:t>12.24%。</w:t>
      </w:r>
    </w:p>
    <w:p>
      <w:pPr>
        <w:spacing w:line="300" w:lineRule="auto"/>
        <w:ind w:firstLine="0" w:firstLineChars="0"/>
        <w:jc w:val="center"/>
        <w:rPr>
          <w:rFonts w:ascii="宋体" w:hAnsi="宋体"/>
          <w:color w:val="000000"/>
          <w:sz w:val="24"/>
        </w:rPr>
      </w:pPr>
      <w:r>
        <w:drawing>
          <wp:inline distT="0" distB="0" distL="0" distR="0">
            <wp:extent cx="5207000" cy="2929255"/>
            <wp:effectExtent l="0" t="0" r="0" b="4445"/>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4</w:t>
      </w:r>
      <w:r>
        <w:rPr>
          <w:rFonts w:eastAsia="黑体" w:cs="Times New Roman"/>
          <w:sz w:val="18"/>
          <w:szCs w:val="18"/>
        </w:rPr>
        <w:fldChar w:fldCharType="end"/>
      </w:r>
      <w:r>
        <w:rPr>
          <w:rFonts w:eastAsia="黑体" w:cs="Times New Roman"/>
          <w:sz w:val="18"/>
          <w:szCs w:val="18"/>
        </w:rPr>
        <w:t xml:space="preserve"> 用人单位地区分布</w:t>
      </w:r>
    </w:p>
    <w:p>
      <w:pPr>
        <w:ind w:firstLine="602"/>
        <w:outlineLvl w:val="1"/>
        <w:rPr>
          <w:rFonts w:cs="Times New Roman"/>
          <w:b/>
          <w:bCs/>
          <w:color w:val="005099"/>
          <w:sz w:val="30"/>
          <w:szCs w:val="30"/>
        </w:rPr>
      </w:pPr>
      <w:bookmarkStart w:id="85" w:name="_Toc90288261"/>
      <w:r>
        <w:rPr>
          <w:rFonts w:hint="eastAsia" w:cs="Times New Roman"/>
          <w:b/>
          <w:bCs/>
          <w:color w:val="005099"/>
          <w:sz w:val="30"/>
          <w:szCs w:val="30"/>
        </w:rPr>
        <w:t>二、招聘分析</w:t>
      </w:r>
      <w:bookmarkEnd w:id="85"/>
    </w:p>
    <w:p>
      <w:pPr>
        <w:ind w:firstLine="482"/>
        <w:outlineLvl w:val="2"/>
        <w:rPr>
          <w:rFonts w:cs="Times New Roman"/>
          <w:b/>
          <w:bCs/>
          <w:color w:val="005099"/>
          <w:sz w:val="24"/>
        </w:rPr>
      </w:pPr>
      <w:bookmarkStart w:id="86" w:name="_Toc90288262"/>
      <w:r>
        <w:rPr>
          <w:rFonts w:hint="eastAsia" w:cs="Times New Roman"/>
          <w:b/>
          <w:bCs/>
          <w:color w:val="005099"/>
          <w:sz w:val="24"/>
        </w:rPr>
        <w:t>（一）招聘规模变化</w:t>
      </w:r>
      <w:bookmarkEnd w:id="86"/>
    </w:p>
    <w:p>
      <w:pPr>
        <w:ind w:firstLine="420"/>
        <w:rPr>
          <w:rFonts w:cs="Times New Roman"/>
          <w:szCs w:val="21"/>
        </w:rPr>
      </w:pPr>
      <w:r>
        <w:rPr>
          <w:rFonts w:cs="Times New Roman"/>
          <w:szCs w:val="21"/>
        </w:rPr>
        <w:t>用人单位招聘我校2021届毕业生的规模略有</w:t>
      </w:r>
      <w:r>
        <w:rPr>
          <w:rFonts w:hint="eastAsia" w:cs="Times New Roman"/>
          <w:szCs w:val="21"/>
        </w:rPr>
        <w:t>较大的提升</w:t>
      </w:r>
      <w:r>
        <w:rPr>
          <w:rFonts w:cs="Times New Roman"/>
          <w:szCs w:val="21"/>
        </w:rPr>
        <w:t>：74.83%的企业招聘规模</w:t>
      </w:r>
      <w:r>
        <w:rPr>
          <w:rFonts w:hint="eastAsia" w:cs="Times New Roman"/>
          <w:szCs w:val="21"/>
        </w:rPr>
        <w:t>都</w:t>
      </w:r>
      <w:r>
        <w:rPr>
          <w:rFonts w:cs="Times New Roman"/>
          <w:szCs w:val="21"/>
        </w:rPr>
        <w:t>有所上升，</w:t>
      </w:r>
      <w:r>
        <w:rPr>
          <w:rFonts w:hint="eastAsia" w:cs="Times New Roman"/>
          <w:szCs w:val="21"/>
        </w:rPr>
        <w:t>其中</w:t>
      </w:r>
      <w:r>
        <w:rPr>
          <w:rFonts w:cs="Times New Roman"/>
          <w:szCs w:val="21"/>
        </w:rPr>
        <w:t>42.86%的企业</w:t>
      </w:r>
      <w:r>
        <w:rPr>
          <w:rFonts w:hint="eastAsia" w:cs="Times New Roman"/>
          <w:szCs w:val="21"/>
        </w:rPr>
        <w:t>有大幅度增加</w:t>
      </w:r>
      <w:r>
        <w:rPr>
          <w:rFonts w:cs="Times New Roman"/>
          <w:szCs w:val="21"/>
        </w:rPr>
        <w:t>，31.97</w:t>
      </w:r>
      <w:r>
        <w:rPr>
          <w:rFonts w:hint="eastAsia" w:cs="Times New Roman"/>
          <w:szCs w:val="21"/>
        </w:rPr>
        <w:t>%的企业有小幅度增加，</w:t>
      </w:r>
      <w:r>
        <w:rPr>
          <w:rFonts w:cs="Times New Roman"/>
          <w:szCs w:val="21"/>
        </w:rPr>
        <w:t>仅有</w:t>
      </w:r>
      <w:r>
        <w:rPr>
          <w:rFonts w:hint="eastAsia" w:cs="Times New Roman"/>
          <w:szCs w:val="21"/>
        </w:rPr>
        <w:t>2</w:t>
      </w:r>
      <w:r>
        <w:rPr>
          <w:rFonts w:cs="Times New Roman"/>
          <w:szCs w:val="21"/>
        </w:rPr>
        <w:t>.72%</w:t>
      </w:r>
      <w:r>
        <w:rPr>
          <w:rFonts w:hint="eastAsia" w:cs="Times New Roman"/>
          <w:szCs w:val="21"/>
        </w:rPr>
        <w:t>的</w:t>
      </w:r>
      <w:r>
        <w:rPr>
          <w:rFonts w:cs="Times New Roman"/>
          <w:szCs w:val="21"/>
        </w:rPr>
        <w:t>企业有所下降。</w:t>
      </w:r>
    </w:p>
    <w:p>
      <w:pPr>
        <w:spacing w:line="300" w:lineRule="auto"/>
        <w:ind w:firstLine="0" w:firstLineChars="0"/>
        <w:jc w:val="center"/>
        <w:rPr>
          <w:rFonts w:ascii="宋体" w:hAnsi="宋体"/>
          <w:color w:val="000000"/>
          <w:sz w:val="24"/>
        </w:rPr>
      </w:pPr>
      <w:r>
        <w:drawing>
          <wp:inline distT="0" distB="0" distL="0" distR="0">
            <wp:extent cx="5222240" cy="2527935"/>
            <wp:effectExtent l="0" t="0" r="0" b="5715"/>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5</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招聘规模变化</w:t>
      </w:r>
    </w:p>
    <w:p>
      <w:pPr>
        <w:ind w:firstLine="482"/>
        <w:outlineLvl w:val="2"/>
        <w:rPr>
          <w:rFonts w:cs="Times New Roman"/>
          <w:b/>
          <w:bCs/>
          <w:color w:val="005099"/>
          <w:sz w:val="24"/>
        </w:rPr>
      </w:pPr>
      <w:bookmarkStart w:id="87" w:name="_Toc90288263"/>
      <w:r>
        <w:rPr>
          <w:rFonts w:hint="eastAsia" w:cs="Times New Roman"/>
          <w:b/>
          <w:bCs/>
          <w:color w:val="005099"/>
          <w:sz w:val="24"/>
        </w:rPr>
        <w:t>（二）单位粘稠度</w:t>
      </w:r>
      <w:bookmarkEnd w:id="87"/>
    </w:p>
    <w:p>
      <w:pPr>
        <w:ind w:firstLine="420"/>
        <w:rPr>
          <w:rFonts w:cs="Times New Roman"/>
          <w:szCs w:val="21"/>
        </w:rPr>
      </w:pPr>
      <w:r>
        <w:rPr>
          <w:rFonts w:cs="Times New Roman"/>
          <w:szCs w:val="21"/>
        </w:rPr>
        <w:t>用人单位与我校合作最频繁的是在就业信息网发布就业信息。有</w:t>
      </w:r>
      <w:r>
        <w:rPr>
          <w:rFonts w:hint="eastAsia" w:cs="Times New Roman"/>
          <w:szCs w:val="21"/>
        </w:rPr>
        <w:t>2成</w:t>
      </w:r>
      <w:r>
        <w:rPr>
          <w:rFonts w:cs="Times New Roman"/>
          <w:szCs w:val="21"/>
        </w:rPr>
        <w:t>的用人单位</w:t>
      </w:r>
      <w:r>
        <w:rPr>
          <w:rFonts w:hint="eastAsia" w:cs="Times New Roman"/>
          <w:szCs w:val="21"/>
        </w:rPr>
        <w:t>于</w:t>
      </w:r>
      <w:r>
        <w:rPr>
          <w:rFonts w:cs="Times New Roman"/>
          <w:szCs w:val="21"/>
        </w:rPr>
        <w:t>我校</w:t>
      </w:r>
      <w:r>
        <w:rPr>
          <w:rFonts w:hint="eastAsia" w:cs="Times New Roman"/>
          <w:szCs w:val="21"/>
        </w:rPr>
        <w:t>连续三年进行招聘工作</w:t>
      </w:r>
      <w:r>
        <w:rPr>
          <w:rFonts w:cs="Times New Roman"/>
          <w:szCs w:val="21"/>
        </w:rPr>
        <w:t>。</w:t>
      </w:r>
    </w:p>
    <w:p>
      <w:pPr>
        <w:spacing w:line="300" w:lineRule="auto"/>
        <w:ind w:firstLine="0" w:firstLineChars="0"/>
        <w:jc w:val="center"/>
        <w:rPr>
          <w:rFonts w:ascii="宋体" w:hAnsi="宋体"/>
          <w:color w:val="000000"/>
          <w:sz w:val="24"/>
        </w:rPr>
      </w:pPr>
      <w:r>
        <w:drawing>
          <wp:inline distT="0" distB="0" distL="0" distR="0">
            <wp:extent cx="5234940" cy="2863215"/>
            <wp:effectExtent l="0" t="0" r="381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6</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单位粘稠度</w:t>
      </w:r>
    </w:p>
    <w:p>
      <w:pPr>
        <w:ind w:firstLine="482"/>
        <w:outlineLvl w:val="2"/>
        <w:rPr>
          <w:rFonts w:cs="Times New Roman"/>
          <w:b/>
          <w:bCs/>
          <w:color w:val="005099"/>
          <w:sz w:val="24"/>
        </w:rPr>
      </w:pPr>
      <w:bookmarkStart w:id="88" w:name="_Toc90288264"/>
      <w:r>
        <w:rPr>
          <w:rFonts w:hint="eastAsia" w:cs="Times New Roman"/>
          <w:b/>
          <w:bCs/>
          <w:color w:val="005099"/>
          <w:sz w:val="24"/>
        </w:rPr>
        <w:t>（三）专业关注度</w:t>
      </w:r>
      <w:bookmarkEnd w:id="88"/>
    </w:p>
    <w:p>
      <w:pPr>
        <w:ind w:firstLine="420"/>
        <w:rPr>
          <w:rFonts w:cs="Times New Roman"/>
          <w:szCs w:val="21"/>
        </w:rPr>
      </w:pPr>
      <w:r>
        <w:rPr>
          <w:rFonts w:hint="eastAsia" w:cs="Times New Roman"/>
          <w:szCs w:val="21"/>
        </w:rPr>
        <w:t>用人单位</w:t>
      </w:r>
      <w:r>
        <w:rPr>
          <w:rFonts w:cs="Times New Roman"/>
          <w:szCs w:val="21"/>
        </w:rPr>
        <w:t>对</w:t>
      </w:r>
      <w:r>
        <w:rPr>
          <w:rFonts w:hint="eastAsia" w:cs="Times New Roman"/>
          <w:szCs w:val="21"/>
        </w:rPr>
        <w:t>毕业生专业</w:t>
      </w:r>
      <w:r>
        <w:rPr>
          <w:rFonts w:cs="Times New Roman"/>
          <w:szCs w:val="21"/>
        </w:rPr>
        <w:t>的整体</w:t>
      </w:r>
      <w:r>
        <w:rPr>
          <w:rFonts w:hint="eastAsia" w:cs="Times New Roman"/>
          <w:szCs w:val="21"/>
        </w:rPr>
        <w:t>关注度</w:t>
      </w:r>
      <w:r>
        <w:rPr>
          <w:rFonts w:cs="Times New Roman"/>
          <w:szCs w:val="21"/>
        </w:rPr>
        <w:t>为71.43%，其中非常</w:t>
      </w:r>
      <w:r>
        <w:rPr>
          <w:rFonts w:hint="eastAsia" w:cs="Times New Roman"/>
          <w:szCs w:val="21"/>
        </w:rPr>
        <w:t>关注</w:t>
      </w:r>
      <w:r>
        <w:rPr>
          <w:rFonts w:cs="Times New Roman"/>
          <w:szCs w:val="21"/>
        </w:rPr>
        <w:t>的占</w:t>
      </w:r>
      <w:r>
        <w:rPr>
          <w:rFonts w:hint="eastAsia" w:cs="Times New Roman"/>
          <w:szCs w:val="21"/>
        </w:rPr>
        <w:t>比为</w:t>
      </w:r>
      <w:r>
        <w:rPr>
          <w:rFonts w:cs="Times New Roman"/>
          <w:szCs w:val="21"/>
        </w:rPr>
        <w:t>19</w:t>
      </w:r>
      <w:r>
        <w:rPr>
          <w:rFonts w:hint="eastAsia" w:cs="Times New Roman"/>
          <w:szCs w:val="21"/>
        </w:rPr>
        <w:t>.0</w:t>
      </w:r>
      <w:r>
        <w:rPr>
          <w:rFonts w:cs="Times New Roman"/>
          <w:szCs w:val="21"/>
        </w:rPr>
        <w:t>5%</w:t>
      </w:r>
      <w:r>
        <w:rPr>
          <w:rFonts w:hint="eastAsia" w:cs="Times New Roman"/>
          <w:szCs w:val="21"/>
        </w:rPr>
        <w:t>，关注的占比为2</w:t>
      </w:r>
      <w:r>
        <w:rPr>
          <w:rFonts w:cs="Times New Roman"/>
          <w:szCs w:val="21"/>
        </w:rPr>
        <w:t>1.77</w:t>
      </w:r>
      <w:r>
        <w:rPr>
          <w:rFonts w:hint="eastAsia" w:cs="Times New Roman"/>
          <w:szCs w:val="21"/>
        </w:rPr>
        <w:t>%。</w:t>
      </w:r>
    </w:p>
    <w:p>
      <w:pPr>
        <w:spacing w:line="300" w:lineRule="auto"/>
        <w:ind w:firstLine="0" w:firstLineChars="0"/>
        <w:jc w:val="center"/>
        <w:rPr>
          <w:rFonts w:ascii="宋体" w:hAnsi="宋体"/>
          <w:color w:val="000000"/>
          <w:sz w:val="24"/>
        </w:rPr>
      </w:pPr>
      <w:r>
        <w:drawing>
          <wp:inline distT="0" distB="0" distL="0" distR="0">
            <wp:extent cx="5027930" cy="2191385"/>
            <wp:effectExtent l="0" t="0" r="127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7</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专业关注度</w:t>
      </w:r>
    </w:p>
    <w:p>
      <w:pPr>
        <w:ind w:firstLine="482"/>
        <w:outlineLvl w:val="2"/>
        <w:rPr>
          <w:rFonts w:cs="Times New Roman"/>
          <w:b/>
          <w:bCs/>
          <w:color w:val="005099"/>
          <w:sz w:val="24"/>
        </w:rPr>
      </w:pPr>
      <w:bookmarkStart w:id="89" w:name="_Toc90288265"/>
      <w:r>
        <w:rPr>
          <w:rFonts w:hint="eastAsia" w:cs="Times New Roman"/>
          <w:b/>
          <w:bCs/>
          <w:color w:val="005099"/>
          <w:sz w:val="24"/>
        </w:rPr>
        <w:t>（四）招聘遇到的困难</w:t>
      </w:r>
      <w:bookmarkEnd w:id="89"/>
    </w:p>
    <w:p>
      <w:pPr>
        <w:ind w:firstLine="420"/>
        <w:rPr>
          <w:rFonts w:cs="Times New Roman"/>
          <w:szCs w:val="21"/>
        </w:rPr>
      </w:pPr>
      <w:r>
        <w:rPr>
          <w:rFonts w:cs="Times New Roman"/>
          <w:szCs w:val="21"/>
        </w:rPr>
        <w:t>用人单位认为</w:t>
      </w:r>
      <w:r>
        <w:rPr>
          <w:rFonts w:hint="eastAsia" w:cs="Times New Roman"/>
          <w:szCs w:val="21"/>
        </w:rPr>
        <w:t>2</w:t>
      </w:r>
      <w:r>
        <w:rPr>
          <w:rFonts w:cs="Times New Roman"/>
          <w:szCs w:val="21"/>
        </w:rPr>
        <w:t>021</w:t>
      </w:r>
      <w:r>
        <w:rPr>
          <w:rFonts w:hint="eastAsia" w:cs="Times New Roman"/>
          <w:szCs w:val="21"/>
        </w:rPr>
        <w:t>年招聘工作中遇到的较多的困难主要有求职人员减少（</w:t>
      </w:r>
      <w:r>
        <w:rPr>
          <w:rFonts w:cs="Times New Roman"/>
          <w:szCs w:val="21"/>
        </w:rPr>
        <w:t>27.09%</w:t>
      </w:r>
      <w:r>
        <w:rPr>
          <w:rFonts w:hint="eastAsia" w:cs="Times New Roman"/>
          <w:szCs w:val="21"/>
        </w:rPr>
        <w:t>）、符合岗位要求的应聘者减少（</w:t>
      </w:r>
      <w:r>
        <w:rPr>
          <w:rFonts w:cs="Times New Roman"/>
          <w:szCs w:val="21"/>
        </w:rPr>
        <w:t>19.52%</w:t>
      </w:r>
      <w:r>
        <w:rPr>
          <w:rFonts w:hint="eastAsia" w:cs="Times New Roman"/>
          <w:szCs w:val="21"/>
        </w:rPr>
        <w:t>），求职人员面试的到约吕极低占比</w:t>
      </w:r>
      <w:r>
        <w:rPr>
          <w:rFonts w:cs="Times New Roman"/>
          <w:szCs w:val="21"/>
        </w:rPr>
        <w:t>9.40%</w:t>
      </w:r>
      <w:r>
        <w:rPr>
          <w:rFonts w:hint="eastAsia" w:cs="Times New Roman"/>
          <w:szCs w:val="21"/>
        </w:rPr>
        <w:t>。总体来看，用人单位认为今年招聘难度增加。</w:t>
      </w:r>
    </w:p>
    <w:p>
      <w:pPr>
        <w:spacing w:line="300" w:lineRule="auto"/>
        <w:ind w:firstLine="0" w:firstLineChars="0"/>
        <w:jc w:val="center"/>
        <w:rPr>
          <w:rFonts w:ascii="宋体" w:hAnsi="宋体"/>
          <w:color w:val="000000"/>
          <w:sz w:val="24"/>
        </w:rPr>
      </w:pPr>
      <w:r>
        <w:drawing>
          <wp:inline distT="0" distB="0" distL="0" distR="0">
            <wp:extent cx="5061585" cy="2535555"/>
            <wp:effectExtent l="0" t="0" r="5715" b="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8</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招聘遇到的困难</w:t>
      </w:r>
    </w:p>
    <w:p>
      <w:pPr>
        <w:spacing w:line="300" w:lineRule="auto"/>
        <w:ind w:firstLine="900" w:firstLineChars="375"/>
        <w:rPr>
          <w:rFonts w:ascii="宋体" w:hAnsi="宋体"/>
          <w:color w:val="000000"/>
          <w:sz w:val="24"/>
        </w:rPr>
      </w:pPr>
    </w:p>
    <w:p>
      <w:pPr>
        <w:ind w:firstLine="602"/>
        <w:outlineLvl w:val="1"/>
        <w:rPr>
          <w:rFonts w:cs="Times New Roman"/>
          <w:b/>
          <w:bCs/>
          <w:color w:val="005099"/>
          <w:sz w:val="30"/>
          <w:szCs w:val="30"/>
        </w:rPr>
      </w:pPr>
      <w:bookmarkStart w:id="90" w:name="_Toc90288266"/>
      <w:r>
        <w:rPr>
          <w:rFonts w:hint="eastAsia" w:cs="Times New Roman"/>
          <w:b/>
          <w:bCs/>
          <w:color w:val="005099"/>
          <w:sz w:val="30"/>
          <w:szCs w:val="30"/>
        </w:rPr>
        <w:t>三、聘用评价</w:t>
      </w:r>
      <w:bookmarkEnd w:id="90"/>
    </w:p>
    <w:p>
      <w:pPr>
        <w:ind w:firstLine="482"/>
        <w:outlineLvl w:val="2"/>
        <w:rPr>
          <w:rFonts w:cs="Times New Roman"/>
          <w:b/>
          <w:bCs/>
          <w:color w:val="005099"/>
          <w:sz w:val="24"/>
        </w:rPr>
      </w:pPr>
      <w:bookmarkStart w:id="91" w:name="_Toc90288267"/>
      <w:r>
        <w:rPr>
          <w:rFonts w:hint="eastAsia" w:cs="Times New Roman"/>
          <w:b/>
          <w:bCs/>
          <w:color w:val="005099"/>
          <w:sz w:val="24"/>
        </w:rPr>
        <w:t>（一）对毕业生满意度</w:t>
      </w:r>
      <w:bookmarkEnd w:id="91"/>
    </w:p>
    <w:p>
      <w:pPr>
        <w:ind w:firstLine="420"/>
        <w:rPr>
          <w:rFonts w:cs="Times New Roman"/>
          <w:szCs w:val="21"/>
        </w:rPr>
      </w:pPr>
      <w:r>
        <w:rPr>
          <w:rFonts w:hint="eastAsia" w:cs="Times New Roman"/>
          <w:szCs w:val="21"/>
        </w:rPr>
        <w:t>用人单位对我校毕业生整体评价的满意度为</w:t>
      </w:r>
      <w:r>
        <w:rPr>
          <w:rFonts w:cs="Times New Roman"/>
          <w:szCs w:val="21"/>
        </w:rPr>
        <w:t>100</w:t>
      </w:r>
      <w:r>
        <w:rPr>
          <w:rFonts w:hint="eastAsia" w:cs="Times New Roman"/>
          <w:szCs w:val="21"/>
        </w:rPr>
        <w:t>%，非常满意为</w:t>
      </w:r>
      <w:r>
        <w:rPr>
          <w:rFonts w:cs="Times New Roman"/>
          <w:szCs w:val="21"/>
        </w:rPr>
        <w:t>50.98%</w:t>
      </w:r>
      <w:r>
        <w:rPr>
          <w:rFonts w:hint="eastAsia" w:cs="Times New Roman"/>
          <w:szCs w:val="21"/>
        </w:rPr>
        <w:t>，满意的为3</w:t>
      </w:r>
      <w:r>
        <w:rPr>
          <w:rFonts w:cs="Times New Roman"/>
          <w:szCs w:val="21"/>
        </w:rPr>
        <w:t>1.37</w:t>
      </w:r>
      <w:r>
        <w:rPr>
          <w:rFonts w:hint="eastAsia" w:cs="Times New Roman"/>
          <w:szCs w:val="21"/>
        </w:rPr>
        <w:t>%，整体评价比较高。</w:t>
      </w:r>
    </w:p>
    <w:p>
      <w:pPr>
        <w:spacing w:line="300" w:lineRule="auto"/>
        <w:ind w:firstLine="0" w:firstLineChars="0"/>
        <w:jc w:val="center"/>
        <w:rPr>
          <w:rFonts w:ascii="宋体" w:hAnsi="宋体"/>
          <w:color w:val="000000"/>
          <w:sz w:val="24"/>
        </w:rPr>
      </w:pPr>
      <w:r>
        <w:drawing>
          <wp:inline distT="0" distB="0" distL="0" distR="0">
            <wp:extent cx="5129530" cy="2256155"/>
            <wp:effectExtent l="0" t="0" r="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9</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用人单位对我校毕业生满意度</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92" w:name="_Toc90288268"/>
      <w:r>
        <w:rPr>
          <w:rFonts w:hint="eastAsia" w:cs="Times New Roman"/>
          <w:b/>
          <w:bCs/>
          <w:color w:val="005099"/>
          <w:sz w:val="24"/>
        </w:rPr>
        <w:t>（二）毕业生岗位胜任力评价</w:t>
      </w:r>
      <w:bookmarkEnd w:id="92"/>
    </w:p>
    <w:p>
      <w:pPr>
        <w:pStyle w:val="5"/>
      </w:pPr>
      <w:r>
        <w:rPr>
          <w:rFonts w:hint="eastAsia"/>
        </w:rPr>
        <w:t>1.岗位适应时间</w:t>
      </w:r>
    </w:p>
    <w:p>
      <w:pPr>
        <w:ind w:firstLine="480"/>
        <w:rPr>
          <w:rFonts w:cs="Times New Roman"/>
          <w:sz w:val="24"/>
        </w:rPr>
      </w:pPr>
      <w:r>
        <w:rPr>
          <w:rFonts w:hint="eastAsia" w:cs="Times New Roman"/>
          <w:sz w:val="24"/>
        </w:rPr>
        <w:t>超九成用人单位认为毕业生适应岗位时间在半年内，其中，适应岗位时间在3个月以内的占比</w:t>
      </w:r>
      <w:r>
        <w:rPr>
          <w:rFonts w:cs="Times New Roman"/>
          <w:sz w:val="24"/>
        </w:rPr>
        <w:t>54.90%</w:t>
      </w:r>
      <w:r>
        <w:rPr>
          <w:rFonts w:hint="eastAsia" w:cs="Times New Roman"/>
          <w:sz w:val="24"/>
        </w:rPr>
        <w:t>，适应岗位时间在3-</w:t>
      </w:r>
      <w:r>
        <w:rPr>
          <w:rFonts w:cs="Times New Roman"/>
          <w:sz w:val="24"/>
        </w:rPr>
        <w:t>6</w:t>
      </w:r>
      <w:r>
        <w:rPr>
          <w:rFonts w:hint="eastAsia" w:cs="Times New Roman"/>
          <w:sz w:val="24"/>
        </w:rPr>
        <w:t>月以内的占比</w:t>
      </w:r>
      <w:r>
        <w:rPr>
          <w:rFonts w:cs="Times New Roman"/>
          <w:sz w:val="24"/>
        </w:rPr>
        <w:t>43.14%</w:t>
      </w:r>
      <w:r>
        <w:rPr>
          <w:rFonts w:hint="eastAsia" w:cs="Times New Roman"/>
          <w:sz w:val="24"/>
        </w:rPr>
        <w:t>。</w:t>
      </w:r>
    </w:p>
    <w:p>
      <w:pPr>
        <w:spacing w:line="300" w:lineRule="auto"/>
        <w:ind w:firstLine="0" w:firstLineChars="0"/>
        <w:jc w:val="center"/>
      </w:pPr>
      <w:r>
        <w:drawing>
          <wp:inline distT="0" distB="0" distL="0" distR="0">
            <wp:extent cx="5264150" cy="2275205"/>
            <wp:effectExtent l="0" t="0" r="0" b="0"/>
            <wp:docPr id="63"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10</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岗位适应时间</w:t>
      </w:r>
    </w:p>
    <w:p>
      <w:pPr>
        <w:spacing w:line="300" w:lineRule="auto"/>
        <w:ind w:firstLine="1380" w:firstLineChars="575"/>
        <w:rPr>
          <w:rFonts w:ascii="宋体" w:hAnsi="宋体"/>
          <w:color w:val="000000"/>
          <w:sz w:val="24"/>
        </w:rPr>
      </w:pPr>
    </w:p>
    <w:p>
      <w:pPr>
        <w:pStyle w:val="5"/>
      </w:pPr>
      <w:r>
        <w:rPr>
          <w:rFonts w:hint="eastAsia"/>
        </w:rPr>
        <w:t>2.毕业生各项能力评价</w:t>
      </w:r>
    </w:p>
    <w:p>
      <w:pPr>
        <w:ind w:firstLine="480"/>
        <w:rPr>
          <w:rFonts w:cs="Times New Roman"/>
          <w:sz w:val="24"/>
        </w:rPr>
      </w:pPr>
      <w:r>
        <w:rPr>
          <w:rFonts w:hint="eastAsia" w:cs="Times New Roman"/>
          <w:sz w:val="24"/>
        </w:rPr>
        <w:t>202</w:t>
      </w:r>
      <w:r>
        <w:rPr>
          <w:rFonts w:cs="Times New Roman"/>
          <w:sz w:val="24"/>
        </w:rPr>
        <w:t>1</w:t>
      </w:r>
      <w:r>
        <w:rPr>
          <w:rFonts w:hint="eastAsia" w:cs="Times New Roman"/>
          <w:sz w:val="24"/>
        </w:rPr>
        <w:t>届毕业生的规模有所上升，</w:t>
      </w:r>
      <w:r>
        <w:rPr>
          <w:rFonts w:hint="eastAsia" w:cs="Times New Roman"/>
          <w:szCs w:val="21"/>
        </w:rPr>
        <w:t>用人单位对毕业生的20项工作能力的评价满意度均超过4</w:t>
      </w:r>
      <w:r>
        <w:rPr>
          <w:rFonts w:cs="Times New Roman"/>
          <w:szCs w:val="21"/>
        </w:rPr>
        <w:t>.1</w:t>
      </w:r>
      <w:r>
        <w:rPr>
          <w:rFonts w:hint="eastAsia" w:cs="Times New Roman"/>
          <w:szCs w:val="21"/>
        </w:rPr>
        <w:t>分（满分5分），评价较高的为人际沟通能力（4</w:t>
      </w:r>
      <w:r>
        <w:rPr>
          <w:rFonts w:cs="Times New Roman"/>
          <w:szCs w:val="21"/>
        </w:rPr>
        <w:t>.43</w:t>
      </w:r>
      <w:r>
        <w:rPr>
          <w:rFonts w:hint="eastAsia" w:cs="Times New Roman"/>
          <w:szCs w:val="21"/>
        </w:rPr>
        <w:t>分）、学习能力（4</w:t>
      </w:r>
      <w:r>
        <w:rPr>
          <w:rFonts w:cs="Times New Roman"/>
          <w:szCs w:val="21"/>
        </w:rPr>
        <w:t>.41</w:t>
      </w:r>
      <w:r>
        <w:rPr>
          <w:rFonts w:hint="eastAsia" w:cs="Times New Roman"/>
          <w:szCs w:val="21"/>
        </w:rPr>
        <w:t>分）、责任心（4</w:t>
      </w:r>
      <w:r>
        <w:rPr>
          <w:rFonts w:cs="Times New Roman"/>
          <w:szCs w:val="21"/>
        </w:rPr>
        <w:t>.41</w:t>
      </w:r>
      <w:r>
        <w:rPr>
          <w:rFonts w:hint="eastAsia" w:cs="Times New Roman"/>
          <w:szCs w:val="21"/>
        </w:rPr>
        <w:t>分）和职业道德（4</w:t>
      </w:r>
      <w:r>
        <w:rPr>
          <w:rFonts w:cs="Times New Roman"/>
          <w:szCs w:val="21"/>
        </w:rPr>
        <w:t>.41</w:t>
      </w:r>
      <w:r>
        <w:rPr>
          <w:rFonts w:hint="eastAsia" w:cs="Times New Roman"/>
          <w:szCs w:val="21"/>
        </w:rPr>
        <w:t>分）。</w:t>
      </w:r>
    </w:p>
    <w:p>
      <w:pPr>
        <w:spacing w:line="300" w:lineRule="auto"/>
        <w:ind w:firstLine="0" w:firstLineChars="0"/>
        <w:rPr>
          <w:rFonts w:ascii="宋体" w:hAnsi="宋体"/>
          <w:color w:val="000000"/>
          <w:sz w:val="24"/>
        </w:rPr>
      </w:pPr>
      <w:r>
        <w:drawing>
          <wp:inline distT="0" distB="0" distL="0" distR="0">
            <wp:extent cx="5274310" cy="3330575"/>
            <wp:effectExtent l="0" t="0" r="2540" b="317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11</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毕业生各项能力评价</w:t>
      </w:r>
    </w:p>
    <w:p>
      <w:pPr>
        <w:spacing w:line="300" w:lineRule="auto"/>
        <w:ind w:firstLine="0" w:firstLineChars="0"/>
        <w:rPr>
          <w:rFonts w:ascii="宋体" w:hAnsi="宋体"/>
          <w:color w:val="000000"/>
          <w:sz w:val="24"/>
        </w:rPr>
      </w:pPr>
    </w:p>
    <w:p>
      <w:pPr>
        <w:ind w:firstLine="602"/>
        <w:outlineLvl w:val="1"/>
        <w:rPr>
          <w:rFonts w:cs="Times New Roman"/>
          <w:b/>
          <w:bCs/>
          <w:color w:val="005099"/>
          <w:sz w:val="30"/>
          <w:szCs w:val="30"/>
        </w:rPr>
      </w:pPr>
      <w:bookmarkStart w:id="93" w:name="_Toc90288269"/>
      <w:r>
        <w:rPr>
          <w:rFonts w:hint="eastAsia" w:cs="Times New Roman"/>
          <w:b/>
          <w:bCs/>
          <w:color w:val="005099"/>
          <w:sz w:val="30"/>
          <w:szCs w:val="30"/>
        </w:rPr>
        <w:t>四、就业服务评价</w:t>
      </w:r>
      <w:bookmarkEnd w:id="93"/>
    </w:p>
    <w:p>
      <w:pPr>
        <w:ind w:firstLine="482"/>
        <w:outlineLvl w:val="2"/>
        <w:rPr>
          <w:rFonts w:cs="Times New Roman"/>
          <w:b/>
          <w:bCs/>
          <w:color w:val="005099"/>
          <w:sz w:val="24"/>
        </w:rPr>
      </w:pPr>
      <w:bookmarkStart w:id="94" w:name="_Toc90288270"/>
      <w:r>
        <w:rPr>
          <w:rFonts w:hint="eastAsia" w:cs="Times New Roman"/>
          <w:b/>
          <w:bCs/>
          <w:color w:val="005099"/>
          <w:sz w:val="24"/>
        </w:rPr>
        <w:t>（一）就业服务总体满意度</w:t>
      </w:r>
      <w:bookmarkEnd w:id="94"/>
    </w:p>
    <w:p>
      <w:pPr>
        <w:ind w:firstLine="420"/>
        <w:rPr>
          <w:rFonts w:cs="Times New Roman"/>
          <w:szCs w:val="21"/>
        </w:rPr>
      </w:pPr>
      <w:r>
        <w:rPr>
          <w:rFonts w:hint="eastAsia" w:cs="Times New Roman"/>
          <w:szCs w:val="21"/>
        </w:rPr>
        <w:t>用人单位对我校就业工作满意度较高达到</w:t>
      </w:r>
      <w:r>
        <w:rPr>
          <w:rFonts w:cs="Times New Roman"/>
          <w:szCs w:val="21"/>
        </w:rPr>
        <w:t>97.96</w:t>
      </w:r>
      <w:r>
        <w:rPr>
          <w:rFonts w:hint="eastAsia" w:cs="Times New Roman"/>
          <w:szCs w:val="21"/>
        </w:rPr>
        <w:t>%，其中非常满意的单位占比</w:t>
      </w:r>
      <w:r>
        <w:rPr>
          <w:rFonts w:cs="Times New Roman"/>
          <w:szCs w:val="21"/>
        </w:rPr>
        <w:t>53.06%</w:t>
      </w:r>
      <w:r>
        <w:rPr>
          <w:rFonts w:hint="eastAsia" w:cs="Times New Roman"/>
          <w:szCs w:val="21"/>
        </w:rPr>
        <w:t>，满意的单位为3</w:t>
      </w:r>
      <w:r>
        <w:rPr>
          <w:rFonts w:cs="Times New Roman"/>
          <w:szCs w:val="21"/>
        </w:rPr>
        <w:t>3.33</w:t>
      </w:r>
      <w:r>
        <w:rPr>
          <w:rFonts w:hint="eastAsia" w:cs="Times New Roman"/>
          <w:szCs w:val="21"/>
        </w:rPr>
        <w:t>%，总体评价较高。</w:t>
      </w:r>
    </w:p>
    <w:p>
      <w:pPr>
        <w:spacing w:line="300" w:lineRule="auto"/>
        <w:ind w:firstLine="0" w:firstLineChars="0"/>
        <w:jc w:val="center"/>
        <w:rPr>
          <w:rFonts w:ascii="宋体" w:hAnsi="宋体"/>
          <w:color w:val="000000"/>
          <w:sz w:val="24"/>
        </w:rPr>
      </w:pPr>
      <w:r>
        <w:drawing>
          <wp:inline distT="0" distB="0" distL="0" distR="0">
            <wp:extent cx="5027930" cy="2206625"/>
            <wp:effectExtent l="0" t="0" r="1270" b="3175"/>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12</w:t>
      </w:r>
      <w:r>
        <w:rPr>
          <w:rFonts w:eastAsia="黑体" w:cs="Times New Roman"/>
          <w:sz w:val="18"/>
          <w:szCs w:val="18"/>
        </w:rPr>
        <w:fldChar w:fldCharType="end"/>
      </w:r>
      <w:r>
        <w:rPr>
          <w:rFonts w:eastAsia="黑体" w:cs="Times New Roman"/>
          <w:sz w:val="18"/>
          <w:szCs w:val="18"/>
        </w:rPr>
        <w:t xml:space="preserve"> </w:t>
      </w:r>
      <w:r>
        <w:rPr>
          <w:rFonts w:hint="eastAsia" w:eastAsia="黑体" w:cs="Times New Roman"/>
          <w:sz w:val="18"/>
          <w:szCs w:val="18"/>
        </w:rPr>
        <w:t>用人单位对我校就业工作满意度</w:t>
      </w:r>
    </w:p>
    <w:p>
      <w:pPr>
        <w:spacing w:line="300" w:lineRule="auto"/>
        <w:ind w:firstLine="900" w:firstLineChars="375"/>
        <w:rPr>
          <w:rFonts w:ascii="宋体" w:hAnsi="宋体"/>
          <w:color w:val="000000"/>
          <w:sz w:val="24"/>
        </w:rPr>
      </w:pPr>
    </w:p>
    <w:p>
      <w:pPr>
        <w:ind w:firstLine="482"/>
        <w:outlineLvl w:val="2"/>
        <w:rPr>
          <w:rFonts w:cs="Times New Roman"/>
          <w:b/>
          <w:bCs/>
          <w:color w:val="005099"/>
          <w:sz w:val="24"/>
        </w:rPr>
      </w:pPr>
      <w:bookmarkStart w:id="95" w:name="_Toc90288271"/>
      <w:r>
        <w:rPr>
          <w:rFonts w:hint="eastAsia" w:cs="Times New Roman"/>
          <w:b/>
          <w:bCs/>
          <w:color w:val="005099"/>
          <w:sz w:val="24"/>
        </w:rPr>
        <w:t>（二）各项就业服务满意度、重要性</w:t>
      </w:r>
      <w:bookmarkEnd w:id="95"/>
    </w:p>
    <w:p>
      <w:pPr>
        <w:ind w:firstLine="420"/>
        <w:rPr>
          <w:rFonts w:cs="Times New Roman"/>
          <w:szCs w:val="21"/>
        </w:rPr>
      </w:pPr>
      <w:r>
        <w:rPr>
          <w:rFonts w:cs="Times New Roman"/>
          <w:szCs w:val="21"/>
        </w:rPr>
        <w:t>用人单位认为我校各项就业服务工作的重要性都比较高，</w:t>
      </w:r>
      <w:r>
        <w:rPr>
          <w:rFonts w:hint="eastAsia" w:cs="Times New Roman"/>
          <w:szCs w:val="21"/>
        </w:rPr>
        <w:t>平</w:t>
      </w:r>
      <w:r>
        <w:rPr>
          <w:rFonts w:cs="Times New Roman"/>
          <w:szCs w:val="21"/>
        </w:rPr>
        <w:t>均超过4.4分（满分5分）；在满意度方面，评分均超过4.1分。</w:t>
      </w:r>
      <w:r>
        <w:rPr>
          <w:rFonts w:hint="eastAsia" w:cs="Times New Roman"/>
          <w:szCs w:val="21"/>
        </w:rPr>
        <w:t>基本上所有维度满意度均高于重要性，满意度最高的为招聘会场地安排，满意度为4</w:t>
      </w:r>
      <w:r>
        <w:rPr>
          <w:rFonts w:cs="Times New Roman"/>
          <w:szCs w:val="21"/>
        </w:rPr>
        <w:t>.52，用人单位表示了对我校就业服务工作的高度认可。</w:t>
      </w:r>
    </w:p>
    <w:p>
      <w:pPr>
        <w:spacing w:line="300" w:lineRule="auto"/>
        <w:ind w:firstLine="0" w:firstLineChars="0"/>
        <w:rPr>
          <w:rFonts w:ascii="宋体" w:hAnsi="宋体"/>
          <w:color w:val="000000"/>
          <w:sz w:val="24"/>
        </w:rPr>
      </w:pPr>
      <w:r>
        <w:drawing>
          <wp:inline distT="0" distB="0" distL="0" distR="0">
            <wp:extent cx="5274310" cy="3665220"/>
            <wp:effectExtent l="0" t="0" r="254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line="300" w:lineRule="auto"/>
        <w:ind w:firstLine="0" w:firstLineChars="0"/>
        <w:jc w:val="center"/>
        <w:rPr>
          <w:rFonts w:eastAsia="黑体" w:cs="Times New Roman"/>
          <w:sz w:val="18"/>
          <w:szCs w:val="18"/>
        </w:rPr>
      </w:pPr>
      <w:r>
        <w:rPr>
          <w:rFonts w:hint="eastAsia" w:eastAsia="黑体" w:cs="Times New Roman"/>
          <w:sz w:val="18"/>
          <w:szCs w:val="18"/>
        </w:rPr>
        <w:t xml:space="preserve">图6- </w:t>
      </w:r>
      <w:r>
        <w:rPr>
          <w:rFonts w:eastAsia="黑体" w:cs="Times New Roman"/>
          <w:sz w:val="18"/>
          <w:szCs w:val="18"/>
        </w:rPr>
        <w:fldChar w:fldCharType="begin"/>
      </w:r>
      <w:r>
        <w:rPr>
          <w:rFonts w:eastAsia="黑体" w:cs="Times New Roman"/>
          <w:sz w:val="18"/>
          <w:szCs w:val="18"/>
        </w:rPr>
        <w:instrText xml:space="preserve"> </w:instrText>
      </w:r>
      <w:r>
        <w:rPr>
          <w:rFonts w:hint="eastAsia" w:eastAsia="黑体" w:cs="Times New Roman"/>
          <w:sz w:val="18"/>
          <w:szCs w:val="18"/>
        </w:rPr>
        <w:instrText xml:space="preserve">SEQ 图6- \* ARABIC</w:instrText>
      </w:r>
      <w:r>
        <w:rPr>
          <w:rFonts w:eastAsia="黑体" w:cs="Times New Roman"/>
          <w:sz w:val="18"/>
          <w:szCs w:val="18"/>
        </w:rPr>
        <w:instrText xml:space="preserve"> </w:instrText>
      </w:r>
      <w:r>
        <w:rPr>
          <w:rFonts w:eastAsia="黑体" w:cs="Times New Roman"/>
          <w:sz w:val="18"/>
          <w:szCs w:val="18"/>
        </w:rPr>
        <w:fldChar w:fldCharType="separate"/>
      </w:r>
      <w:r>
        <w:rPr>
          <w:rFonts w:eastAsia="黑体" w:cs="Times New Roman"/>
          <w:sz w:val="18"/>
          <w:szCs w:val="18"/>
        </w:rPr>
        <w:t>13</w:t>
      </w:r>
      <w:r>
        <w:rPr>
          <w:rFonts w:eastAsia="黑体" w:cs="Times New Roman"/>
          <w:sz w:val="18"/>
          <w:szCs w:val="18"/>
        </w:rPr>
        <w:fldChar w:fldCharType="end"/>
      </w:r>
      <w:r>
        <w:rPr>
          <w:rFonts w:eastAsia="黑体" w:cs="Times New Roman"/>
          <w:sz w:val="18"/>
          <w:szCs w:val="18"/>
        </w:rPr>
        <w:t xml:space="preserve"> 用人单位</w:t>
      </w:r>
      <w:r>
        <w:rPr>
          <w:rFonts w:hint="eastAsia" w:eastAsia="黑体" w:cs="Times New Roman"/>
          <w:sz w:val="18"/>
          <w:szCs w:val="18"/>
        </w:rPr>
        <w:t>对我校各项就业服务满意度、重要性</w:t>
      </w:r>
    </w:p>
    <w:p>
      <w:pPr>
        <w:spacing w:line="300" w:lineRule="auto"/>
        <w:ind w:firstLine="0" w:firstLineChars="0"/>
        <w:rPr>
          <w:rFonts w:ascii="宋体" w:hAnsi="宋体"/>
          <w:color w:val="000000"/>
          <w:sz w:val="24"/>
        </w:rPr>
        <w:sectPr>
          <w:pgSz w:w="11906" w:h="16838"/>
          <w:pgMar w:top="1440" w:right="1800" w:bottom="1440" w:left="1800"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96" w:name="_Toc90288272"/>
      <w:r>
        <w:rPr>
          <w:rFonts w:hint="eastAsia" w:ascii="宋体" w:hAnsi="宋体"/>
          <w:b/>
          <w:bCs/>
          <w:color w:val="FFFFFF" w:themeColor="background1"/>
          <w:sz w:val="32"/>
          <w:szCs w:val="32"/>
          <w14:textFill>
            <w14:solidFill>
              <w14:schemeClr w14:val="bg1"/>
            </w14:solidFill>
          </w14:textFill>
        </w:rPr>
        <w:t>第七章 就业创业工作举措</w:t>
      </w:r>
      <w:bookmarkEnd w:id="96"/>
    </w:p>
    <w:p>
      <w:pPr>
        <w:ind w:firstLine="428"/>
        <w:rPr>
          <w:rFonts w:ascii="宋体" w:hAnsi="宋体" w:cs="宋体"/>
          <w:spacing w:val="-13"/>
          <w:kern w:val="0"/>
          <w:sz w:val="24"/>
        </w:rPr>
      </w:pPr>
      <w:r>
        <w:rPr>
          <w:rFonts w:hint="eastAsia" w:ascii="宋体" w:hAnsi="宋体" w:cs="宋体"/>
          <w:spacing w:val="-13"/>
          <w:kern w:val="0"/>
          <w:sz w:val="24"/>
        </w:rPr>
        <w:t>党的十九届五中全会指出，要强化就业优先政策，千方百计稳定和扩大就业，完善重点群体就业支持体系。2021年，面对复杂严峻的就业形势，我校党政领导高度重视就业创业工作，全面落实就业创业工作“一把手工程”的要求，深入学习领会习近平总书记有关做好就业工作的重要指示批示精神，认真贯彻落实党中央、国务院决策部署和“六稳”、“六保”具体举措，按照教育部、天津市教委有关工作要求，高度重视、统筹资源、压实责任、细化指导、强化帮扶，全力促进2021届毕业生高质量更充分就业。</w:t>
      </w:r>
    </w:p>
    <w:p>
      <w:pPr>
        <w:ind w:firstLine="602"/>
        <w:outlineLvl w:val="1"/>
        <w:rPr>
          <w:rFonts w:cs="Times New Roman"/>
          <w:b/>
          <w:bCs/>
          <w:color w:val="005099"/>
          <w:sz w:val="30"/>
          <w:szCs w:val="30"/>
        </w:rPr>
      </w:pPr>
      <w:bookmarkStart w:id="97" w:name="_Toc90288273"/>
      <w:r>
        <w:rPr>
          <w:rFonts w:hint="eastAsia" w:cs="Times New Roman"/>
          <w:b/>
          <w:bCs/>
          <w:color w:val="005099"/>
          <w:sz w:val="30"/>
          <w:szCs w:val="30"/>
        </w:rPr>
        <w:t>一、提高政治站位，夯实工作责任</w:t>
      </w:r>
      <w:bookmarkEnd w:id="97"/>
    </w:p>
    <w:p>
      <w:pPr>
        <w:ind w:firstLine="420"/>
        <w:rPr>
          <w:rFonts w:cs="Times New Roman"/>
          <w:szCs w:val="21"/>
        </w:rPr>
      </w:pPr>
      <w:r>
        <w:rPr>
          <w:rFonts w:hint="eastAsia" w:cs="Times New Roman"/>
          <w:szCs w:val="21"/>
        </w:rPr>
        <w:t>受中美经贸摩擦、新冠肺炎疫情、经济增速放缓等叠加因素影响，我校2021届毕业生就业压力显著增大，学校从全局和战略高度充分认识做好毕业生就业工作的重大意义，将“稳就业、保民生”作为一项政治任务来抓。学校党政领导积极落实上级对毕业生就业工作的各项部署，切实增强做好毕业生就业工作的责任感、紧迫感。学校的各级各部门形成一个完善的就业工作体系，并将就业工作纳入学校整体发展规划。建立健全学校两级就业组织机构体系，形成全员参与就业工作格局。成立了学校、二级学院两级的毕业生就业工作领导小组，实行目标责任制，建立健全就业工作考核奖惩机制，下发了《天津天狮学院就业工作先进集体与先进个人评选办法》，充分调动教职工参与就业工作的积极性。发挥班子成员引导和带头作用，研究、解决毕业生就业工作中存在的问题和困难。不定期召开专题会议研究如何针对存在的问题、困难，拿出切实有效办法，将就业目标层层分解，拿出切实可行的措施，进一步明确责任，工作重心下移，精准施策，形成全校上下统一思想、一致重视、相互配合、全员参与就业的良好局面，保障2021届毕业生就业工作顺利开展。</w:t>
      </w:r>
    </w:p>
    <w:p>
      <w:pPr>
        <w:ind w:firstLine="602"/>
        <w:outlineLvl w:val="1"/>
        <w:rPr>
          <w:rFonts w:cs="Times New Roman"/>
          <w:b/>
          <w:bCs/>
          <w:color w:val="005099"/>
          <w:sz w:val="30"/>
          <w:szCs w:val="30"/>
        </w:rPr>
      </w:pPr>
      <w:bookmarkStart w:id="98" w:name="_Toc90288274"/>
      <w:r>
        <w:rPr>
          <w:rFonts w:hint="eastAsia" w:cs="Times New Roman"/>
          <w:b/>
          <w:bCs/>
          <w:color w:val="005099"/>
          <w:sz w:val="30"/>
          <w:szCs w:val="30"/>
        </w:rPr>
        <w:t>二、加强数据核查，做好精准跟踪</w:t>
      </w:r>
      <w:bookmarkEnd w:id="98"/>
    </w:p>
    <w:p>
      <w:pPr>
        <w:ind w:firstLine="420"/>
        <w:rPr>
          <w:rFonts w:cs="Times New Roman"/>
          <w:szCs w:val="21"/>
        </w:rPr>
      </w:pPr>
      <w:r>
        <w:rPr>
          <w:rFonts w:hint="eastAsia" w:cs="Times New Roman"/>
          <w:szCs w:val="21"/>
        </w:rPr>
        <w:t>学校出台了《毕业生质量跟踪调查制度》，对毕业生进行跟踪调查，分析调研结果并反馈，改进教育教学工作。为加强毕业生社会需求与培养质量跟踪评价研究，提升就业服务质量，2021年与云研合作，在上报就业信息的基础上开展毕业生就业质量调研，由专业的第三方公司对我校毕业生就业质量进行调研，形成专业就业质量年报，以详实科学的数据支撑指导我校的就业服务工作。学校贯彻落实《教育部办公厅关于纠正高校毕业生就业统计违规行为 持续做好就业创业工作的通知》要求，签订了《天津天狮学院2021年二级学院就业统计工作责任书》，严格落实“四不准”要求，完善就业统计核查工作领导责任制和工作责任制，确保毕业生就业数据的真实、准确、规范。</w:t>
      </w:r>
    </w:p>
    <w:p>
      <w:pPr>
        <w:ind w:firstLine="602"/>
        <w:outlineLvl w:val="1"/>
        <w:rPr>
          <w:rFonts w:cs="Times New Roman"/>
          <w:b/>
          <w:bCs/>
          <w:color w:val="005099"/>
          <w:sz w:val="30"/>
          <w:szCs w:val="30"/>
        </w:rPr>
      </w:pPr>
      <w:bookmarkStart w:id="99" w:name="_Toc90288275"/>
      <w:r>
        <w:rPr>
          <w:rFonts w:hint="eastAsia" w:cs="Times New Roman"/>
          <w:b/>
          <w:bCs/>
          <w:color w:val="005099"/>
          <w:sz w:val="30"/>
          <w:szCs w:val="30"/>
        </w:rPr>
        <w:t>三、多措并举，积极推动毕业生就业</w:t>
      </w:r>
      <w:bookmarkEnd w:id="99"/>
    </w:p>
    <w:p>
      <w:pPr>
        <w:ind w:firstLine="420"/>
        <w:rPr>
          <w:rFonts w:cs="Times New Roman"/>
          <w:szCs w:val="21"/>
        </w:rPr>
      </w:pPr>
      <w:r>
        <w:rPr>
          <w:rFonts w:hint="eastAsia" w:cs="Times New Roman"/>
          <w:szCs w:val="21"/>
        </w:rPr>
        <w:t>在疫情的特殊情况下，我校持续开展教育引导，开设就业创业指导公共选修课8门，必修课3门，积极推送网上就业指导课程讲座，帮助毕业生掌握和提升就业技能。招生与就业办公室3月修订《天津天狮学院毕业生就业指导手册》，5月下发了《致2021届毕业生的一封家书》，帮助毕业生了解就业流程及各类手续办理问题。通过就业创业微信公众号和就业网积极推送教育部公益直播课程、各类就业创业指导讲座、求职技巧类信息200余条。</w:t>
      </w:r>
    </w:p>
    <w:p>
      <w:pPr>
        <w:ind w:firstLine="420"/>
        <w:rPr>
          <w:rFonts w:cs="Times New Roman"/>
          <w:szCs w:val="21"/>
        </w:rPr>
      </w:pPr>
      <w:r>
        <w:rPr>
          <w:rFonts w:hint="eastAsia" w:cs="Times New Roman"/>
          <w:szCs w:val="21"/>
        </w:rPr>
        <w:t>持续推动线上招聘的开展，积极搭建用人单位和学生的沟通桥梁，更好地为用人单位输送人才、保障毕业生顺利就业。我校就业指导中心在2020年的11月，2021年的1、2、3、4、5月份共举办了六场线上宣讲会，共计687家企业参会，参与人数575人次。在2021年5月21日举办了一场线下招聘会，共计153家企业参会，提供了427个岗位需求。另外，组织学生参加教育部24365校园招聘服务活动，天津市教委举办的各类网上招聘活动，总体来说，学校为毕业生的就业开辟了广阔空间。</w:t>
      </w:r>
    </w:p>
    <w:p>
      <w:pPr>
        <w:ind w:firstLine="602"/>
        <w:outlineLvl w:val="1"/>
        <w:rPr>
          <w:rFonts w:cs="Times New Roman"/>
          <w:b/>
          <w:bCs/>
          <w:color w:val="005099"/>
          <w:sz w:val="30"/>
          <w:szCs w:val="30"/>
        </w:rPr>
      </w:pPr>
      <w:bookmarkStart w:id="100" w:name="_Toc90288276"/>
      <w:r>
        <w:rPr>
          <w:rFonts w:hint="eastAsia" w:cs="Times New Roman"/>
          <w:b/>
          <w:bCs/>
          <w:color w:val="005099"/>
          <w:sz w:val="30"/>
          <w:szCs w:val="30"/>
        </w:rPr>
        <w:t>四、强化价值引领，响应国家需求</w:t>
      </w:r>
      <w:bookmarkEnd w:id="100"/>
    </w:p>
    <w:p>
      <w:pPr>
        <w:ind w:firstLine="420"/>
        <w:rPr>
          <w:rFonts w:cs="Times New Roman"/>
          <w:szCs w:val="21"/>
        </w:rPr>
      </w:pPr>
      <w:r>
        <w:rPr>
          <w:rFonts w:hint="eastAsia" w:cs="Times New Roman"/>
          <w:szCs w:val="21"/>
        </w:rPr>
        <w:t>我校就业工作部门认真贯彻落实全国普通高等学校毕业生就业创业工作电视电话会议精神，特别是孙春兰、胡春华两位副总理讲话精神，千方百计做好就业工作。同时，带领各二级学院一起，认真学习《关于进一步做好新时代高校毕业生就业创业工作的若干措施》（45条）等政策措施，要求各二级学院分别召开“就业工作动员大会”、“政策宣讲会”等，详细向毕业生介绍天津市的相关就业政策，包括预征入伍、志愿服务西部计划、社区工作者招募等，同时拍摄发布了“大学生村官”、“三支一扶”、“志愿服务西部”三期短视频，使毕业生可以更好地根据自身条件作选择。我校2021届毕业生中，有100多名学生报名志愿服务西部，最终选出8名同学奔赴甘肃，西藏，新疆等地进行志愿服务；有3名同学报名参加和田地区专项招录；另外有3名同学参军入伍。</w:t>
      </w:r>
    </w:p>
    <w:p>
      <w:pPr>
        <w:pStyle w:val="37"/>
        <w:spacing w:line="300" w:lineRule="auto"/>
        <w:ind w:left="1260" w:hanging="420" w:firstLineChars="0"/>
        <w:rPr>
          <w:rFonts w:ascii="宋体" w:hAnsi="宋体" w:eastAsia="宋体"/>
          <w:color w:val="000000"/>
          <w:sz w:val="24"/>
          <w:szCs w:val="24"/>
          <w:u w:val="single"/>
        </w:rPr>
      </w:pPr>
    </w:p>
    <w:p>
      <w:pPr>
        <w:pStyle w:val="37"/>
        <w:spacing w:line="300" w:lineRule="auto"/>
        <w:ind w:left="1260" w:hanging="420" w:firstLineChars="0"/>
        <w:rPr>
          <w:rFonts w:ascii="宋体" w:hAnsi="宋体" w:eastAsia="宋体"/>
          <w:color w:val="000000"/>
          <w:sz w:val="24"/>
          <w:szCs w:val="24"/>
          <w:u w:val="single"/>
        </w:rPr>
        <w:sectPr>
          <w:pgSz w:w="11906" w:h="16838"/>
          <w:pgMar w:top="1440" w:right="1134" w:bottom="1440" w:left="1418" w:header="851" w:footer="992" w:gutter="0"/>
          <w:cols w:space="425" w:num="1"/>
          <w:docGrid w:type="lines" w:linePitch="312" w:charSpace="0"/>
        </w:sectPr>
      </w:pP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101" w:name="_Toc90288277"/>
      <w:r>
        <w:rPr>
          <w:rFonts w:hint="eastAsia" w:ascii="宋体" w:hAnsi="宋体"/>
          <w:b/>
          <w:bCs/>
          <w:color w:val="FFFFFF" w:themeColor="background1"/>
          <w:sz w:val="32"/>
          <w:szCs w:val="32"/>
          <w14:textFill>
            <w14:solidFill>
              <w14:schemeClr w14:val="bg1"/>
            </w14:solidFill>
          </w14:textFill>
        </w:rPr>
        <w:t>第八章 优秀就业毕业生典型案例</w:t>
      </w:r>
      <w:bookmarkEnd w:id="101"/>
    </w:p>
    <w:p>
      <w:pPr>
        <w:ind w:firstLine="482"/>
        <w:outlineLvl w:val="2"/>
        <w:rPr>
          <w:rFonts w:cs="Times New Roman"/>
          <w:b/>
          <w:bCs/>
          <w:color w:val="005099"/>
          <w:sz w:val="24"/>
        </w:rPr>
      </w:pPr>
      <w:bookmarkStart w:id="102" w:name="_Toc90288278"/>
      <w:bookmarkStart w:id="103" w:name="_Toc28111946"/>
      <w:r>
        <w:rPr>
          <w:rFonts w:hint="eastAsia" w:cs="Times New Roman"/>
          <w:b/>
          <w:bCs/>
          <w:color w:val="005099"/>
          <w:sz w:val="24"/>
        </w:rPr>
        <w:t>（一）考研</w:t>
      </w:r>
      <w:bookmarkEnd w:id="102"/>
      <w:bookmarkEnd w:id="103"/>
    </w:p>
    <w:p>
      <w:pPr>
        <w:pStyle w:val="5"/>
      </w:pPr>
      <w:r>
        <w:rPr>
          <w:rFonts w:hint="eastAsia"/>
        </w:rPr>
        <w:t>1.陈贵君，艺术与设计学院，2017级环境设计专业，目前就读于天津师范大学，环境艺术专业方向硕士研究生。</w:t>
      </w:r>
    </w:p>
    <w:p>
      <w:pPr>
        <w:ind w:firstLine="420"/>
        <w:rPr>
          <w:rFonts w:cs="Times New Roman"/>
          <w:szCs w:val="21"/>
        </w:rPr>
      </w:pPr>
      <w:r>
        <w:rPr>
          <w:rFonts w:hint="eastAsia" w:cs="Times New Roman"/>
          <w:szCs w:val="21"/>
        </w:rPr>
        <w:t>该生在校期间担任班级组织委员，积极参加专业比赛，获2019年第二届“津盟杯”家具设计大赛获最佳功能设计奖，2019ACA世界大赛院校赛区决赛一等奖，国青杯第三届艺术设计大赛三等奖：获2017-2018学年校级三等奖学金，2018-2019学年校级三等奖学金，2019-2020学年校级三等奖学金。2018学年“优秀共青团干部”荣誉称号。第二届全国“图书杯”主题图像创意设计大赛（校内评选）荣获优秀奖。</w:t>
      </w:r>
    </w:p>
    <w:p>
      <w:pPr>
        <w:pStyle w:val="5"/>
      </w:pPr>
      <w:r>
        <w:rPr>
          <w:rFonts w:hint="eastAsia"/>
        </w:rPr>
        <w:t>2.李依琳，艺术与设计学院，2017级环境设计专业，目前就读于中国艺术研究院，艺术设计环境陶艺专业硕士研究生。</w:t>
      </w:r>
    </w:p>
    <w:p>
      <w:pPr>
        <w:ind w:firstLine="420"/>
        <w:rPr>
          <w:rFonts w:cs="Times New Roman"/>
          <w:szCs w:val="21"/>
        </w:rPr>
      </w:pPr>
      <w:r>
        <w:rPr>
          <w:rFonts w:hint="eastAsia" w:cs="Times New Roman"/>
          <w:szCs w:val="21"/>
        </w:rPr>
        <w:t>该生在校期间认真学习专业课程，积极配合老师的工作，于2019年6月顺利通过大学生英语四级考试，利用业余时间认真学习考研课程，提供综合素质。</w:t>
      </w:r>
    </w:p>
    <w:p>
      <w:pPr>
        <w:pStyle w:val="5"/>
      </w:pPr>
      <w:r>
        <w:rPr>
          <w:rFonts w:hint="eastAsia"/>
        </w:rPr>
        <w:t>3.杨丽君，艺术与设计学院，2017级环境设计专业，目前就读于天津工业大学，环境设计硕士研究生。</w:t>
      </w:r>
    </w:p>
    <w:p>
      <w:pPr>
        <w:ind w:firstLine="420"/>
        <w:rPr>
          <w:rFonts w:cs="Times New Roman"/>
          <w:szCs w:val="21"/>
        </w:rPr>
      </w:pPr>
      <w:r>
        <w:rPr>
          <w:rFonts w:hint="eastAsia" w:cs="Times New Roman"/>
          <w:szCs w:val="21"/>
        </w:rPr>
        <w:t>该生在校期间获得2017-2018学年度军训“优秀标兵”，2017-2018学年的校级二等奖学金、2018-2019学年的校级三等奖学金和2018-2019学年的校级励志二等奖学金，于2018年12月通过大学生英语四级考试，于2019年12月通过大学生英语六级考试。</w:t>
      </w:r>
    </w:p>
    <w:p>
      <w:pPr>
        <w:pStyle w:val="5"/>
      </w:pPr>
      <w:r>
        <w:rPr>
          <w:rFonts w:hint="eastAsia"/>
        </w:rPr>
        <w:t>4.刘胜利，信息科学与工程学院，2017级计算机科学与技术专业，目前就读于湖北大学，计算机技术专业硕士研究生。</w:t>
      </w:r>
    </w:p>
    <w:p>
      <w:pPr>
        <w:ind w:firstLine="420"/>
        <w:rPr>
          <w:rFonts w:cs="Times New Roman"/>
          <w:szCs w:val="21"/>
        </w:rPr>
      </w:pPr>
      <w:r>
        <w:rPr>
          <w:rFonts w:hint="eastAsia" w:cs="Times New Roman"/>
          <w:szCs w:val="21"/>
        </w:rPr>
        <w:t>该生在校期间于2018-2020年连续两次获得一等奖学金，2018-2019学年荣获三好学生，精神文明先进个人，文体活动先进个人等荣誉。2019年9月获得华北五省机器人大赛三等奖，2019年12月获得天津市新工科竞赛一等奖等多项荣誉，被评为2019年度天津市高校优秀学生。</w:t>
      </w:r>
    </w:p>
    <w:p>
      <w:pPr>
        <w:pStyle w:val="5"/>
      </w:pPr>
      <w:r>
        <w:rPr>
          <w:rFonts w:hint="eastAsia"/>
        </w:rPr>
        <w:t>5</w:t>
      </w:r>
      <w:r>
        <w:t>.</w:t>
      </w:r>
      <w:r>
        <w:rPr>
          <w:rFonts w:hint="eastAsia"/>
        </w:rPr>
        <w:t>常悦，外国语学院，2017级汉语国际教育专业。现就读于大理大学，汉语国际教育专业硕士研究生。</w:t>
      </w:r>
    </w:p>
    <w:p>
      <w:pPr>
        <w:ind w:firstLine="420"/>
        <w:rPr>
          <w:rFonts w:cs="Times New Roman"/>
          <w:szCs w:val="21"/>
        </w:rPr>
      </w:pPr>
      <w:r>
        <w:rPr>
          <w:rFonts w:hint="eastAsia" w:cs="Times New Roman"/>
          <w:szCs w:val="21"/>
        </w:rPr>
        <w:t>该生2017年-2018年任外国语学院新媒体编辑部部员，2018年-2019年任外国语学院新媒体编辑部部长。曾获得的奖项有：2018年度优秀团员；2018-2019校级三等奖学金。本科期间通过四六级考试、教师资格证考试和计算机等级考试。</w:t>
      </w:r>
    </w:p>
    <w:p>
      <w:pPr>
        <w:pStyle w:val="5"/>
      </w:pPr>
      <w:r>
        <w:rPr>
          <w:rFonts w:hint="eastAsia"/>
        </w:rPr>
        <w:t>6</w:t>
      </w:r>
      <w:r>
        <w:t>.</w:t>
      </w:r>
      <w:r>
        <w:rPr>
          <w:rFonts w:hint="eastAsia"/>
        </w:rPr>
        <w:t>邓洁，医学院，2017级康复治疗学专业，目前就读于湖南工业大学，运动人体科学专业硕士研究生。</w:t>
      </w:r>
    </w:p>
    <w:p>
      <w:pPr>
        <w:ind w:firstLine="420"/>
        <w:rPr>
          <w:rFonts w:cs="Times New Roman"/>
          <w:szCs w:val="21"/>
        </w:rPr>
      </w:pPr>
      <w:r>
        <w:rPr>
          <w:rFonts w:hint="eastAsia" w:cs="Times New Roman"/>
          <w:szCs w:val="21"/>
        </w:rPr>
        <w:t>该生在校期间担任2017级康复一班班长；荣获2017-2018学年校级三等奖学金，“优秀学生干部”荣誉称号；2018-2019学年校级三等奖学金，“优秀学生干部”荣誉称号，并获得2017、2018年度“优秀共青团干部”“优秀共青团员”荣誉称号等；同时在大学四年中积极参加多项大型志愿者活动。</w:t>
      </w:r>
    </w:p>
    <w:p>
      <w:pPr>
        <w:pStyle w:val="5"/>
      </w:pPr>
      <w:r>
        <w:rPr>
          <w:rFonts w:hint="eastAsia"/>
        </w:rPr>
        <w:t>7</w:t>
      </w:r>
      <w:r>
        <w:t>.</w:t>
      </w:r>
      <w:r>
        <w:rPr>
          <w:rFonts w:hint="eastAsia"/>
        </w:rPr>
        <w:t>柏星，医学院，2017级康复治疗学专业，目前就读于湖南工业大学，运动人体科学专业硕士研究生。</w:t>
      </w:r>
    </w:p>
    <w:p>
      <w:pPr>
        <w:ind w:firstLine="420"/>
        <w:rPr>
          <w:rFonts w:cs="Times New Roman"/>
          <w:szCs w:val="21"/>
        </w:rPr>
      </w:pPr>
      <w:r>
        <w:rPr>
          <w:rFonts w:hint="eastAsia" w:cs="Times New Roman"/>
          <w:szCs w:val="21"/>
        </w:rPr>
        <w:t>该生在校期间通过了CET-6，获得计算机二级证书，担任2017级康复二班学委及医学院康复社团会长；荣获2017-2018学年国家励志奖学金，“优秀学生干部”荣誉称号；2018-2019学年校级一等奖学金，“优秀学生干部”，“科技创新先进个人”荣誉称号；2019-2020学年国家励志奖学金，“校级十佳优秀共青团员”荣誉称号，在校期间被聘为“朋辈导师”，同时在大学四年中积极参加多项校内活动。</w:t>
      </w:r>
    </w:p>
    <w:p>
      <w:pPr>
        <w:pStyle w:val="5"/>
      </w:pPr>
      <w:r>
        <w:rPr>
          <w:rFonts w:hint="eastAsia"/>
        </w:rPr>
        <w:t>8</w:t>
      </w:r>
      <w:r>
        <w:t>.</w:t>
      </w:r>
      <w:r>
        <w:rPr>
          <w:rFonts w:hint="eastAsia"/>
        </w:rPr>
        <w:t>陈晏灵，医学院，2017级药学专业，目前就读于石河子大学，药学专业硕士研究生。</w:t>
      </w:r>
    </w:p>
    <w:p>
      <w:pPr>
        <w:ind w:firstLine="420"/>
        <w:rPr>
          <w:rFonts w:cs="Times New Roman"/>
          <w:szCs w:val="21"/>
        </w:rPr>
      </w:pPr>
      <w:r>
        <w:rPr>
          <w:rFonts w:hint="eastAsia" w:cs="Times New Roman"/>
          <w:szCs w:val="21"/>
        </w:rPr>
        <w:t>该生在校期间通过了CET-4，获得2017-2018学年度军训“优秀学员”称号，担任2017级药学二班团支书及医学院团委副书记；荣获2017-2018学年校级二等奖学金，“优秀学生干部”荣誉称号；2018-2019学年校级一等奖学金，“优秀学生干部”荣誉称号；2019-2020学年校级二等奖学金及“优秀学生干部”荣誉称号，并获得2017、2018年度“优秀共青团干部”荣誉称号等；同时在大学四年中积极参加多项大型志愿者活动。</w:t>
      </w:r>
    </w:p>
    <w:p>
      <w:pPr>
        <w:ind w:firstLine="482"/>
        <w:outlineLvl w:val="2"/>
        <w:rPr>
          <w:rFonts w:cs="Times New Roman"/>
          <w:b/>
          <w:bCs/>
          <w:color w:val="005099"/>
          <w:sz w:val="24"/>
        </w:rPr>
      </w:pPr>
      <w:bookmarkStart w:id="104" w:name="_Toc471401449"/>
      <w:bookmarkStart w:id="105" w:name="_Toc502070662"/>
      <w:bookmarkStart w:id="106" w:name="_Toc28111947"/>
      <w:bookmarkStart w:id="107" w:name="_Toc90288279"/>
      <w:r>
        <w:rPr>
          <w:rFonts w:hint="eastAsia" w:cs="Times New Roman"/>
          <w:b/>
          <w:bCs/>
          <w:color w:val="005099"/>
          <w:sz w:val="24"/>
        </w:rPr>
        <w:t>（二）国有企业</w:t>
      </w:r>
      <w:bookmarkEnd w:id="104"/>
      <w:bookmarkEnd w:id="105"/>
      <w:bookmarkEnd w:id="106"/>
      <w:bookmarkEnd w:id="107"/>
    </w:p>
    <w:p>
      <w:pPr>
        <w:pStyle w:val="5"/>
      </w:pPr>
      <w:r>
        <w:rPr>
          <w:rFonts w:hint="eastAsia"/>
        </w:rPr>
        <w:t>1.孟屿，艺术与设计学院，2017级环境设计专业，现就职于浙江建院建筑规划设计院(国企)，担任建筑设计师。</w:t>
      </w:r>
    </w:p>
    <w:p>
      <w:pPr>
        <w:ind w:firstLine="420"/>
        <w:rPr>
          <w:rFonts w:cs="Times New Roman"/>
          <w:szCs w:val="21"/>
        </w:rPr>
      </w:pPr>
      <w:r>
        <w:rPr>
          <w:rFonts w:hint="eastAsia" w:cs="Times New Roman"/>
          <w:szCs w:val="21"/>
        </w:rPr>
        <w:t>在校期间，在绘艺社中担任副社长一职；环境设计艺+工作室成员；该生在校期间获得第三届“国青杯”全国高校艺术设计作品大赛三等奖；获得天津市第二届“津盟杯”家具设计大赛最佳功能设计奖；获得“ACA世界大赛中国区院校赛区”二等奖；获得“天狮学子读书月”书签设计大赛二等奖；</w:t>
      </w:r>
      <w:bookmarkStart w:id="108" w:name="_Hlk88123685"/>
      <w:r>
        <w:rPr>
          <w:rFonts w:hint="eastAsia" w:cs="Times New Roman"/>
          <w:szCs w:val="21"/>
        </w:rPr>
        <w:t>获得2018-2019学年度“校级三等奖学金”；</w:t>
      </w:r>
      <w:bookmarkEnd w:id="108"/>
      <w:r>
        <w:rPr>
          <w:rFonts w:hint="eastAsia" w:cs="Times New Roman"/>
          <w:szCs w:val="21"/>
        </w:rPr>
        <w:t>获得2019-2020学年度“校级三等奖学金”；获得2018-2019学年度校级“学习进步一等奖学金”等。</w:t>
      </w:r>
    </w:p>
    <w:p>
      <w:pPr>
        <w:pStyle w:val="5"/>
      </w:pPr>
      <w:r>
        <w:rPr>
          <w:rFonts w:hint="eastAsia"/>
        </w:rPr>
        <w:t>2.陶梦玲，艺术与设计学院，2017级环境设计专业，就职于浙江恒欣建筑设计股份有限公司。</w:t>
      </w:r>
    </w:p>
    <w:p>
      <w:pPr>
        <w:ind w:firstLine="420"/>
        <w:rPr>
          <w:rFonts w:cs="Times New Roman"/>
          <w:szCs w:val="21"/>
        </w:rPr>
      </w:pPr>
      <w:r>
        <w:rPr>
          <w:rFonts w:hint="eastAsia" w:cs="Times New Roman"/>
          <w:szCs w:val="21"/>
        </w:rPr>
        <w:t>在校期间，在院学生会中担任体育部部长一职，环境设计艺+工作室成员，绘艺社副社长一职，曾获2020全国教科文“十三五”规划课题“东方杯”一等奖； 2018-2019年度本专科生国家奖学金； 2019届第二届“津盟杯”家具设计大赛“最佳功能设计”奖； 2020全国教科文“十三五”规划课题“东方杯”二等奖; “国青杯”第四届艺术设计大赛二等奖； “国青杯”第三届艺术设计大赛三等奖； 2018-2019年度校级“三好学生”；2018-2019校级一等奖学金； 2019年度第二届“最美校园一角”主题摄影大赛优秀奖； 2018-2019“优秀辅导员”助理称号； 2018年度“优秀共青团员”荣誉称号； 2017年度“优秀共青团员”荣誉称号； 2019“大学体育活动周”学生拔河比赛冠军 ；第一届“聆听·我的声音”第三名； 2017-2018学年“写生优秀作品”称号； 2017-2018校级二等奖学金</w:t>
      </w:r>
      <w:r>
        <w:rPr>
          <w:rFonts w:cs="Times New Roman"/>
          <w:szCs w:val="21"/>
        </w:rPr>
        <w:t>。</w:t>
      </w:r>
    </w:p>
    <w:p>
      <w:pPr>
        <w:pStyle w:val="5"/>
      </w:pPr>
      <w:r>
        <w:rPr>
          <w:rFonts w:hint="eastAsia"/>
        </w:rPr>
        <w:t>3.沙雪，艺术与设计学院，2017级环境设计专业，现就职于浙江建院建筑规划设计院(国企)，担任建筑设计师。</w:t>
      </w:r>
    </w:p>
    <w:p>
      <w:pPr>
        <w:ind w:firstLine="420"/>
        <w:rPr>
          <w:rFonts w:cs="Times New Roman"/>
          <w:szCs w:val="21"/>
        </w:rPr>
      </w:pPr>
      <w:r>
        <w:rPr>
          <w:rFonts w:hint="eastAsia" w:cs="Times New Roman"/>
          <w:szCs w:val="21"/>
        </w:rPr>
        <w:t>该生在校期间在院学生会中担任媒体中心主任一职；绘艺社担任社长一职；2021年获得“朋辈导师”称号；获得2021届天津天狮学院“优秀毕业生标兵”荣誉称号；获得普通高等学校2019-2020学年度“天津市优秀学生”荣誉称号；第三届“国青杯”全国高校艺术设计作品大赛三等奖；获得天津市第二届“津盟杯”家具设计大赛最佳功能设计奖；大二学年综合测评专业第一、大三学年专业成绩测评本专业第一；获得天津天狮学院第四届班长论坛大赛三等奖；连续3年获得校级一等、二等奖学金；获得普通话“二级甲等”证书；连续2次获得校级“优秀共青团干部”称号；在2019年参加天津天狮学院拔河比赛荣获一等奖；荣获2018-2019年度校级“优秀学生干部”称号；2019-2020学年度校级“三好学生”称号；在天津天狮学院第十七届干部培训班中，成绩合格，准予结业；2019-2020年度第二届“最美军训照”优秀奖；在艺术学院主题竞赛中荣获二等奖、摄影比赛中荣获二等奖；第一届“聆听·我的声音”第二名； 2017-2018学年“写生优秀作品”称号；获得2017-2018学年度军训“优秀学员”称号；在校级征文比赛评选中获得三等奖以及带领班级参加大型活动获得优异成绩。</w:t>
      </w:r>
    </w:p>
    <w:p>
      <w:pPr>
        <w:pStyle w:val="5"/>
      </w:pPr>
      <w:r>
        <w:rPr>
          <w:rFonts w:hint="eastAsia"/>
        </w:rPr>
        <w:t>4.赵艺杰，男，艺术与设计学院2017级数字媒体设计专业2班班长，现就职于北京银行股份有限公司天津分行，职位客户经理。</w:t>
      </w:r>
    </w:p>
    <w:p>
      <w:pPr>
        <w:ind w:firstLine="420"/>
        <w:rPr>
          <w:rFonts w:cs="Times New Roman"/>
          <w:szCs w:val="21"/>
        </w:rPr>
      </w:pPr>
      <w:r>
        <w:rPr>
          <w:rFonts w:hint="eastAsia" w:cs="Times New Roman"/>
          <w:szCs w:val="21"/>
        </w:rPr>
        <w:t>该生荣获2017“写生优秀班级体”称号</w:t>
      </w:r>
      <w:r>
        <w:rPr>
          <w:rFonts w:cs="Times New Roman"/>
          <w:szCs w:val="21"/>
        </w:rPr>
        <w:t>，</w:t>
      </w:r>
      <w:r>
        <w:rPr>
          <w:rFonts w:hint="eastAsia" w:cs="Times New Roman"/>
          <w:szCs w:val="21"/>
        </w:rPr>
        <w:t>2017“优秀学员”称号</w:t>
      </w:r>
      <w:r>
        <w:rPr>
          <w:rFonts w:cs="Times New Roman"/>
          <w:szCs w:val="21"/>
        </w:rPr>
        <w:t>，</w:t>
      </w:r>
      <w:r>
        <w:rPr>
          <w:rFonts w:hint="eastAsia" w:cs="Times New Roman"/>
          <w:szCs w:val="21"/>
        </w:rPr>
        <w:t>2017-2021“优秀共青团员”荣誉称号</w:t>
      </w:r>
      <w:r>
        <w:rPr>
          <w:rFonts w:cs="Times New Roman"/>
          <w:szCs w:val="21"/>
        </w:rPr>
        <w:t>，</w:t>
      </w:r>
      <w:r>
        <w:rPr>
          <w:rFonts w:hint="eastAsia" w:cs="Times New Roman"/>
          <w:szCs w:val="21"/>
        </w:rPr>
        <w:t>2017-2018学年“学习贯彻十九大精神”演讲比赛优秀奖</w:t>
      </w:r>
      <w:r>
        <w:rPr>
          <w:rFonts w:cs="Times New Roman"/>
          <w:szCs w:val="21"/>
        </w:rPr>
        <w:t>，</w:t>
      </w:r>
      <w:r>
        <w:rPr>
          <w:rFonts w:hint="eastAsia" w:cs="Times New Roman"/>
          <w:szCs w:val="21"/>
        </w:rPr>
        <w:t>2017-2018学年“写生优秀个人”称号</w:t>
      </w:r>
      <w:r>
        <w:rPr>
          <w:rFonts w:cs="Times New Roman"/>
          <w:szCs w:val="21"/>
        </w:rPr>
        <w:t>，</w:t>
      </w:r>
      <w:r>
        <w:rPr>
          <w:rFonts w:hint="eastAsia" w:cs="Times New Roman"/>
          <w:szCs w:val="21"/>
        </w:rPr>
        <w:t>2017-2021荣获校级二等奖学金</w:t>
      </w:r>
      <w:r>
        <w:rPr>
          <w:rFonts w:cs="Times New Roman"/>
          <w:szCs w:val="21"/>
        </w:rPr>
        <w:t>，</w:t>
      </w:r>
      <w:r>
        <w:rPr>
          <w:rFonts w:hint="eastAsia" w:cs="Times New Roman"/>
          <w:szCs w:val="21"/>
        </w:rPr>
        <w:t>2017-2021学年校级“优秀学生干部”荣誉称号；2017-2018学年“优秀学风班级”荣誉称号</w:t>
      </w:r>
      <w:r>
        <w:rPr>
          <w:rFonts w:cs="Times New Roman"/>
          <w:szCs w:val="21"/>
        </w:rPr>
        <w:t>，</w:t>
      </w:r>
      <w:r>
        <w:rPr>
          <w:rFonts w:hint="eastAsia" w:cs="Times New Roman"/>
          <w:szCs w:val="21"/>
        </w:rPr>
        <w:t>2018年9月7日-9月10日中国扶贫基金会授予“卓越行动家”荣誉称号</w:t>
      </w:r>
      <w:r>
        <w:rPr>
          <w:rFonts w:cs="Times New Roman"/>
          <w:szCs w:val="21"/>
        </w:rPr>
        <w:t>，</w:t>
      </w:r>
      <w:r>
        <w:rPr>
          <w:rFonts w:hint="eastAsia" w:cs="Times New Roman"/>
          <w:szCs w:val="21"/>
        </w:rPr>
        <w:t>2018年9月6日-9月9日中国扶贫基金会授予“有爱行动家队伍”称号</w:t>
      </w:r>
      <w:r>
        <w:rPr>
          <w:rFonts w:cs="Times New Roman"/>
          <w:szCs w:val="21"/>
        </w:rPr>
        <w:t>，</w:t>
      </w:r>
      <w:r>
        <w:rPr>
          <w:rFonts w:hint="eastAsia" w:cs="Times New Roman"/>
          <w:szCs w:val="21"/>
        </w:rPr>
        <w:t>2018年“庆改革开放四十周年创新作品展”获得优秀奖</w:t>
      </w:r>
      <w:r>
        <w:rPr>
          <w:rFonts w:cs="Times New Roman"/>
          <w:szCs w:val="21"/>
        </w:rPr>
        <w:t>，</w:t>
      </w:r>
      <w:r>
        <w:rPr>
          <w:rFonts w:hint="eastAsia" w:cs="Times New Roman"/>
          <w:szCs w:val="21"/>
        </w:rPr>
        <w:t>2018年“庆改革开放四十周年创新作品展”组织者</w:t>
      </w:r>
      <w:r>
        <w:rPr>
          <w:rFonts w:cs="Times New Roman"/>
          <w:szCs w:val="21"/>
        </w:rPr>
        <w:t>，</w:t>
      </w:r>
      <w:r>
        <w:rPr>
          <w:rFonts w:hint="eastAsia" w:cs="Times New Roman"/>
          <w:szCs w:val="21"/>
        </w:rPr>
        <w:t>2019-2020校自强社社长一职</w:t>
      </w:r>
      <w:r>
        <w:rPr>
          <w:rFonts w:cs="Times New Roman"/>
          <w:szCs w:val="21"/>
        </w:rPr>
        <w:t>。</w:t>
      </w:r>
    </w:p>
    <w:p>
      <w:pPr>
        <w:ind w:firstLine="482"/>
        <w:outlineLvl w:val="2"/>
        <w:rPr>
          <w:rFonts w:cs="Times New Roman"/>
          <w:b/>
          <w:bCs/>
          <w:color w:val="005099"/>
          <w:sz w:val="24"/>
        </w:rPr>
      </w:pPr>
      <w:bookmarkStart w:id="109" w:name="_Toc471401450"/>
      <w:bookmarkStart w:id="110" w:name="_Toc502070663"/>
      <w:bookmarkStart w:id="111" w:name="_Toc28111948"/>
      <w:bookmarkStart w:id="112" w:name="_Toc90288280"/>
      <w:r>
        <w:rPr>
          <w:rFonts w:hint="eastAsia" w:cs="Times New Roman"/>
          <w:b/>
          <w:bCs/>
          <w:color w:val="005099"/>
          <w:sz w:val="24"/>
        </w:rPr>
        <w:t>（三）事业单位</w:t>
      </w:r>
      <w:bookmarkEnd w:id="109"/>
      <w:bookmarkEnd w:id="110"/>
      <w:bookmarkEnd w:id="111"/>
      <w:bookmarkEnd w:id="112"/>
    </w:p>
    <w:p>
      <w:pPr>
        <w:pStyle w:val="5"/>
      </w:pPr>
      <w:r>
        <w:rPr>
          <w:rFonts w:hint="eastAsia"/>
        </w:rPr>
        <w:t>1.王竣，信息科学与工程学院，2017级电子信息工程学院，现就职与甘肃省地震局。</w:t>
      </w:r>
    </w:p>
    <w:p>
      <w:pPr>
        <w:ind w:firstLine="420"/>
        <w:rPr>
          <w:rFonts w:cs="Times New Roman"/>
          <w:szCs w:val="21"/>
        </w:rPr>
      </w:pPr>
      <w:r>
        <w:rPr>
          <w:rFonts w:hint="eastAsia" w:cs="Times New Roman"/>
          <w:szCs w:val="21"/>
        </w:rPr>
        <w:t>在校期间成绩优异，获得2017-2018学年校级一等进步奖学金，努力上进，团结同学，热爱运动，参加过学院篮球队，获得新生赛第二名，参加学院辩论大赛，获得“优秀辩手”称号。曾担任学院纪检部副部长。获得优秀志愿者称号，在校期间一直坚持兼职工作，锻炼自己，不断提高综合素质。</w:t>
      </w:r>
    </w:p>
    <w:p>
      <w:pPr>
        <w:pStyle w:val="5"/>
      </w:pPr>
      <w:r>
        <w:rPr>
          <w:rFonts w:hint="eastAsia"/>
        </w:rPr>
        <w:t>2.陈思薇，艺术与设计学院，2017级，音乐表演专业，中共党员，现就职于上海市交通委员会老干部活动室，科员。</w:t>
      </w:r>
    </w:p>
    <w:p>
      <w:pPr>
        <w:ind w:firstLine="420"/>
        <w:rPr>
          <w:rFonts w:cs="Times New Roman"/>
          <w:szCs w:val="21"/>
        </w:rPr>
      </w:pPr>
      <w:r>
        <w:rPr>
          <w:rFonts w:hint="eastAsia" w:cs="Times New Roman"/>
          <w:szCs w:val="21"/>
        </w:rPr>
        <w:t>该生在校期间成绩优异、积极参加学院组织的各项活动，曾获得2017-2018学年校级二等奖学金、2017-2018学年优秀标兵荣誉称号、2018-2019学年校级三等奖学金等荣誉，在2019-2020年古筝比赛荣获广播之声全国青少年艺术大赛一等奖。</w:t>
      </w:r>
    </w:p>
    <w:p>
      <w:pPr>
        <w:pStyle w:val="5"/>
      </w:pPr>
      <w:r>
        <w:rPr>
          <w:rFonts w:hint="eastAsia"/>
        </w:rPr>
        <w:t>3.吴昕牵，艺术与设计学院2019级音乐表演专业，就职于安徽省合肥市包河区同安街道市场监督管理所，职务：辅助执法人员。</w:t>
      </w:r>
    </w:p>
    <w:p>
      <w:pPr>
        <w:ind w:firstLine="420"/>
        <w:rPr>
          <w:rFonts w:cs="Times New Roman"/>
          <w:szCs w:val="21"/>
        </w:rPr>
      </w:pPr>
      <w:r>
        <w:rPr>
          <w:rFonts w:hint="eastAsia" w:cs="Times New Roman"/>
          <w:szCs w:val="21"/>
        </w:rPr>
        <w:t>该生在校期间学习态度端正，学习成绩优异，严于律己、宽容待人，做事认真谨慎，责任心强，压力之下也能坦然面对生活学习工作上的困难。在职期间人品端正，德行优良；曾获得2017-2018学年校级三等奖学金。</w:t>
      </w:r>
    </w:p>
    <w:p>
      <w:pPr>
        <w:pStyle w:val="5"/>
      </w:pPr>
      <w:r>
        <w:rPr>
          <w:rFonts w:hint="eastAsia"/>
        </w:rPr>
        <w:t>4.曹瑞洁，经济管理学院，2017级，财务管理专业，现就职于甘肃省陇南市康县大堡镇人民政府。</w:t>
      </w:r>
    </w:p>
    <w:p>
      <w:pPr>
        <w:ind w:firstLine="420"/>
        <w:rPr>
          <w:rFonts w:cs="Times New Roman"/>
          <w:szCs w:val="21"/>
        </w:rPr>
      </w:pPr>
      <w:r>
        <w:rPr>
          <w:rFonts w:hint="eastAsia" w:cs="Times New Roman"/>
          <w:szCs w:val="21"/>
        </w:rPr>
        <w:t>该生在校期间成绩优异，大学连续四年专业成绩排名第一，连续两年被评为三好学生、连续三年获得奖学金、获得优秀毕业生等荣誉称号，在毕业季积极备考公务员考试，现在是甘肃省陇南市康县大堡镇人民政府的一名基层公务员。</w:t>
      </w:r>
    </w:p>
    <w:p>
      <w:pPr>
        <w:pStyle w:val="37"/>
        <w:ind w:firstLine="422"/>
        <w:outlineLvl w:val="3"/>
        <w:rPr>
          <w:rFonts w:ascii="Times New Roman" w:hAnsi="Times New Roman" w:eastAsia="宋体"/>
          <w:b/>
          <w:bCs/>
          <w:color w:val="005099"/>
          <w:szCs w:val="21"/>
        </w:rPr>
      </w:pPr>
      <w:r>
        <w:rPr>
          <w:rFonts w:hint="eastAsia" w:ascii="Times New Roman" w:hAnsi="Times New Roman" w:eastAsia="宋体"/>
          <w:b/>
          <w:bCs/>
          <w:color w:val="005099"/>
          <w:szCs w:val="21"/>
        </w:rPr>
        <w:t>5.孟兆文，信息科学与工程学院，2017级电子信息工程专业二班，现就职于瓜州县公共资源交易中心担任综合办公室一级科员。</w:t>
      </w:r>
    </w:p>
    <w:p>
      <w:pPr>
        <w:ind w:firstLine="420"/>
        <w:rPr>
          <w:rFonts w:cs="Times New Roman"/>
          <w:szCs w:val="21"/>
        </w:rPr>
      </w:pPr>
      <w:r>
        <w:rPr>
          <w:rFonts w:hint="eastAsia" w:cs="Times New Roman"/>
          <w:szCs w:val="21"/>
        </w:rPr>
        <w:t>该生在校期间，思想积极进步，拥护党的领导，学习目的明确，勤恳认真，态度端正，积极上进，团结同学，敬爱师长；生活上勤俭节约，乐于助人，具有较强的集体观念，热爱公益事业，人际关系良好。工作期间认真工作，稳重踏实，得到领导认同。参加过天津市大学生电子设计竞赛（TI杯），取得传感技术应用证书，初级焊工证书，初级电工证书。</w:t>
      </w:r>
    </w:p>
    <w:p>
      <w:pPr>
        <w:ind w:firstLine="482"/>
        <w:outlineLvl w:val="2"/>
        <w:rPr>
          <w:rFonts w:cs="Times New Roman"/>
          <w:b/>
          <w:bCs/>
          <w:color w:val="005099"/>
          <w:sz w:val="24"/>
        </w:rPr>
      </w:pPr>
      <w:bookmarkStart w:id="113" w:name="_Toc90288281"/>
      <w:r>
        <w:rPr>
          <w:rFonts w:hint="eastAsia" w:cs="Times New Roman"/>
          <w:b/>
          <w:bCs/>
          <w:color w:val="005099"/>
          <w:sz w:val="24"/>
        </w:rPr>
        <w:t>（四）社区工作者 （党务工作者）</w:t>
      </w:r>
      <w:bookmarkEnd w:id="113"/>
    </w:p>
    <w:p>
      <w:pPr>
        <w:pStyle w:val="5"/>
      </w:pPr>
      <w:r>
        <w:rPr>
          <w:rFonts w:hint="eastAsia"/>
        </w:rPr>
        <w:t>1.张新宇，男，23岁，2017级信息科学与工程学院计算机科学与技术专业一班，现担任天津市宝坻区海滨街道大口巷村农村专职党务工作者。</w:t>
      </w:r>
    </w:p>
    <w:p>
      <w:pPr>
        <w:ind w:firstLine="420"/>
        <w:rPr>
          <w:rFonts w:cs="Times New Roman"/>
          <w:szCs w:val="21"/>
        </w:rPr>
      </w:pPr>
      <w:r>
        <w:rPr>
          <w:rFonts w:hint="eastAsia" w:cs="Times New Roman"/>
          <w:szCs w:val="21"/>
        </w:rPr>
        <w:t>该生在校期间表现良好，连续三年获得校级奖学金，连续三年担任班长并在院级学生组织工作，自身得到了提升，同时热心志愿服务活动，获得了天津市青年志愿者和精神文明、社会实践先进个人等多项荣誉，自参加工作以来，承担起村和社区的三会一课、档案管理、文件撰稿起草等工作，结合“我为群众办实事”积极帮助村民，多次参与组织文艺活动、卫生环境清洁服务、冬季除雪除冰等活动，获得了领导与群众的一致好评。</w:t>
      </w:r>
    </w:p>
    <w:p>
      <w:pPr>
        <w:pStyle w:val="5"/>
      </w:pPr>
      <w:r>
        <w:rPr>
          <w:rFonts w:hint="eastAsia"/>
        </w:rPr>
        <w:t>2.郝秀程 信息科学与工程学院 2017级计算机科学与技术专业 现就职于天津市河东区临池里社区。</w:t>
      </w:r>
    </w:p>
    <w:p>
      <w:pPr>
        <w:ind w:firstLine="420"/>
        <w:rPr>
          <w:rFonts w:cs="Times New Roman"/>
          <w:szCs w:val="21"/>
        </w:rPr>
      </w:pPr>
      <w:r>
        <w:rPr>
          <w:rFonts w:hint="eastAsia" w:cs="Times New Roman"/>
          <w:szCs w:val="21"/>
        </w:rPr>
        <w:t>该生沟通能力较强，在校期间，具有良好的师生关系，积极帮助身边的同学，认真对待每一位老师，每一门学科。积极参加各级各类课外活动和社会实践活动。在职期间人品端正，德行优良，工作认真，参与金民工程项目受到单位领导和同事的一致好评。</w:t>
      </w:r>
    </w:p>
    <w:p>
      <w:pPr>
        <w:pStyle w:val="5"/>
      </w:pPr>
      <w:r>
        <w:rPr>
          <w:rFonts w:hint="eastAsia"/>
        </w:rPr>
        <w:t>3.郭鹤峰 经济管理学院 2017级保险学专业 现就职于天津市武清区崔黄口镇大宫城东村。</w:t>
      </w:r>
    </w:p>
    <w:p>
      <w:pPr>
        <w:ind w:firstLine="420"/>
        <w:rPr>
          <w:rFonts w:cs="Times New Roman"/>
          <w:szCs w:val="21"/>
        </w:rPr>
      </w:pPr>
      <w:r>
        <w:rPr>
          <w:rFonts w:hint="eastAsia" w:cs="Times New Roman"/>
          <w:szCs w:val="21"/>
        </w:rPr>
        <w:t>该生在校期间曾担任院团委学生团委副书记，连续三年专业成绩第一，多次获得校内一等奖学金、优秀学生干部、优秀班干部、三好学生等荣誉称号，曾荣获天津市人民政府奖学金，在毕业之际考入天津市农村专职党务工作者，目前在武清区崔黄口镇大宫城东村工作。</w:t>
      </w:r>
    </w:p>
    <w:p>
      <w:pPr>
        <w:ind w:firstLine="482"/>
        <w:outlineLvl w:val="2"/>
        <w:rPr>
          <w:rFonts w:cs="Times New Roman"/>
          <w:b/>
          <w:bCs/>
          <w:color w:val="005099"/>
          <w:sz w:val="24"/>
        </w:rPr>
      </w:pPr>
      <w:bookmarkStart w:id="114" w:name="_Toc471401452"/>
      <w:bookmarkStart w:id="115" w:name="_Toc502070665"/>
      <w:bookmarkStart w:id="116" w:name="_Toc28111950"/>
      <w:bookmarkStart w:id="117" w:name="_Toc90288282"/>
      <w:r>
        <w:rPr>
          <w:rFonts w:hint="eastAsia" w:cs="Times New Roman"/>
          <w:b/>
          <w:bCs/>
          <w:color w:val="005099"/>
          <w:sz w:val="24"/>
        </w:rPr>
        <w:t>（五）其他</w:t>
      </w:r>
      <w:bookmarkEnd w:id="114"/>
      <w:bookmarkEnd w:id="115"/>
      <w:r>
        <w:rPr>
          <w:rFonts w:hint="eastAsia" w:cs="Times New Roman"/>
          <w:b/>
          <w:bCs/>
          <w:color w:val="005099"/>
          <w:sz w:val="24"/>
        </w:rPr>
        <w:t>企业</w:t>
      </w:r>
      <w:bookmarkEnd w:id="116"/>
      <w:bookmarkEnd w:id="117"/>
    </w:p>
    <w:p>
      <w:pPr>
        <w:pStyle w:val="5"/>
      </w:pPr>
      <w:r>
        <w:rPr>
          <w:rFonts w:hint="eastAsia"/>
        </w:rPr>
        <w:t>1.杨雲，女，中共党员，信息科学工程学院，2017级计算机科学与技术专业，现就职于天津58同城。</w:t>
      </w:r>
    </w:p>
    <w:p>
      <w:pPr>
        <w:ind w:firstLine="420"/>
        <w:rPr>
          <w:rFonts w:cs="Times New Roman"/>
          <w:szCs w:val="21"/>
        </w:rPr>
      </w:pPr>
      <w:r>
        <w:rPr>
          <w:rFonts w:cs="Times New Roman"/>
          <w:szCs w:val="21"/>
        </w:rPr>
        <w:t xml:space="preserve">    </w:t>
      </w:r>
      <w:r>
        <w:rPr>
          <w:rFonts w:hint="eastAsia" w:cs="Times New Roman"/>
          <w:szCs w:val="21"/>
        </w:rPr>
        <w:t>该生在校期间成绩优异，先后担任学习委员、院学生会学习部部长、科技创新协会副会长。曾获得201</w:t>
      </w:r>
      <w:r>
        <w:rPr>
          <w:rFonts w:cs="Times New Roman"/>
          <w:szCs w:val="21"/>
        </w:rPr>
        <w:t>7</w:t>
      </w:r>
      <w:r>
        <w:rPr>
          <w:rFonts w:hint="eastAsia" w:cs="Times New Roman"/>
          <w:szCs w:val="21"/>
        </w:rPr>
        <w:t>-201</w:t>
      </w:r>
      <w:r>
        <w:rPr>
          <w:rFonts w:cs="Times New Roman"/>
          <w:szCs w:val="21"/>
        </w:rPr>
        <w:t>8</w:t>
      </w:r>
      <w:r>
        <w:rPr>
          <w:rFonts w:hint="eastAsia" w:cs="Times New Roman"/>
          <w:szCs w:val="21"/>
        </w:rPr>
        <w:t>学年的校级一等奖学金、校级三好学生、校级科技先进个人，2018-2019学年的校级二等奖学金，2</w:t>
      </w:r>
      <w:r>
        <w:rPr>
          <w:rFonts w:cs="Times New Roman"/>
          <w:szCs w:val="21"/>
        </w:rPr>
        <w:t>019-2020</w:t>
      </w:r>
      <w:r>
        <w:rPr>
          <w:rFonts w:hint="eastAsia" w:cs="Times New Roman"/>
          <w:szCs w:val="21"/>
        </w:rPr>
        <w:t>学年校级一等奖学金、校级优秀学生干部，202</w:t>
      </w:r>
      <w:r>
        <w:rPr>
          <w:rFonts w:cs="Times New Roman"/>
          <w:szCs w:val="21"/>
        </w:rPr>
        <w:t>1</w:t>
      </w:r>
      <w:r>
        <w:rPr>
          <w:rFonts w:hint="eastAsia" w:cs="Times New Roman"/>
          <w:szCs w:val="21"/>
        </w:rPr>
        <w:t>年的优秀毕业生标兵，于2</w:t>
      </w:r>
      <w:r>
        <w:rPr>
          <w:rFonts w:cs="Times New Roman"/>
          <w:szCs w:val="21"/>
        </w:rPr>
        <w:t>018</w:t>
      </w:r>
      <w:r>
        <w:rPr>
          <w:rFonts w:hint="eastAsia" w:cs="Times New Roman"/>
          <w:szCs w:val="21"/>
        </w:rPr>
        <w:t>学年通过C</w:t>
      </w:r>
      <w:r>
        <w:rPr>
          <w:rFonts w:cs="Times New Roman"/>
          <w:szCs w:val="21"/>
        </w:rPr>
        <w:t>ET-4</w:t>
      </w:r>
      <w:r>
        <w:rPr>
          <w:rFonts w:hint="eastAsia" w:cs="Times New Roman"/>
          <w:szCs w:val="21"/>
        </w:rPr>
        <w:t>与普通话等级考试。</w:t>
      </w:r>
    </w:p>
    <w:p>
      <w:pPr>
        <w:pStyle w:val="5"/>
      </w:pPr>
      <w:r>
        <w:rPr>
          <w:rFonts w:hint="eastAsia"/>
        </w:rPr>
        <w:t>2.吴科进，信息科学与工程学院，2017级自动化，现就职于贵州国台酒业集团股份有限公司。</w:t>
      </w:r>
    </w:p>
    <w:p>
      <w:pPr>
        <w:ind w:firstLine="420"/>
        <w:rPr>
          <w:rFonts w:cs="Times New Roman"/>
          <w:szCs w:val="21"/>
        </w:rPr>
      </w:pPr>
      <w:r>
        <w:rPr>
          <w:rFonts w:hint="eastAsia" w:cs="Times New Roman"/>
          <w:szCs w:val="21"/>
        </w:rPr>
        <w:t>该生在校期间获得2017-2018学年的校级三等奖学金、校级优秀志愿者，2018-2019学年获得校级二等奖学金、校级精神文明先进个人、校级优秀共青团员、校级优秀志愿者、校级“志愿之星”称号，2019-2020学年获得校级一等奖学金、校级三好学生、校级优秀共青团员等荣誉。2018年中国扶贫基金会授予“先锋行动家”称号（国家），2019年获得华北五省机器人大赛天津赛区三等奖（市级），2020年获得天津市人民政府奖学金（市级）、“启诚杯”第九届天津市大学生人工智能电脑鼠竞赛一等奖（市级）、第三届天津市大学生信息技术“新工科”工程实践创新技术竞赛两个二等奖和一个三等奖（市级）</w:t>
      </w:r>
    </w:p>
    <w:p>
      <w:pPr>
        <w:pStyle w:val="5"/>
      </w:pPr>
      <w:r>
        <w:rPr>
          <w:rFonts w:hint="eastAsia"/>
        </w:rPr>
        <w:t>3.唐攀，男，信息科学与工程学院2</w:t>
      </w:r>
      <w:r>
        <w:t>017</w:t>
      </w:r>
      <w:r>
        <w:rPr>
          <w:rFonts w:hint="eastAsia"/>
        </w:rPr>
        <w:t>级通信工程1班，现就职于天津富瑞福莱科技发展有限公司。</w:t>
      </w:r>
    </w:p>
    <w:p>
      <w:pPr>
        <w:ind w:firstLine="420"/>
        <w:rPr>
          <w:rFonts w:cs="Times New Roman"/>
          <w:szCs w:val="21"/>
        </w:rPr>
      </w:pPr>
      <w:r>
        <w:rPr>
          <w:rFonts w:hint="eastAsia" w:cs="Times New Roman"/>
          <w:szCs w:val="21"/>
        </w:rPr>
        <w:t>该生在校期间担任学习委员，先后获得国家奖学金、中国电信奖学金“飞</w:t>
      </w:r>
      <w:r>
        <w:rPr>
          <w:rFonts w:hint="eastAsia" w:cs="Times New Roman"/>
          <w:szCs w:val="21"/>
        </w:rPr>
        <w:sym w:font="Wingdings 2" w:char="F09F"/>
      </w:r>
      <w:r>
        <w:rPr>
          <w:rFonts w:hint="eastAsia" w:cs="Times New Roman"/>
          <w:szCs w:val="21"/>
        </w:rPr>
        <w:t>Young奖”、第三届天津市大学生信息技术“新工科”工程实践创新技术竞赛三等奖、2019年华北五省大学生机器人大赛天津赛区三等奖、2019年全国大学生电子设计竞赛天津赛区二等奖、2018年天津市普通高校大学数学竞赛获本科理工类优秀奖、英语四级证书、全国计算机等级考试二级C语言程序设计和二级MS office高级应用、第三、四届大学生创业大赛校级优秀奖和三等奖、2017-2018、2018-2019、2019-2020学年获校级二等奖学金、2017、2018年度优秀共青团员、2019-2020学年活得优秀学生干部称号和2019年天津市高校思想政治理论课公开课大赛获校级三等奖荣誉。</w:t>
      </w:r>
    </w:p>
    <w:p>
      <w:pPr>
        <w:pStyle w:val="5"/>
      </w:pPr>
      <w:r>
        <w:rPr>
          <w:rFonts w:hint="eastAsia"/>
        </w:rPr>
        <w:t>4.葛凯强，信息科学与工程学院，2017级电子信息工程专业，中共党员，现就职于苏州意华通讯接插件有限公司，担任SI工程师。</w:t>
      </w:r>
    </w:p>
    <w:p>
      <w:pPr>
        <w:ind w:firstLine="420"/>
        <w:rPr>
          <w:rFonts w:cs="Times New Roman"/>
          <w:szCs w:val="21"/>
        </w:rPr>
      </w:pPr>
      <w:r>
        <w:rPr>
          <w:rFonts w:hint="eastAsia" w:cs="Times New Roman"/>
          <w:szCs w:val="21"/>
        </w:rPr>
        <w:t>该生在校期间获得2017-2018学年的校级二等奖学金、校级优秀学生干部、2018-2019学年的校级一等奖学金、校级三好学生、2019-2020学年的校级一等奖学金、校级三好学生。在校期间获得了全国计算机二级证书、工业机器人应用证书、华为鲲鹏V1等证书。多次参加志愿活动，获得优秀志愿者称号和社会先进个人称号。</w:t>
      </w:r>
    </w:p>
    <w:p>
      <w:pPr>
        <w:ind w:firstLine="422"/>
        <w:outlineLvl w:val="3"/>
        <w:rPr>
          <w:rFonts w:ascii="Calibri" w:hAnsi="Calibri" w:cs="Arial"/>
          <w:b/>
          <w:szCs w:val="21"/>
        </w:rPr>
      </w:pPr>
      <w:r>
        <w:rPr>
          <w:rFonts w:hint="eastAsia" w:cs="Times New Roman"/>
          <w:b/>
          <w:bCs/>
          <w:color w:val="005099"/>
          <w:szCs w:val="21"/>
        </w:rPr>
        <w:t>5.郑惠婷，女，信息科学与工程学院2012级自动化一班，现就职于天津弘扬联想。</w:t>
      </w:r>
    </w:p>
    <w:p>
      <w:pPr>
        <w:ind w:firstLine="420"/>
        <w:rPr>
          <w:rFonts w:cs="Times New Roman"/>
          <w:szCs w:val="21"/>
        </w:rPr>
      </w:pPr>
      <w:r>
        <w:rPr>
          <w:rFonts w:hint="eastAsia" w:cs="Times New Roman"/>
          <w:szCs w:val="21"/>
        </w:rPr>
        <w:t>该生在校期间获得社会实践优秀学员，担任学生会礼仪部副部长，任班级学习委员；多次参与志愿者活动，到福利院看望老人；曾连续三年获得奖学金；取得英语四级；积极参加校内比赛，获得速录二等奖，英语演讲比赛二等奖，院级最佳辩手等荣誉。在校期间尊敬师长，学习态度端正，有进取心，乐于助人，不怕挫折有良好的团队意识及协作精神 ，工作期间认真工作，稳重踏实，收到颇多夸赞。</w:t>
      </w:r>
    </w:p>
    <w:p>
      <w:pPr>
        <w:ind w:firstLine="422"/>
        <w:outlineLvl w:val="3"/>
        <w:rPr>
          <w:rFonts w:ascii="Calibri" w:hAnsi="Calibri" w:cs="Arial"/>
          <w:b/>
          <w:szCs w:val="21"/>
        </w:rPr>
      </w:pPr>
      <w:r>
        <w:rPr>
          <w:rFonts w:hint="eastAsia" w:cs="Times New Roman"/>
          <w:b/>
          <w:bCs/>
          <w:color w:val="005099"/>
          <w:szCs w:val="21"/>
        </w:rPr>
        <w:t>6.刘羽剑，信息科学与工程学院，2017级电子信息工程，现就职于北京星网智控科技有限公司。</w:t>
      </w:r>
    </w:p>
    <w:p>
      <w:pPr>
        <w:ind w:firstLine="420"/>
        <w:rPr>
          <w:rFonts w:cs="Times New Roman"/>
          <w:szCs w:val="21"/>
        </w:rPr>
      </w:pPr>
      <w:r>
        <w:rPr>
          <w:rFonts w:hint="eastAsia" w:cs="Times New Roman"/>
          <w:szCs w:val="21"/>
        </w:rPr>
        <w:t>该生在校期间连续三年获得院级三等奖学金。参加中华人民共和国第十三届运动会志愿者、瓷娃娃志愿者等活动，获得优秀志愿者称号。</w:t>
      </w:r>
    </w:p>
    <w:p>
      <w:pPr>
        <w:pStyle w:val="5"/>
      </w:pPr>
      <w:r>
        <w:rPr>
          <w:rFonts w:hint="eastAsia"/>
        </w:rPr>
        <w:t>7.魏安，食品工程学院，2017级生物工程专业，现就职于天津天狮学院。</w:t>
      </w:r>
    </w:p>
    <w:p>
      <w:pPr>
        <w:ind w:firstLine="420"/>
        <w:rPr>
          <w:rFonts w:cs="Times New Roman"/>
          <w:szCs w:val="21"/>
        </w:rPr>
      </w:pPr>
      <w:r>
        <w:rPr>
          <w:rFonts w:hint="eastAsia" w:cs="Times New Roman"/>
          <w:szCs w:val="21"/>
        </w:rPr>
        <w:t>该生在校期间获得2019-2020学年天津市优秀学生干部，荣获天狮学院“祖国强、青年强、我自强”演讲比赛二等奖，荣获天津天狮学院“朋辈导师”称号，荣获2019-2020学年“校级一等奖学金”，荣获2019-2020学年“优秀学生干部”，荣获2019-2020学年校级“学习进步二等奖学金”，荣获“天津天狮学院学生资助宣传大使”，荣获2018-2019学年食品工程学院团委、学生会“优秀部长”称号，荣获2017-2018学年校级“三好学生”，荣获2018年天津天狮学院“优秀共青团干部”，荣获2018-2019天津市马拉松、残疾人运动会“优秀志愿者”，荣获天津天狮学院2019年度“志愿之星”，荣获2018-2019学年校级“优秀学生干部”，荣获2018-2019学年校级“校级社会实践先进个人”，荣获2019-2020学年食品工程学院“优秀学生干部”，荣获“天狮之星——自强之星入围奖”、“天狮之星——学干之星入围奖”，荣获2020-2021学年“国家励志奖学金”，荣获2018——2019学年“校级励志奖学金”。</w:t>
      </w:r>
    </w:p>
    <w:p>
      <w:pPr>
        <w:ind w:firstLine="482"/>
        <w:outlineLvl w:val="2"/>
        <w:rPr>
          <w:rFonts w:cs="Times New Roman"/>
          <w:b/>
          <w:bCs/>
          <w:color w:val="005099"/>
          <w:sz w:val="24"/>
        </w:rPr>
      </w:pPr>
      <w:bookmarkStart w:id="118" w:name="_Toc90288283"/>
      <w:r>
        <w:rPr>
          <w:rFonts w:hint="eastAsia" w:cs="Times New Roman"/>
          <w:b/>
          <w:bCs/>
          <w:color w:val="005099"/>
          <w:sz w:val="24"/>
        </w:rPr>
        <w:t>（六）西部计划</w:t>
      </w:r>
      <w:bookmarkEnd w:id="118"/>
    </w:p>
    <w:p>
      <w:pPr>
        <w:pStyle w:val="5"/>
      </w:pPr>
      <w:r>
        <w:rPr>
          <w:rFonts w:hint="eastAsia"/>
        </w:rPr>
        <w:t>1.魏乾旺，男，经济管理学院劳动与社会保障专业2班，现为西藏阿里地区应急管理局办公室的一名西部计划志愿者。</w:t>
      </w:r>
    </w:p>
    <w:p>
      <w:pPr>
        <w:ind w:firstLine="420"/>
        <w:rPr>
          <w:rFonts w:cs="Times New Roman"/>
          <w:szCs w:val="21"/>
        </w:rPr>
      </w:pPr>
      <w:r>
        <w:rPr>
          <w:rFonts w:hint="eastAsia" w:cs="Times New Roman"/>
          <w:szCs w:val="21"/>
        </w:rPr>
        <w:t>该生在校期间表现突出，成绩优异，在毕业季主动报名大学生西部计划志愿者，积极投身西部建设，坚定信念，回到家乡建设西部，以实际行动扎根西部，服务基层。克服各种困难，与同事和睦相处，保质保量完成各项工作，获得了领导和同事的一致好评。为祖国西部建设贡献自己的力量，让青春绽放在祖国最需要的地方。</w:t>
      </w:r>
    </w:p>
    <w:p>
      <w:pPr>
        <w:pStyle w:val="5"/>
      </w:pPr>
      <w:r>
        <w:rPr>
          <w:rFonts w:hint="eastAsia"/>
        </w:rPr>
        <w:t>2.王润泽，男，艺术与设计学院2017级音乐一班，现为西部计划志愿者服务地为新疆维吾尔自治区巴音郭勒蒙古自治州且末县，服务岗位：且末县委党校。</w:t>
      </w:r>
    </w:p>
    <w:p>
      <w:pPr>
        <w:ind w:firstLine="420"/>
        <w:rPr>
          <w:rFonts w:cs="Times New Roman"/>
          <w:szCs w:val="21"/>
        </w:rPr>
      </w:pPr>
      <w:r>
        <w:rPr>
          <w:rFonts w:hint="eastAsia" w:cs="Times New Roman"/>
          <w:szCs w:val="21"/>
        </w:rPr>
        <w:t>该生在校期间获得校级三等奖学金并担任班级四年班长，积极组织同学参加院校活动。全班同学荣获：“一班一品”校级一等奖。疫情期间积极参加疫情防控志愿服务，累计服务时长300小时以上。作为志愿者从祖国东北跑到西南，看到了基层工作的单调、枯燥，但也看到了正因为这些单调的基层工作正是人民生活蒸蒸日上的基石，所以决定脚踏实地又怀揣着复兴伟大祖国的梦想继续奋斗。</w:t>
      </w:r>
    </w:p>
    <w:p>
      <w:pPr>
        <w:ind w:firstLine="420"/>
      </w:pPr>
    </w:p>
    <w:p>
      <w:pPr>
        <w:spacing w:line="300" w:lineRule="auto"/>
        <w:ind w:firstLine="0" w:firstLineChars="0"/>
        <w:rPr>
          <w:rFonts w:ascii="宋体" w:hAnsi="宋体"/>
          <w:color w:val="000000"/>
          <w:sz w:val="24"/>
        </w:rPr>
      </w:pPr>
    </w:p>
    <w:p>
      <w:pPr>
        <w:pStyle w:val="37"/>
        <w:spacing w:line="300" w:lineRule="auto"/>
        <w:ind w:left="1260" w:hanging="420" w:firstLineChars="0"/>
        <w:rPr>
          <w:rFonts w:ascii="宋体" w:hAnsi="宋体" w:eastAsia="宋体"/>
          <w:color w:val="000000"/>
          <w:sz w:val="24"/>
          <w:szCs w:val="24"/>
          <w:u w:val="single"/>
        </w:rPr>
      </w:pPr>
    </w:p>
    <w:p>
      <w:pPr>
        <w:ind w:firstLine="420"/>
      </w:pPr>
      <w:r>
        <w:br w:type="page"/>
      </w:r>
    </w:p>
    <w:p>
      <w:pPr>
        <w:shd w:val="clear" w:color="auto" w:fill="005099"/>
        <w:ind w:firstLine="0" w:firstLineChars="0"/>
        <w:jc w:val="center"/>
        <w:outlineLvl w:val="0"/>
        <w:rPr>
          <w:rFonts w:ascii="宋体" w:hAnsi="宋体"/>
          <w:b/>
          <w:bCs/>
          <w:color w:val="FFFFFF" w:themeColor="background1"/>
          <w:sz w:val="32"/>
          <w:szCs w:val="32"/>
          <w14:textFill>
            <w14:solidFill>
              <w14:schemeClr w14:val="bg1"/>
            </w14:solidFill>
          </w14:textFill>
        </w:rPr>
      </w:pPr>
      <w:bookmarkStart w:id="119" w:name="_Toc90288284"/>
      <w:r>
        <w:rPr>
          <w:rFonts w:hint="eastAsia" w:ascii="宋体" w:hAnsi="宋体"/>
          <w:b/>
          <w:bCs/>
          <w:color w:val="FFFFFF" w:themeColor="background1"/>
          <w:sz w:val="32"/>
          <w:szCs w:val="32"/>
          <w14:textFill>
            <w14:solidFill>
              <w14:schemeClr w14:val="bg1"/>
            </w14:solidFill>
          </w14:textFill>
        </w:rPr>
        <w:t>第九章 趋势分析与总结</w:t>
      </w:r>
      <w:bookmarkEnd w:id="119"/>
    </w:p>
    <w:p>
      <w:pPr>
        <w:ind w:firstLine="602"/>
        <w:outlineLvl w:val="1"/>
        <w:rPr>
          <w:rFonts w:cs="Times New Roman"/>
          <w:b/>
          <w:bCs/>
          <w:color w:val="005099"/>
          <w:sz w:val="30"/>
          <w:szCs w:val="30"/>
        </w:rPr>
      </w:pPr>
      <w:bookmarkStart w:id="120" w:name="_Toc90288285"/>
      <w:r>
        <w:rPr>
          <w:rFonts w:hint="eastAsia" w:cs="Times New Roman"/>
          <w:b/>
          <w:bCs/>
          <w:color w:val="005099"/>
          <w:sz w:val="30"/>
          <w:szCs w:val="30"/>
        </w:rPr>
        <w:t>一、就业发展趋势对比</w:t>
      </w:r>
      <w:bookmarkEnd w:id="120"/>
    </w:p>
    <w:p>
      <w:pPr>
        <w:ind w:firstLine="482"/>
        <w:outlineLvl w:val="2"/>
        <w:rPr>
          <w:rFonts w:cs="Times New Roman"/>
          <w:b/>
          <w:bCs/>
          <w:color w:val="005099"/>
          <w:sz w:val="24"/>
        </w:rPr>
      </w:pPr>
      <w:bookmarkStart w:id="121" w:name="_Toc90288286"/>
      <w:r>
        <w:rPr>
          <w:rFonts w:hint="eastAsia" w:cs="Times New Roman"/>
          <w:b/>
          <w:bCs/>
          <w:color w:val="005099"/>
          <w:sz w:val="24"/>
        </w:rPr>
        <w:t>（一）就业质量变化趋势</w:t>
      </w:r>
      <w:bookmarkEnd w:id="121"/>
    </w:p>
    <w:p>
      <w:pPr>
        <w:pStyle w:val="5"/>
      </w:pPr>
      <w:r>
        <w:rPr>
          <w:rFonts w:hint="eastAsia"/>
        </w:rPr>
        <w:t>1</w:t>
      </w:r>
      <w:r>
        <w:t>.</w:t>
      </w:r>
      <w:r>
        <w:rPr>
          <w:rFonts w:hint="eastAsia"/>
        </w:rPr>
        <w:t>毕业生规模、毕业去向落实率变化</w:t>
      </w:r>
    </w:p>
    <w:p>
      <w:pPr>
        <w:ind w:firstLine="420"/>
        <w:rPr>
          <w:rFonts w:cs="Times New Roman"/>
          <w:szCs w:val="21"/>
        </w:rPr>
      </w:pPr>
      <w:r>
        <w:rPr>
          <w:rFonts w:hint="eastAsia" w:cs="Times New Roman"/>
          <w:szCs w:val="21"/>
        </w:rPr>
        <w:t>201</w:t>
      </w:r>
      <w:r>
        <w:rPr>
          <w:rFonts w:cs="Times New Roman"/>
          <w:szCs w:val="21"/>
        </w:rPr>
        <w:t>9</w:t>
      </w:r>
      <w:r>
        <w:rPr>
          <w:rFonts w:hint="eastAsia" w:cs="Times New Roman"/>
          <w:szCs w:val="21"/>
        </w:rPr>
        <w:t>-202</w:t>
      </w:r>
      <w:r>
        <w:rPr>
          <w:rFonts w:cs="Times New Roman"/>
          <w:szCs w:val="21"/>
        </w:rPr>
        <w:t>1届</w:t>
      </w:r>
      <w:r>
        <w:rPr>
          <w:rFonts w:hint="eastAsia" w:cs="Times New Roman"/>
          <w:szCs w:val="21"/>
        </w:rPr>
        <w:t>整体毕业生</w:t>
      </w:r>
      <w:r>
        <w:rPr>
          <w:rFonts w:cs="Times New Roman"/>
          <w:szCs w:val="21"/>
        </w:rPr>
        <w:t>生源数量</w:t>
      </w:r>
      <w:r>
        <w:rPr>
          <w:rFonts w:hint="eastAsia" w:cs="Times New Roman"/>
          <w:szCs w:val="21"/>
        </w:rPr>
        <w:t>呈上升趋势</w:t>
      </w:r>
      <w:r>
        <w:rPr>
          <w:rFonts w:cs="Times New Roman"/>
          <w:szCs w:val="21"/>
        </w:rPr>
        <w:t>，</w:t>
      </w:r>
      <w:r>
        <w:rPr>
          <w:rFonts w:hint="eastAsia" w:cs="Times New Roman"/>
          <w:szCs w:val="21"/>
        </w:rPr>
        <w:t>202</w:t>
      </w:r>
      <w:r>
        <w:rPr>
          <w:rFonts w:cs="Times New Roman"/>
          <w:szCs w:val="21"/>
        </w:rPr>
        <w:t>1届相比</w:t>
      </w:r>
      <w:r>
        <w:rPr>
          <w:rFonts w:hint="eastAsia" w:cs="Times New Roman"/>
          <w:szCs w:val="21"/>
        </w:rPr>
        <w:t>20</w:t>
      </w:r>
      <w:r>
        <w:rPr>
          <w:rFonts w:cs="Times New Roman"/>
          <w:szCs w:val="21"/>
        </w:rPr>
        <w:t>20届有</w:t>
      </w:r>
      <w:r>
        <w:rPr>
          <w:rFonts w:hint="eastAsia" w:cs="Times New Roman"/>
          <w:szCs w:val="21"/>
        </w:rPr>
        <w:t>增加</w:t>
      </w:r>
      <w:r>
        <w:rPr>
          <w:rFonts w:cs="Times New Roman"/>
          <w:szCs w:val="21"/>
        </w:rPr>
        <w:t>。</w:t>
      </w:r>
      <w:r>
        <w:rPr>
          <w:rFonts w:hint="eastAsia" w:cs="Times New Roman"/>
          <w:szCs w:val="21"/>
        </w:rPr>
        <w:t>201</w:t>
      </w:r>
      <w:r>
        <w:rPr>
          <w:rFonts w:cs="Times New Roman"/>
          <w:szCs w:val="21"/>
        </w:rPr>
        <w:t>9</w:t>
      </w:r>
      <w:r>
        <w:rPr>
          <w:rFonts w:hint="eastAsia" w:cs="Times New Roman"/>
          <w:szCs w:val="21"/>
        </w:rPr>
        <w:t>-202</w:t>
      </w:r>
      <w:r>
        <w:rPr>
          <w:rFonts w:cs="Times New Roman"/>
          <w:szCs w:val="21"/>
        </w:rPr>
        <w:t>1届毕业生毕业去向落实率变化趋势数据显示：学校近三届毕业生平均毕业去向落实率为77.38</w:t>
      </w:r>
      <w:r>
        <w:rPr>
          <w:rFonts w:hint="eastAsia" w:cs="Times New Roman"/>
          <w:szCs w:val="21"/>
        </w:rPr>
        <w:t>%</w:t>
      </w:r>
      <w:r>
        <w:rPr>
          <w:rFonts w:cs="Times New Roman"/>
          <w:szCs w:val="21"/>
        </w:rPr>
        <w:t>，</w:t>
      </w:r>
      <w:r>
        <w:rPr>
          <w:rFonts w:hint="eastAsia" w:cs="Times New Roman"/>
          <w:szCs w:val="21"/>
        </w:rPr>
        <w:t>202</w:t>
      </w:r>
      <w:r>
        <w:rPr>
          <w:rFonts w:cs="Times New Roman"/>
          <w:szCs w:val="21"/>
        </w:rPr>
        <w:t>1届毕业</w:t>
      </w:r>
      <w:r>
        <w:rPr>
          <w:rFonts w:hint="eastAsia" w:cs="Times New Roman"/>
          <w:szCs w:val="21"/>
        </w:rPr>
        <w:t>生</w:t>
      </w:r>
      <w:r>
        <w:rPr>
          <w:rFonts w:cs="Times New Roman"/>
          <w:szCs w:val="21"/>
        </w:rPr>
        <w:t>的毕业去向落实率</w:t>
      </w:r>
      <w:r>
        <w:rPr>
          <w:rFonts w:hint="eastAsia" w:cs="Times New Roman"/>
          <w:szCs w:val="21"/>
        </w:rPr>
        <w:t>均高</w:t>
      </w:r>
      <w:r>
        <w:rPr>
          <w:rFonts w:cs="Times New Roman"/>
          <w:szCs w:val="21"/>
        </w:rPr>
        <w:t>于</w:t>
      </w:r>
      <w:r>
        <w:rPr>
          <w:rFonts w:hint="eastAsia" w:cs="Times New Roman"/>
          <w:szCs w:val="21"/>
        </w:rPr>
        <w:t>201</w:t>
      </w:r>
      <w:r>
        <w:rPr>
          <w:rFonts w:cs="Times New Roman"/>
          <w:szCs w:val="21"/>
        </w:rPr>
        <w:t>9届和</w:t>
      </w:r>
      <w:r>
        <w:rPr>
          <w:rFonts w:hint="eastAsia" w:cs="Times New Roman"/>
          <w:szCs w:val="21"/>
        </w:rPr>
        <w:t>20</w:t>
      </w:r>
      <w:r>
        <w:rPr>
          <w:rFonts w:cs="Times New Roman"/>
          <w:szCs w:val="21"/>
        </w:rPr>
        <w:t>20届</w:t>
      </w:r>
      <w:r>
        <w:rPr>
          <w:rFonts w:hint="eastAsia" w:cs="Times New Roman"/>
          <w:szCs w:val="21"/>
        </w:rPr>
        <w:t>毕业生</w:t>
      </w:r>
      <w:r>
        <w:rPr>
          <w:rFonts w:cs="Times New Roman"/>
          <w:szCs w:val="21"/>
        </w:rPr>
        <w:t>。</w:t>
      </w:r>
    </w:p>
    <w:p>
      <w:pPr>
        <w:keepNext/>
        <w:spacing w:line="300" w:lineRule="auto"/>
        <w:ind w:firstLine="0" w:firstLineChars="0"/>
        <w:jc w:val="center"/>
      </w:pPr>
      <w:r>
        <w:drawing>
          <wp:inline distT="0" distB="0" distL="0" distR="0">
            <wp:extent cx="5137785" cy="2743200"/>
            <wp:effectExtent l="0" t="0" r="5715"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8"/>
        <w:rPr>
          <w:rFonts w:ascii="宋体" w:hAnsi="宋体"/>
          <w:color w:val="000000"/>
          <w:sz w:val="24"/>
        </w:rPr>
      </w:pPr>
      <w:r>
        <w:rPr>
          <w:rFonts w:hint="eastAsia"/>
        </w:rPr>
        <w:t xml:space="preserve">图9- </w:t>
      </w:r>
      <w:r>
        <w:fldChar w:fldCharType="begin"/>
      </w:r>
      <w:r>
        <w:instrText xml:space="preserve"> </w:instrText>
      </w:r>
      <w:r>
        <w:rPr>
          <w:rFonts w:hint="eastAsia"/>
        </w:rPr>
        <w:instrText xml:space="preserve">SEQ 图9- \* ARABIC</w:instrText>
      </w:r>
      <w:r>
        <w:instrText xml:space="preserve"> </w:instrText>
      </w:r>
      <w:r>
        <w:fldChar w:fldCharType="separate"/>
      </w:r>
      <w:r>
        <w:t>1</w:t>
      </w:r>
      <w:r>
        <w:fldChar w:fldCharType="end"/>
      </w:r>
      <w:r>
        <w:t xml:space="preserve"> </w:t>
      </w:r>
      <w:r>
        <w:rPr>
          <w:rFonts w:hint="eastAsia"/>
        </w:rPr>
        <w:t>毕业生规模、毕业去向落实率变化</w:t>
      </w:r>
    </w:p>
    <w:p>
      <w:pPr>
        <w:spacing w:line="300" w:lineRule="auto"/>
        <w:ind w:firstLine="0" w:firstLineChars="0"/>
        <w:rPr>
          <w:rFonts w:ascii="宋体" w:hAnsi="宋体"/>
          <w:color w:val="000000"/>
          <w:sz w:val="24"/>
        </w:rPr>
      </w:pPr>
    </w:p>
    <w:p>
      <w:pPr>
        <w:pStyle w:val="5"/>
      </w:pPr>
      <w:r>
        <w:rPr>
          <w:rFonts w:hint="eastAsia"/>
        </w:rPr>
        <w:t>2</w:t>
      </w:r>
      <w:r>
        <w:t>.</w:t>
      </w:r>
      <w:r>
        <w:rPr>
          <w:rFonts w:hint="eastAsia"/>
        </w:rPr>
        <w:t>升学率、自主创业率变化</w:t>
      </w:r>
    </w:p>
    <w:p>
      <w:pPr>
        <w:ind w:firstLine="420"/>
        <w:rPr>
          <w:rFonts w:cs="Times New Roman"/>
          <w:szCs w:val="21"/>
        </w:rPr>
      </w:pPr>
      <w:r>
        <w:rPr>
          <w:rFonts w:hint="eastAsia" w:cs="Times New Roman"/>
          <w:szCs w:val="21"/>
        </w:rPr>
        <w:t>201</w:t>
      </w:r>
      <w:r>
        <w:rPr>
          <w:rFonts w:cs="Times New Roman"/>
          <w:szCs w:val="21"/>
        </w:rPr>
        <w:t>9</w:t>
      </w:r>
      <w:r>
        <w:rPr>
          <w:rFonts w:hint="eastAsia" w:cs="Times New Roman"/>
          <w:szCs w:val="21"/>
        </w:rPr>
        <w:t>-202</w:t>
      </w:r>
      <w:r>
        <w:rPr>
          <w:rFonts w:cs="Times New Roman"/>
          <w:szCs w:val="21"/>
        </w:rPr>
        <w:t>1届毕业生升学人数</w:t>
      </w:r>
      <w:r>
        <w:rPr>
          <w:rFonts w:hint="eastAsia" w:cs="Times New Roman"/>
          <w:szCs w:val="21"/>
        </w:rPr>
        <w:t>呈上升趋势</w:t>
      </w:r>
      <w:r>
        <w:rPr>
          <w:rFonts w:cs="Times New Roman"/>
          <w:szCs w:val="21"/>
        </w:rPr>
        <w:t>，近3届毕业生平均升学率为2.29</w:t>
      </w:r>
      <w:r>
        <w:rPr>
          <w:rFonts w:hint="eastAsia" w:cs="Times New Roman"/>
          <w:szCs w:val="21"/>
        </w:rPr>
        <w:t>%</w:t>
      </w:r>
      <w:r>
        <w:rPr>
          <w:rFonts w:cs="Times New Roman"/>
          <w:szCs w:val="21"/>
        </w:rPr>
        <w:t>。</w:t>
      </w:r>
      <w:r>
        <w:rPr>
          <w:rFonts w:hint="eastAsia" w:cs="Times New Roman"/>
          <w:szCs w:val="21"/>
        </w:rPr>
        <w:t>202</w:t>
      </w:r>
      <w:r>
        <w:rPr>
          <w:rFonts w:cs="Times New Roman"/>
          <w:szCs w:val="21"/>
        </w:rPr>
        <w:t>1届升学率</w:t>
      </w:r>
      <w:r>
        <w:rPr>
          <w:rFonts w:hint="eastAsia" w:cs="Times New Roman"/>
          <w:szCs w:val="21"/>
        </w:rPr>
        <w:t>较去年略有降低</w:t>
      </w:r>
      <w:r>
        <w:rPr>
          <w:rFonts w:cs="Times New Roman"/>
          <w:szCs w:val="21"/>
        </w:rPr>
        <w:t>。</w:t>
      </w:r>
    </w:p>
    <w:p>
      <w:pPr>
        <w:keepNext/>
        <w:ind w:firstLine="0" w:firstLineChars="0"/>
        <w:jc w:val="center"/>
      </w:pPr>
      <w:r>
        <w:drawing>
          <wp:inline distT="0" distB="0" distL="0" distR="0">
            <wp:extent cx="5192395" cy="2743200"/>
            <wp:effectExtent l="0" t="0" r="8255"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8"/>
        <w:rPr>
          <w:rFonts w:ascii="宋体" w:hAnsi="宋体"/>
          <w:color w:val="000000"/>
          <w:sz w:val="24"/>
          <w:szCs w:val="24"/>
        </w:rPr>
      </w:pPr>
      <w:r>
        <w:rPr>
          <w:rFonts w:hint="eastAsia"/>
        </w:rPr>
        <w:t xml:space="preserve">图9- </w:t>
      </w:r>
      <w:r>
        <w:fldChar w:fldCharType="begin"/>
      </w:r>
      <w:r>
        <w:instrText xml:space="preserve"> </w:instrText>
      </w:r>
      <w:r>
        <w:rPr>
          <w:rFonts w:hint="eastAsia"/>
        </w:rPr>
        <w:instrText xml:space="preserve">SEQ 图9- \* ARABIC</w:instrText>
      </w:r>
      <w:r>
        <w:instrText xml:space="preserve"> </w:instrText>
      </w:r>
      <w:r>
        <w:fldChar w:fldCharType="separate"/>
      </w:r>
      <w:r>
        <w:t>2</w:t>
      </w:r>
      <w:r>
        <w:fldChar w:fldCharType="end"/>
      </w:r>
      <w:r>
        <w:t xml:space="preserve"> </w:t>
      </w:r>
      <w:r>
        <w:rPr>
          <w:rFonts w:hint="eastAsia"/>
        </w:rPr>
        <w:t xml:space="preserve">毕业生升学率变化 </w:t>
      </w:r>
    </w:p>
    <w:p>
      <w:pPr>
        <w:spacing w:line="300" w:lineRule="auto"/>
        <w:ind w:firstLine="0" w:firstLineChars="0"/>
        <w:rPr>
          <w:rFonts w:ascii="宋体" w:hAnsi="宋体"/>
          <w:color w:val="000000"/>
          <w:sz w:val="24"/>
        </w:rPr>
      </w:pPr>
    </w:p>
    <w:p>
      <w:pPr>
        <w:pStyle w:val="5"/>
      </w:pPr>
      <w:r>
        <w:rPr>
          <w:rFonts w:hint="eastAsia"/>
        </w:rPr>
        <w:t>3</w:t>
      </w:r>
      <w:r>
        <w:t>.</w:t>
      </w:r>
      <w:r>
        <w:rPr>
          <w:rFonts w:hint="eastAsia"/>
        </w:rPr>
        <w:t>就业质量变化趋势</w:t>
      </w:r>
    </w:p>
    <w:p>
      <w:pPr>
        <w:ind w:firstLine="420"/>
        <w:rPr>
          <w:rFonts w:cs="Times New Roman"/>
          <w:szCs w:val="21"/>
        </w:rPr>
      </w:pPr>
      <w:r>
        <w:rPr>
          <w:rFonts w:hint="eastAsia" w:cs="Times New Roman"/>
          <w:szCs w:val="21"/>
        </w:rPr>
        <w:t>综合来看毕业生就业的相关指标来看，20</w:t>
      </w:r>
      <w:r>
        <w:rPr>
          <w:rFonts w:cs="Times New Roman"/>
          <w:szCs w:val="21"/>
        </w:rPr>
        <w:t>21</w:t>
      </w:r>
      <w:r>
        <w:rPr>
          <w:rFonts w:hint="eastAsia" w:cs="Times New Roman"/>
          <w:szCs w:val="21"/>
        </w:rPr>
        <w:t>届毕业生的就业满意度、专业相关度和职业期待吻合度均高于201</w:t>
      </w:r>
      <w:r>
        <w:rPr>
          <w:rFonts w:cs="Times New Roman"/>
          <w:szCs w:val="21"/>
        </w:rPr>
        <w:t>9</w:t>
      </w:r>
      <w:r>
        <w:rPr>
          <w:rFonts w:hint="eastAsia" w:cs="Times New Roman"/>
          <w:szCs w:val="21"/>
        </w:rPr>
        <w:t>届和20</w:t>
      </w:r>
      <w:r>
        <w:rPr>
          <w:rFonts w:cs="Times New Roman"/>
          <w:szCs w:val="21"/>
        </w:rPr>
        <w:t>20</w:t>
      </w:r>
      <w:r>
        <w:rPr>
          <w:rFonts w:hint="eastAsia" w:cs="Times New Roman"/>
          <w:szCs w:val="21"/>
        </w:rPr>
        <w:t>届，离职率均低于</w:t>
      </w:r>
      <w:r>
        <w:rPr>
          <w:rFonts w:cs="Times New Roman"/>
          <w:szCs w:val="21"/>
        </w:rPr>
        <w:t>2019</w:t>
      </w:r>
      <w:r>
        <w:rPr>
          <w:rFonts w:hint="eastAsia" w:cs="Times New Roman"/>
          <w:szCs w:val="21"/>
        </w:rPr>
        <w:t>届和</w:t>
      </w:r>
      <w:r>
        <w:rPr>
          <w:rFonts w:cs="Times New Roman"/>
          <w:szCs w:val="21"/>
        </w:rPr>
        <w:t>2020</w:t>
      </w:r>
      <w:r>
        <w:rPr>
          <w:rFonts w:hint="eastAsia" w:cs="Times New Roman"/>
          <w:szCs w:val="21"/>
        </w:rPr>
        <w:t>届。</w:t>
      </w:r>
    </w:p>
    <w:p>
      <w:pPr>
        <w:keepNext/>
        <w:ind w:firstLine="0" w:firstLineChars="0"/>
        <w:jc w:val="center"/>
      </w:pPr>
      <w:r>
        <w:drawing>
          <wp:inline distT="0" distB="0" distL="0" distR="0">
            <wp:extent cx="5133975" cy="2657475"/>
            <wp:effectExtent l="0" t="0" r="0" b="0"/>
            <wp:docPr id="30" name="图表 30" descr="EasyShu: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8"/>
      </w:pPr>
      <w:r>
        <w:rPr>
          <w:rFonts w:hint="eastAsia"/>
        </w:rPr>
        <w:t xml:space="preserve">图9- </w:t>
      </w:r>
      <w:r>
        <w:fldChar w:fldCharType="begin"/>
      </w:r>
      <w:r>
        <w:instrText xml:space="preserve"> </w:instrText>
      </w:r>
      <w:r>
        <w:rPr>
          <w:rFonts w:hint="eastAsia"/>
        </w:rPr>
        <w:instrText xml:space="preserve">SEQ 图9- \* ARABIC</w:instrText>
      </w:r>
      <w:r>
        <w:instrText xml:space="preserve"> </w:instrText>
      </w:r>
      <w:r>
        <w:fldChar w:fldCharType="separate"/>
      </w:r>
      <w:r>
        <w:t>3</w:t>
      </w:r>
      <w:r>
        <w:fldChar w:fldCharType="end"/>
      </w:r>
      <w:r>
        <w:t xml:space="preserve"> </w:t>
      </w:r>
      <w:r>
        <w:rPr>
          <w:rFonts w:hint="eastAsia"/>
        </w:rPr>
        <w:t>就业质量变化趋势</w:t>
      </w:r>
    </w:p>
    <w:p>
      <w:pPr>
        <w:spacing w:line="300" w:lineRule="auto"/>
        <w:ind w:firstLine="0" w:firstLineChars="0"/>
        <w:rPr>
          <w:rFonts w:ascii="宋体" w:hAnsi="宋体"/>
          <w:color w:val="000000"/>
          <w:sz w:val="24"/>
        </w:rPr>
      </w:pPr>
    </w:p>
    <w:p>
      <w:pPr>
        <w:ind w:firstLine="482"/>
        <w:outlineLvl w:val="2"/>
        <w:rPr>
          <w:rFonts w:cs="Times New Roman"/>
          <w:b/>
          <w:bCs/>
          <w:color w:val="005099"/>
          <w:sz w:val="24"/>
        </w:rPr>
      </w:pPr>
      <w:bookmarkStart w:id="122" w:name="_Toc90288287"/>
      <w:r>
        <w:rPr>
          <w:rFonts w:hint="eastAsia" w:cs="Times New Roman"/>
          <w:b/>
          <w:bCs/>
          <w:color w:val="005099"/>
          <w:sz w:val="24"/>
        </w:rPr>
        <w:t>（二）就业结构变化趋势</w:t>
      </w:r>
      <w:bookmarkEnd w:id="122"/>
    </w:p>
    <w:p>
      <w:pPr>
        <w:pStyle w:val="5"/>
      </w:pPr>
      <w:r>
        <w:rPr>
          <w:rFonts w:hint="eastAsia"/>
        </w:rPr>
        <w:t>1</w:t>
      </w:r>
      <w:r>
        <w:t>.</w:t>
      </w:r>
      <w:r>
        <w:rPr>
          <w:rFonts w:hint="eastAsia"/>
        </w:rPr>
        <w:t>就业行业变化</w:t>
      </w:r>
    </w:p>
    <w:p>
      <w:pPr>
        <w:ind w:firstLine="420"/>
        <w:rPr>
          <w:rFonts w:cs="Times New Roman"/>
          <w:szCs w:val="21"/>
        </w:rPr>
      </w:pPr>
      <w:r>
        <w:rPr>
          <w:rFonts w:hint="eastAsia" w:cs="Times New Roman"/>
          <w:szCs w:val="21"/>
        </w:rPr>
        <w:t>本校202</w:t>
      </w:r>
      <w:r>
        <w:rPr>
          <w:rFonts w:cs="Times New Roman"/>
          <w:szCs w:val="21"/>
        </w:rPr>
        <w:t>1</w:t>
      </w:r>
      <w:r>
        <w:rPr>
          <w:rFonts w:hint="eastAsia" w:cs="Times New Roman"/>
          <w:szCs w:val="21"/>
        </w:rPr>
        <w:t>届毕业生就业比例较高的行业类为教育业（</w:t>
      </w:r>
      <w:r>
        <w:rPr>
          <w:rFonts w:cs="Times New Roman"/>
          <w:szCs w:val="21"/>
        </w:rPr>
        <w:t>16.23</w:t>
      </w:r>
      <w:r>
        <w:rPr>
          <w:rFonts w:hint="eastAsia" w:cs="Times New Roman"/>
          <w:szCs w:val="21"/>
        </w:rPr>
        <w:t>%），</w:t>
      </w:r>
      <w:bookmarkStart w:id="123" w:name="_Hlk89691448"/>
      <w:r>
        <w:rPr>
          <w:rFonts w:hint="eastAsia" w:cs="Times New Roman"/>
          <w:szCs w:val="21"/>
        </w:rPr>
        <w:t>信息传输、软件和信息技术服务业</w:t>
      </w:r>
      <w:bookmarkEnd w:id="123"/>
      <w:r>
        <w:rPr>
          <w:rFonts w:hint="eastAsia" w:cs="Times New Roman"/>
          <w:szCs w:val="21"/>
        </w:rPr>
        <w:t>（</w:t>
      </w:r>
      <w:r>
        <w:rPr>
          <w:rFonts w:cs="Times New Roman"/>
          <w:szCs w:val="21"/>
        </w:rPr>
        <w:t>10.68</w:t>
      </w:r>
      <w:r>
        <w:rPr>
          <w:rFonts w:hint="eastAsia" w:cs="Times New Roman"/>
          <w:szCs w:val="21"/>
        </w:rPr>
        <w:t>%），卫生和社会工作（</w:t>
      </w:r>
      <w:r>
        <w:rPr>
          <w:rFonts w:cs="Times New Roman"/>
          <w:szCs w:val="21"/>
        </w:rPr>
        <w:t>4.98</w:t>
      </w:r>
      <w:r>
        <w:rPr>
          <w:rFonts w:hint="eastAsia" w:cs="Times New Roman"/>
          <w:szCs w:val="21"/>
        </w:rPr>
        <w:t>%）。本校近三届毕业生就业于“信息传输、软件和信息技术服务业”行业类的比例呈上升趋势。</w:t>
      </w:r>
    </w:p>
    <w:p>
      <w:pPr>
        <w:pStyle w:val="8"/>
        <w:keepNext/>
      </w:pPr>
      <w:r>
        <w:rPr>
          <w:rFonts w:hint="eastAsia"/>
        </w:rPr>
        <w:t xml:space="preserve">表9- </w:t>
      </w:r>
      <w:r>
        <w:fldChar w:fldCharType="begin"/>
      </w:r>
      <w:r>
        <w:instrText xml:space="preserve"> </w:instrText>
      </w:r>
      <w:r>
        <w:rPr>
          <w:rFonts w:hint="eastAsia"/>
        </w:rPr>
        <w:instrText xml:space="preserve">SEQ 表9- \* ARABIC</w:instrText>
      </w:r>
      <w:r>
        <w:instrText xml:space="preserve"> </w:instrText>
      </w:r>
      <w:r>
        <w:fldChar w:fldCharType="separate"/>
      </w:r>
      <w:r>
        <w:t>1</w:t>
      </w:r>
      <w:r>
        <w:fldChar w:fldCharType="end"/>
      </w:r>
      <w:r>
        <w:rPr>
          <w:rFonts w:hint="eastAsia"/>
        </w:rPr>
        <w:t>主要行业类需求变化趋势</w:t>
      </w:r>
    </w:p>
    <w:tbl>
      <w:tblPr>
        <w:tblStyle w:val="23"/>
        <w:tblW w:w="5000" w:type="pct"/>
        <w:tblInd w:w="0" w:type="dxa"/>
        <w:tblLayout w:type="autofit"/>
        <w:tblCellMar>
          <w:top w:w="0" w:type="dxa"/>
          <w:left w:w="108" w:type="dxa"/>
          <w:bottom w:w="0" w:type="dxa"/>
          <w:right w:w="108" w:type="dxa"/>
        </w:tblCellMar>
      </w:tblPr>
      <w:tblGrid>
        <w:gridCol w:w="4670"/>
        <w:gridCol w:w="1285"/>
        <w:gridCol w:w="1285"/>
        <w:gridCol w:w="1282"/>
      </w:tblGrid>
      <w:tr>
        <w:tblPrEx>
          <w:tblCellMar>
            <w:top w:w="0" w:type="dxa"/>
            <w:left w:w="108" w:type="dxa"/>
            <w:bottom w:w="0" w:type="dxa"/>
            <w:right w:w="108" w:type="dxa"/>
          </w:tblCellMar>
        </w:tblPrEx>
        <w:trPr>
          <w:trHeight w:val="20" w:hRule="atLeast"/>
        </w:trPr>
        <w:tc>
          <w:tcPr>
            <w:tcW w:w="2740"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hint="eastAsia" w:ascii="宋体" w:hAnsi="宋体" w:cs="Times New Roman"/>
                <w:b/>
                <w:bCs/>
                <w:color w:val="FFFFFF"/>
                <w:kern w:val="0"/>
                <w:sz w:val="18"/>
                <w:szCs w:val="18"/>
              </w:rPr>
              <w:t>行业类名称</w:t>
            </w:r>
          </w:p>
        </w:tc>
        <w:tc>
          <w:tcPr>
            <w:tcW w:w="754"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2019</w:t>
            </w:r>
            <w:r>
              <w:rPr>
                <w:rFonts w:hint="eastAsia" w:ascii="宋体" w:hAnsi="宋体" w:cs="Times New Roman"/>
                <w:b/>
                <w:bCs/>
                <w:color w:val="FFFFFF"/>
                <w:kern w:val="0"/>
                <w:sz w:val="18"/>
                <w:szCs w:val="18"/>
              </w:rPr>
              <w:t>届</w:t>
            </w:r>
          </w:p>
        </w:tc>
        <w:tc>
          <w:tcPr>
            <w:tcW w:w="754"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2020</w:t>
            </w:r>
            <w:r>
              <w:rPr>
                <w:rFonts w:hint="eastAsia" w:ascii="宋体" w:hAnsi="宋体" w:cs="Times New Roman"/>
                <w:b/>
                <w:bCs/>
                <w:color w:val="FFFFFF"/>
                <w:kern w:val="0"/>
                <w:sz w:val="18"/>
                <w:szCs w:val="18"/>
              </w:rPr>
              <w:t>届</w:t>
            </w:r>
          </w:p>
        </w:tc>
        <w:tc>
          <w:tcPr>
            <w:tcW w:w="752"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2021</w:t>
            </w:r>
            <w:r>
              <w:rPr>
                <w:rFonts w:hint="eastAsia" w:ascii="等线" w:hAnsi="等线" w:eastAsia="等线" w:cs="Times New Roman"/>
                <w:b/>
                <w:bCs/>
                <w:color w:val="FFFFFF"/>
                <w:kern w:val="0"/>
                <w:sz w:val="18"/>
                <w:szCs w:val="18"/>
              </w:rPr>
              <w:t>届</w:t>
            </w:r>
          </w:p>
        </w:tc>
      </w:tr>
      <w:tr>
        <w:tblPrEx>
          <w:tblCellMar>
            <w:top w:w="0" w:type="dxa"/>
            <w:left w:w="108" w:type="dxa"/>
            <w:bottom w:w="0" w:type="dxa"/>
            <w:right w:w="108" w:type="dxa"/>
          </w:tblCellMar>
        </w:tblPrEx>
        <w:trPr>
          <w:trHeight w:val="20" w:hRule="atLeast"/>
        </w:trPr>
        <w:tc>
          <w:tcPr>
            <w:tcW w:w="2740"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hint="eastAsia" w:ascii="宋体" w:hAnsi="宋体" w:cs="Times New Roman"/>
                <w:color w:val="000000"/>
                <w:kern w:val="0"/>
                <w:sz w:val="18"/>
                <w:szCs w:val="18"/>
              </w:rPr>
              <w:t>教育</w:t>
            </w:r>
          </w:p>
        </w:tc>
        <w:tc>
          <w:tcPr>
            <w:tcW w:w="754"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11.20%</w:t>
            </w:r>
          </w:p>
        </w:tc>
        <w:tc>
          <w:tcPr>
            <w:tcW w:w="754"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21%</w:t>
            </w:r>
          </w:p>
        </w:tc>
        <w:tc>
          <w:tcPr>
            <w:tcW w:w="752"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16.23%</w:t>
            </w:r>
          </w:p>
        </w:tc>
      </w:tr>
      <w:tr>
        <w:tblPrEx>
          <w:tblCellMar>
            <w:top w:w="0" w:type="dxa"/>
            <w:left w:w="108" w:type="dxa"/>
            <w:bottom w:w="0" w:type="dxa"/>
            <w:right w:w="108" w:type="dxa"/>
          </w:tblCellMar>
        </w:tblPrEx>
        <w:trPr>
          <w:trHeight w:val="20" w:hRule="atLeast"/>
        </w:trPr>
        <w:tc>
          <w:tcPr>
            <w:tcW w:w="2740" w:type="pct"/>
            <w:tcBorders>
              <w:top w:val="nil"/>
              <w:left w:val="nil"/>
              <w:bottom w:val="nil"/>
              <w:right w:val="nil"/>
            </w:tcBorders>
            <w:shd w:val="clear" w:color="000000" w:fill="DDEBF7"/>
            <w:vAlign w:val="center"/>
          </w:tcPr>
          <w:p>
            <w:pPr>
              <w:widowControl/>
              <w:spacing w:line="240" w:lineRule="auto"/>
              <w:ind w:firstLine="0" w:firstLineChars="0"/>
              <w:jc w:val="center"/>
              <w:rPr>
                <w:rFonts w:ascii="宋体" w:hAnsi="宋体" w:cs="Times New Roman"/>
                <w:color w:val="000000"/>
                <w:kern w:val="0"/>
                <w:sz w:val="18"/>
                <w:szCs w:val="18"/>
              </w:rPr>
            </w:pPr>
            <w:r>
              <w:rPr>
                <w:rFonts w:hint="eastAsia" w:ascii="宋体" w:hAnsi="宋体" w:cs="Times New Roman"/>
                <w:color w:val="000000"/>
                <w:kern w:val="0"/>
                <w:sz w:val="18"/>
                <w:szCs w:val="18"/>
              </w:rPr>
              <w:t>信息传输、软件和信息技术服务业</w:t>
            </w:r>
          </w:p>
        </w:tc>
        <w:tc>
          <w:tcPr>
            <w:tcW w:w="754"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7.70%</w:t>
            </w:r>
          </w:p>
        </w:tc>
        <w:tc>
          <w:tcPr>
            <w:tcW w:w="754"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7.30%</w:t>
            </w:r>
          </w:p>
        </w:tc>
        <w:tc>
          <w:tcPr>
            <w:tcW w:w="752" w:type="pct"/>
            <w:tcBorders>
              <w:top w:val="nil"/>
              <w:left w:val="nil"/>
              <w:bottom w:val="nil"/>
              <w:right w:val="nil"/>
            </w:tcBorders>
            <w:shd w:val="clear" w:color="000000"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10.68%</w:t>
            </w:r>
          </w:p>
        </w:tc>
      </w:tr>
      <w:tr>
        <w:tblPrEx>
          <w:tblCellMar>
            <w:top w:w="0" w:type="dxa"/>
            <w:left w:w="108" w:type="dxa"/>
            <w:bottom w:w="0" w:type="dxa"/>
            <w:right w:w="108" w:type="dxa"/>
          </w:tblCellMar>
        </w:tblPrEx>
        <w:trPr>
          <w:trHeight w:val="20" w:hRule="atLeast"/>
        </w:trPr>
        <w:tc>
          <w:tcPr>
            <w:tcW w:w="2740" w:type="pct"/>
            <w:tcBorders>
              <w:top w:val="nil"/>
              <w:left w:val="nil"/>
              <w:bottom w:val="nil"/>
              <w:right w:val="nil"/>
            </w:tcBorders>
            <w:shd w:val="clear" w:color="000000" w:fill="FFFFFF"/>
            <w:vAlign w:val="center"/>
          </w:tcPr>
          <w:p>
            <w:pPr>
              <w:widowControl/>
              <w:spacing w:line="240" w:lineRule="auto"/>
              <w:ind w:firstLine="0" w:firstLineChars="0"/>
              <w:jc w:val="center"/>
              <w:rPr>
                <w:rFonts w:ascii="宋体" w:hAnsi="宋体" w:cs="Times New Roman"/>
                <w:color w:val="000000"/>
                <w:kern w:val="0"/>
                <w:sz w:val="18"/>
                <w:szCs w:val="18"/>
              </w:rPr>
            </w:pPr>
            <w:r>
              <w:rPr>
                <w:rFonts w:hint="eastAsia" w:ascii="宋体" w:hAnsi="宋体" w:cs="Times New Roman"/>
                <w:color w:val="000000"/>
                <w:kern w:val="0"/>
                <w:sz w:val="18"/>
                <w:szCs w:val="18"/>
              </w:rPr>
              <w:t>卫生和社会工作</w:t>
            </w:r>
          </w:p>
        </w:tc>
        <w:tc>
          <w:tcPr>
            <w:tcW w:w="754"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6.90%</w:t>
            </w:r>
          </w:p>
        </w:tc>
        <w:tc>
          <w:tcPr>
            <w:tcW w:w="754"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11.70%</w:t>
            </w:r>
          </w:p>
        </w:tc>
        <w:tc>
          <w:tcPr>
            <w:tcW w:w="752"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4.98%</w:t>
            </w:r>
          </w:p>
        </w:tc>
      </w:tr>
      <w:tr>
        <w:tblPrEx>
          <w:tblCellMar>
            <w:top w:w="0" w:type="dxa"/>
            <w:left w:w="108" w:type="dxa"/>
            <w:bottom w:w="0" w:type="dxa"/>
            <w:right w:w="108" w:type="dxa"/>
          </w:tblCellMar>
        </w:tblPrEx>
        <w:trPr>
          <w:trHeight w:val="20" w:hRule="atLeast"/>
        </w:trPr>
        <w:tc>
          <w:tcPr>
            <w:tcW w:w="2740" w:type="pct"/>
            <w:tcBorders>
              <w:top w:val="nil"/>
              <w:left w:val="nil"/>
              <w:bottom w:val="nil"/>
              <w:right w:val="nil"/>
            </w:tcBorders>
            <w:shd w:val="clear" w:color="auto" w:fill="DDEBF7"/>
            <w:vAlign w:val="center"/>
          </w:tcPr>
          <w:p>
            <w:pPr>
              <w:widowControl/>
              <w:spacing w:line="240" w:lineRule="auto"/>
              <w:ind w:firstLine="0" w:firstLineChars="0"/>
              <w:jc w:val="center"/>
              <w:rPr>
                <w:rFonts w:eastAsia="等线" w:cs="Times New Roman"/>
                <w:color w:val="000000"/>
                <w:kern w:val="0"/>
                <w:sz w:val="18"/>
                <w:szCs w:val="18"/>
              </w:rPr>
            </w:pPr>
            <w:r>
              <w:rPr>
                <w:rFonts w:hint="eastAsia" w:ascii="宋体" w:hAnsi="宋体" w:cs="Times New Roman"/>
                <w:color w:val="000000"/>
                <w:kern w:val="0"/>
                <w:sz w:val="18"/>
                <w:szCs w:val="18"/>
              </w:rPr>
              <w:t>金融业</w:t>
            </w:r>
          </w:p>
        </w:tc>
        <w:tc>
          <w:tcPr>
            <w:tcW w:w="754" w:type="pct"/>
            <w:tcBorders>
              <w:top w:val="nil"/>
              <w:left w:val="nil"/>
              <w:bottom w:val="nil"/>
              <w:right w:val="nil"/>
            </w:tcBorders>
            <w:shd w:val="clear" w:color="auto"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9.60%</w:t>
            </w:r>
          </w:p>
        </w:tc>
        <w:tc>
          <w:tcPr>
            <w:tcW w:w="754" w:type="pct"/>
            <w:tcBorders>
              <w:top w:val="nil"/>
              <w:left w:val="nil"/>
              <w:bottom w:val="nil"/>
              <w:right w:val="nil"/>
            </w:tcBorders>
            <w:shd w:val="clear" w:color="auto"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7.30%</w:t>
            </w:r>
          </w:p>
        </w:tc>
        <w:tc>
          <w:tcPr>
            <w:tcW w:w="752" w:type="pct"/>
            <w:tcBorders>
              <w:top w:val="nil"/>
              <w:left w:val="nil"/>
              <w:bottom w:val="nil"/>
              <w:right w:val="nil"/>
            </w:tcBorders>
            <w:shd w:val="clear" w:color="auto"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2.70%</w:t>
            </w:r>
          </w:p>
        </w:tc>
      </w:tr>
      <w:tr>
        <w:tblPrEx>
          <w:tblCellMar>
            <w:top w:w="0" w:type="dxa"/>
            <w:left w:w="108" w:type="dxa"/>
            <w:bottom w:w="0" w:type="dxa"/>
            <w:right w:w="108" w:type="dxa"/>
          </w:tblCellMar>
        </w:tblPrEx>
        <w:trPr>
          <w:trHeight w:val="20" w:hRule="atLeast"/>
        </w:trPr>
        <w:tc>
          <w:tcPr>
            <w:tcW w:w="2740"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ascii="宋体" w:hAnsi="宋体" w:cs="Times New Roman"/>
                <w:color w:val="000000"/>
                <w:kern w:val="0"/>
                <w:sz w:val="18"/>
                <w:szCs w:val="18"/>
              </w:rPr>
            </w:pPr>
            <w:r>
              <w:rPr>
                <w:rFonts w:hint="eastAsia" w:ascii="宋体" w:hAnsi="宋体" w:cs="Times New Roman"/>
                <w:color w:val="000000"/>
                <w:kern w:val="0"/>
                <w:sz w:val="18"/>
                <w:szCs w:val="18"/>
              </w:rPr>
              <w:t>公共管理、社会保障和社会组织</w:t>
            </w:r>
          </w:p>
        </w:tc>
        <w:tc>
          <w:tcPr>
            <w:tcW w:w="754"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5%</w:t>
            </w:r>
          </w:p>
        </w:tc>
        <w:tc>
          <w:tcPr>
            <w:tcW w:w="754"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10.20%</w:t>
            </w:r>
          </w:p>
        </w:tc>
        <w:tc>
          <w:tcPr>
            <w:tcW w:w="752"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1.57%</w:t>
            </w:r>
          </w:p>
        </w:tc>
      </w:tr>
    </w:tbl>
    <w:p>
      <w:pPr>
        <w:ind w:firstLine="0" w:firstLineChars="0"/>
      </w:pPr>
    </w:p>
    <w:p>
      <w:pPr>
        <w:pStyle w:val="5"/>
      </w:pPr>
      <w:r>
        <w:rPr>
          <w:rFonts w:hint="eastAsia"/>
        </w:rPr>
        <w:t>2</w:t>
      </w:r>
      <w:r>
        <w:t>.</w:t>
      </w:r>
      <w:r>
        <w:rPr>
          <w:rFonts w:hint="eastAsia"/>
        </w:rPr>
        <w:t>就业职业变化</w:t>
      </w:r>
    </w:p>
    <w:p>
      <w:pPr>
        <w:ind w:firstLine="420"/>
        <w:rPr>
          <w:rFonts w:cs="Times New Roman"/>
          <w:szCs w:val="21"/>
        </w:rPr>
      </w:pPr>
      <w:r>
        <w:rPr>
          <w:rFonts w:cs="Times New Roman"/>
          <w:szCs w:val="21"/>
        </w:rPr>
        <w:t>本校2021届本科毕业生就业比例较高的职业类为</w:t>
      </w:r>
      <w:r>
        <w:rPr>
          <w:rFonts w:hint="eastAsia" w:cs="Times New Roman"/>
          <w:szCs w:val="21"/>
        </w:rPr>
        <w:t>教学人员</w:t>
      </w:r>
      <w:r>
        <w:rPr>
          <w:rFonts w:cs="Times New Roman"/>
          <w:szCs w:val="21"/>
        </w:rPr>
        <w:t>（12.07%）、</w:t>
      </w:r>
      <w:r>
        <w:rPr>
          <w:rFonts w:hint="eastAsia" w:cs="Times New Roman"/>
          <w:szCs w:val="21"/>
        </w:rPr>
        <w:t>办事人员和有关人员</w:t>
      </w:r>
      <w:r>
        <w:rPr>
          <w:rFonts w:cs="Times New Roman"/>
          <w:szCs w:val="21"/>
        </w:rPr>
        <w:t>（6.54%）。本校近三届毕业生就业于“</w:t>
      </w:r>
      <w:r>
        <w:rPr>
          <w:rFonts w:hint="eastAsia" w:cs="Times New Roman"/>
          <w:szCs w:val="21"/>
        </w:rPr>
        <w:t>教学人员</w:t>
      </w:r>
      <w:r>
        <w:rPr>
          <w:rFonts w:cs="Times New Roman"/>
          <w:szCs w:val="21"/>
        </w:rPr>
        <w:t>”职业类的比例呈上升趋势。</w:t>
      </w:r>
    </w:p>
    <w:p>
      <w:pPr>
        <w:pStyle w:val="8"/>
        <w:keepNext/>
      </w:pPr>
      <w:r>
        <w:rPr>
          <w:rFonts w:hint="eastAsia"/>
        </w:rPr>
        <w:t xml:space="preserve">表9- </w:t>
      </w:r>
      <w:r>
        <w:fldChar w:fldCharType="begin"/>
      </w:r>
      <w:r>
        <w:instrText xml:space="preserve"> </w:instrText>
      </w:r>
      <w:r>
        <w:rPr>
          <w:rFonts w:hint="eastAsia"/>
        </w:rPr>
        <w:instrText xml:space="preserve">SEQ 表9- \* ARABIC</w:instrText>
      </w:r>
      <w:r>
        <w:instrText xml:space="preserve"> </w:instrText>
      </w:r>
      <w:r>
        <w:fldChar w:fldCharType="separate"/>
      </w:r>
      <w:r>
        <w:t>2</w:t>
      </w:r>
      <w:r>
        <w:fldChar w:fldCharType="end"/>
      </w:r>
      <w:r>
        <w:rPr>
          <w:rFonts w:hint="eastAsia"/>
        </w:rPr>
        <w:t>主要职业类需求变化趋势</w:t>
      </w:r>
    </w:p>
    <w:tbl>
      <w:tblPr>
        <w:tblStyle w:val="23"/>
        <w:tblW w:w="5000" w:type="pct"/>
        <w:tblInd w:w="0" w:type="dxa"/>
        <w:tblLayout w:type="autofit"/>
        <w:tblCellMar>
          <w:top w:w="0" w:type="dxa"/>
          <w:left w:w="108" w:type="dxa"/>
          <w:bottom w:w="0" w:type="dxa"/>
          <w:right w:w="108" w:type="dxa"/>
        </w:tblCellMar>
      </w:tblPr>
      <w:tblGrid>
        <w:gridCol w:w="3637"/>
        <w:gridCol w:w="1629"/>
        <w:gridCol w:w="1629"/>
        <w:gridCol w:w="1627"/>
      </w:tblGrid>
      <w:tr>
        <w:tblPrEx>
          <w:tblCellMar>
            <w:top w:w="0" w:type="dxa"/>
            <w:left w:w="108" w:type="dxa"/>
            <w:bottom w:w="0" w:type="dxa"/>
            <w:right w:w="108" w:type="dxa"/>
          </w:tblCellMar>
        </w:tblPrEx>
        <w:trPr>
          <w:trHeight w:val="20" w:hRule="atLeast"/>
        </w:trPr>
        <w:tc>
          <w:tcPr>
            <w:tcW w:w="2134"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职业类名称</w:t>
            </w:r>
          </w:p>
        </w:tc>
        <w:tc>
          <w:tcPr>
            <w:tcW w:w="956"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2019</w:t>
            </w:r>
            <w:r>
              <w:rPr>
                <w:rFonts w:hint="eastAsia" w:ascii="宋体" w:hAnsi="宋体" w:cs="Times New Roman"/>
                <w:b/>
                <w:bCs/>
                <w:color w:val="FFFFFF"/>
                <w:kern w:val="0"/>
                <w:sz w:val="20"/>
                <w:szCs w:val="20"/>
              </w:rPr>
              <w:t>届</w:t>
            </w:r>
          </w:p>
        </w:tc>
        <w:tc>
          <w:tcPr>
            <w:tcW w:w="956"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2020</w:t>
            </w:r>
            <w:r>
              <w:rPr>
                <w:rFonts w:hint="eastAsia" w:ascii="宋体" w:hAnsi="宋体" w:cs="Times New Roman"/>
                <w:b/>
                <w:bCs/>
                <w:color w:val="FFFFFF"/>
                <w:kern w:val="0"/>
                <w:sz w:val="20"/>
                <w:szCs w:val="20"/>
              </w:rPr>
              <w:t>届</w:t>
            </w:r>
          </w:p>
        </w:tc>
        <w:tc>
          <w:tcPr>
            <w:tcW w:w="954"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2021</w:t>
            </w:r>
            <w:r>
              <w:rPr>
                <w:rFonts w:hint="eastAsia" w:ascii="等线" w:hAnsi="等线" w:eastAsia="等线" w:cs="Times New Roman"/>
                <w:b/>
                <w:bCs/>
                <w:color w:val="FFFFFF"/>
                <w:kern w:val="0"/>
                <w:sz w:val="20"/>
                <w:szCs w:val="20"/>
              </w:rPr>
              <w:t>届</w:t>
            </w:r>
          </w:p>
        </w:tc>
      </w:tr>
      <w:tr>
        <w:tblPrEx>
          <w:tblCellMar>
            <w:top w:w="0" w:type="dxa"/>
            <w:left w:w="108" w:type="dxa"/>
            <w:bottom w:w="0" w:type="dxa"/>
            <w:right w:w="108" w:type="dxa"/>
          </w:tblCellMar>
        </w:tblPrEx>
        <w:trPr>
          <w:trHeight w:val="20" w:hRule="atLeast"/>
        </w:trPr>
        <w:tc>
          <w:tcPr>
            <w:tcW w:w="2134"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教学人员</w:t>
            </w:r>
          </w:p>
        </w:tc>
        <w:tc>
          <w:tcPr>
            <w:tcW w:w="956"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6.50%</w:t>
            </w:r>
          </w:p>
        </w:tc>
        <w:tc>
          <w:tcPr>
            <w:tcW w:w="956"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10.00%</w:t>
            </w:r>
          </w:p>
        </w:tc>
        <w:tc>
          <w:tcPr>
            <w:tcW w:w="954"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12.07%</w:t>
            </w:r>
          </w:p>
        </w:tc>
      </w:tr>
      <w:tr>
        <w:tblPrEx>
          <w:tblCellMar>
            <w:top w:w="0" w:type="dxa"/>
            <w:left w:w="108" w:type="dxa"/>
            <w:bottom w:w="0" w:type="dxa"/>
            <w:right w:w="108" w:type="dxa"/>
          </w:tblCellMar>
        </w:tblPrEx>
        <w:trPr>
          <w:trHeight w:val="20" w:hRule="atLeast"/>
        </w:trPr>
        <w:tc>
          <w:tcPr>
            <w:tcW w:w="2134"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办事人员和有关人员</w:t>
            </w:r>
          </w:p>
        </w:tc>
        <w:tc>
          <w:tcPr>
            <w:tcW w:w="956"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9.40%</w:t>
            </w:r>
          </w:p>
        </w:tc>
        <w:tc>
          <w:tcPr>
            <w:tcW w:w="956"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6.40%</w:t>
            </w:r>
          </w:p>
        </w:tc>
        <w:tc>
          <w:tcPr>
            <w:tcW w:w="954" w:type="pct"/>
            <w:tcBorders>
              <w:top w:val="nil"/>
              <w:left w:val="nil"/>
              <w:bottom w:val="nil"/>
              <w:right w:val="nil"/>
            </w:tcBorders>
            <w:shd w:val="clear" w:color="000000"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6.54%</w:t>
            </w:r>
          </w:p>
        </w:tc>
      </w:tr>
      <w:tr>
        <w:tblPrEx>
          <w:tblCellMar>
            <w:top w:w="0" w:type="dxa"/>
            <w:left w:w="108" w:type="dxa"/>
            <w:bottom w:w="0" w:type="dxa"/>
            <w:right w:w="108" w:type="dxa"/>
          </w:tblCellMar>
        </w:tblPrEx>
        <w:trPr>
          <w:trHeight w:val="20" w:hRule="atLeast"/>
        </w:trPr>
        <w:tc>
          <w:tcPr>
            <w:tcW w:w="2134"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卫生专业技术人员</w:t>
            </w:r>
          </w:p>
        </w:tc>
        <w:tc>
          <w:tcPr>
            <w:tcW w:w="956"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6.80%</w:t>
            </w:r>
          </w:p>
        </w:tc>
        <w:tc>
          <w:tcPr>
            <w:tcW w:w="956" w:type="pct"/>
            <w:tcBorders>
              <w:top w:val="nil"/>
              <w:left w:val="nil"/>
              <w:bottom w:val="nil"/>
              <w:right w:val="nil"/>
            </w:tcBorders>
            <w:shd w:val="clear" w:color="auto" w:fill="auto"/>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11%</w:t>
            </w:r>
          </w:p>
        </w:tc>
        <w:tc>
          <w:tcPr>
            <w:tcW w:w="954"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4.81%</w:t>
            </w:r>
          </w:p>
        </w:tc>
      </w:tr>
      <w:tr>
        <w:trPr>
          <w:trHeight w:val="20" w:hRule="atLeast"/>
        </w:trPr>
        <w:tc>
          <w:tcPr>
            <w:tcW w:w="2134" w:type="pct"/>
            <w:tcBorders>
              <w:top w:val="nil"/>
              <w:left w:val="nil"/>
              <w:bottom w:val="single" w:color="auto" w:sz="4" w:space="0"/>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经济业务人员</w:t>
            </w:r>
          </w:p>
        </w:tc>
        <w:tc>
          <w:tcPr>
            <w:tcW w:w="956" w:type="pct"/>
            <w:tcBorders>
              <w:top w:val="nil"/>
              <w:left w:val="nil"/>
              <w:bottom w:val="single" w:color="auto" w:sz="4" w:space="0"/>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9%</w:t>
            </w:r>
          </w:p>
        </w:tc>
        <w:tc>
          <w:tcPr>
            <w:tcW w:w="956" w:type="pct"/>
            <w:tcBorders>
              <w:top w:val="nil"/>
              <w:left w:val="nil"/>
              <w:bottom w:val="single" w:color="auto" w:sz="4" w:space="0"/>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6.40%</w:t>
            </w:r>
          </w:p>
        </w:tc>
        <w:tc>
          <w:tcPr>
            <w:tcW w:w="954" w:type="pct"/>
            <w:tcBorders>
              <w:top w:val="nil"/>
              <w:left w:val="nil"/>
              <w:bottom w:val="single" w:color="auto" w:sz="4" w:space="0"/>
              <w:right w:val="nil"/>
            </w:tcBorders>
            <w:shd w:val="clear" w:color="000000"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4.38%</w:t>
            </w:r>
          </w:p>
        </w:tc>
      </w:tr>
    </w:tbl>
    <w:p>
      <w:pPr>
        <w:spacing w:line="300" w:lineRule="auto"/>
        <w:ind w:firstLine="0" w:firstLineChars="0"/>
        <w:rPr>
          <w:rFonts w:ascii="宋体" w:hAnsi="宋体"/>
          <w:color w:val="000000"/>
          <w:sz w:val="24"/>
        </w:rPr>
      </w:pPr>
    </w:p>
    <w:p>
      <w:pPr>
        <w:pStyle w:val="5"/>
      </w:pPr>
      <w:r>
        <w:rPr>
          <w:rFonts w:hint="eastAsia"/>
        </w:rPr>
        <w:t>3</w:t>
      </w:r>
      <w:r>
        <w:t>.</w:t>
      </w:r>
      <w:r>
        <w:rPr>
          <w:rFonts w:hint="eastAsia"/>
        </w:rPr>
        <w:t>就业地区变化</w:t>
      </w:r>
    </w:p>
    <w:p>
      <w:pPr>
        <w:ind w:firstLine="420"/>
        <w:rPr>
          <w:rFonts w:cs="Times New Roman"/>
          <w:szCs w:val="21"/>
        </w:rPr>
      </w:pPr>
      <w:r>
        <w:rPr>
          <w:rFonts w:hint="eastAsia" w:cs="Times New Roman"/>
          <w:szCs w:val="21"/>
        </w:rPr>
        <w:t>本校201</w:t>
      </w:r>
      <w:r>
        <w:rPr>
          <w:rFonts w:cs="Times New Roman"/>
          <w:szCs w:val="21"/>
        </w:rPr>
        <w:t>9</w:t>
      </w:r>
      <w:r>
        <w:rPr>
          <w:rFonts w:hint="eastAsia" w:cs="Times New Roman"/>
          <w:szCs w:val="21"/>
        </w:rPr>
        <w:t>届-202</w:t>
      </w:r>
      <w:r>
        <w:rPr>
          <w:rFonts w:cs="Times New Roman"/>
          <w:szCs w:val="21"/>
        </w:rPr>
        <w:t>1</w:t>
      </w:r>
      <w:r>
        <w:rPr>
          <w:rFonts w:hint="eastAsia" w:cs="Times New Roman"/>
          <w:szCs w:val="21"/>
        </w:rPr>
        <w:t>届就业的本科毕业生在天津就业的比例（分别为40.4%、46.8%、4</w:t>
      </w:r>
      <w:r>
        <w:rPr>
          <w:rFonts w:cs="Times New Roman"/>
          <w:szCs w:val="21"/>
        </w:rPr>
        <w:t>8.52</w:t>
      </w:r>
      <w:r>
        <w:rPr>
          <w:rFonts w:hint="eastAsia" w:cs="Times New Roman"/>
          <w:szCs w:val="21"/>
        </w:rPr>
        <w:t>）整体有所上升。</w:t>
      </w:r>
    </w:p>
    <w:p>
      <w:pPr>
        <w:pStyle w:val="8"/>
        <w:keepNext/>
      </w:pPr>
      <w:r>
        <w:rPr>
          <w:rFonts w:hint="eastAsia"/>
        </w:rPr>
        <w:t xml:space="preserve">表9- </w:t>
      </w:r>
      <w:r>
        <w:fldChar w:fldCharType="begin"/>
      </w:r>
      <w:r>
        <w:instrText xml:space="preserve"> </w:instrText>
      </w:r>
      <w:r>
        <w:rPr>
          <w:rFonts w:hint="eastAsia"/>
        </w:rPr>
        <w:instrText xml:space="preserve">SEQ 表9- \* ARABIC</w:instrText>
      </w:r>
      <w:r>
        <w:instrText xml:space="preserve"> </w:instrText>
      </w:r>
      <w:r>
        <w:fldChar w:fldCharType="separate"/>
      </w:r>
      <w:r>
        <w:t>3</w:t>
      </w:r>
      <w:r>
        <w:fldChar w:fldCharType="end"/>
      </w:r>
      <w:r>
        <w:t xml:space="preserve"> </w:t>
      </w:r>
      <w:r>
        <w:rPr>
          <w:rFonts w:hint="eastAsia"/>
        </w:rPr>
        <w:t>毕业生主要就业省份的变化趋势</w:t>
      </w:r>
    </w:p>
    <w:tbl>
      <w:tblPr>
        <w:tblStyle w:val="23"/>
        <w:tblW w:w="5000" w:type="pct"/>
        <w:tblInd w:w="0" w:type="dxa"/>
        <w:tblLayout w:type="autofit"/>
        <w:tblCellMar>
          <w:top w:w="0" w:type="dxa"/>
          <w:left w:w="108" w:type="dxa"/>
          <w:bottom w:w="0" w:type="dxa"/>
          <w:right w:w="108" w:type="dxa"/>
        </w:tblCellMar>
      </w:tblPr>
      <w:tblGrid>
        <w:gridCol w:w="2347"/>
        <w:gridCol w:w="2059"/>
        <w:gridCol w:w="2059"/>
        <w:gridCol w:w="2057"/>
      </w:tblGrid>
      <w:tr>
        <w:tblPrEx>
          <w:tblCellMar>
            <w:top w:w="0" w:type="dxa"/>
            <w:left w:w="108" w:type="dxa"/>
            <w:bottom w:w="0" w:type="dxa"/>
            <w:right w:w="108" w:type="dxa"/>
          </w:tblCellMar>
        </w:tblPrEx>
        <w:trPr>
          <w:trHeight w:val="276" w:hRule="atLeast"/>
        </w:trPr>
        <w:tc>
          <w:tcPr>
            <w:tcW w:w="1377"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省份名称</w:t>
            </w:r>
          </w:p>
        </w:tc>
        <w:tc>
          <w:tcPr>
            <w:tcW w:w="1208"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2019</w:t>
            </w:r>
            <w:r>
              <w:rPr>
                <w:rFonts w:hint="eastAsia" w:ascii="宋体" w:hAnsi="宋体" w:cs="Times New Roman"/>
                <w:b/>
                <w:bCs/>
                <w:color w:val="FFFFFF"/>
                <w:kern w:val="0"/>
                <w:sz w:val="20"/>
                <w:szCs w:val="20"/>
              </w:rPr>
              <w:t>届</w:t>
            </w:r>
          </w:p>
        </w:tc>
        <w:tc>
          <w:tcPr>
            <w:tcW w:w="1208"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2020</w:t>
            </w:r>
            <w:r>
              <w:rPr>
                <w:rFonts w:hint="eastAsia" w:ascii="宋体" w:hAnsi="宋体" w:cs="Times New Roman"/>
                <w:b/>
                <w:bCs/>
                <w:color w:val="FFFFFF"/>
                <w:kern w:val="0"/>
                <w:sz w:val="20"/>
                <w:szCs w:val="20"/>
              </w:rPr>
              <w:t>届</w:t>
            </w:r>
          </w:p>
        </w:tc>
        <w:tc>
          <w:tcPr>
            <w:tcW w:w="1207" w:type="pct"/>
            <w:tcBorders>
              <w:top w:val="nil"/>
              <w:left w:val="nil"/>
              <w:bottom w:val="nil"/>
              <w:right w:val="nil"/>
            </w:tcBorders>
            <w:shd w:val="clear" w:color="000000" w:fill="005099"/>
            <w:vAlign w:val="center"/>
          </w:tcPr>
          <w:p>
            <w:pPr>
              <w:widowControl/>
              <w:spacing w:line="240" w:lineRule="auto"/>
              <w:ind w:firstLine="0" w:firstLineChars="0"/>
              <w:jc w:val="center"/>
              <w:rPr>
                <w:rFonts w:eastAsia="等线" w:cs="Times New Roman"/>
                <w:b/>
                <w:bCs/>
                <w:color w:val="FFFFFF"/>
                <w:kern w:val="0"/>
                <w:sz w:val="18"/>
                <w:szCs w:val="18"/>
              </w:rPr>
            </w:pPr>
            <w:r>
              <w:rPr>
                <w:rFonts w:eastAsia="等线" w:cs="Times New Roman"/>
                <w:b/>
                <w:bCs/>
                <w:color w:val="FFFFFF"/>
                <w:kern w:val="0"/>
                <w:sz w:val="18"/>
                <w:szCs w:val="18"/>
              </w:rPr>
              <w:t>2021</w:t>
            </w:r>
            <w:r>
              <w:rPr>
                <w:rFonts w:hint="eastAsia" w:ascii="等线" w:hAnsi="等线" w:eastAsia="等线" w:cs="Times New Roman"/>
                <w:b/>
                <w:bCs/>
                <w:color w:val="FFFFFF"/>
                <w:kern w:val="0"/>
                <w:sz w:val="20"/>
                <w:szCs w:val="20"/>
              </w:rPr>
              <w:t>届</w:t>
            </w:r>
          </w:p>
        </w:tc>
      </w:tr>
      <w:tr>
        <w:tblPrEx>
          <w:tblCellMar>
            <w:top w:w="0" w:type="dxa"/>
            <w:left w:w="108" w:type="dxa"/>
            <w:bottom w:w="0" w:type="dxa"/>
            <w:right w:w="108" w:type="dxa"/>
          </w:tblCellMar>
        </w:tblPrEx>
        <w:trPr>
          <w:trHeight w:val="276" w:hRule="atLeast"/>
        </w:trPr>
        <w:tc>
          <w:tcPr>
            <w:tcW w:w="1377"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天津</w:t>
            </w:r>
          </w:p>
        </w:tc>
        <w:tc>
          <w:tcPr>
            <w:tcW w:w="1208"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40.40%</w:t>
            </w:r>
          </w:p>
        </w:tc>
        <w:tc>
          <w:tcPr>
            <w:tcW w:w="1208"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47%</w:t>
            </w:r>
          </w:p>
        </w:tc>
        <w:tc>
          <w:tcPr>
            <w:tcW w:w="1207"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48.52%</w:t>
            </w:r>
          </w:p>
        </w:tc>
      </w:tr>
      <w:tr>
        <w:tblPrEx>
          <w:tblCellMar>
            <w:top w:w="0" w:type="dxa"/>
            <w:left w:w="108" w:type="dxa"/>
            <w:bottom w:w="0" w:type="dxa"/>
            <w:right w:w="108" w:type="dxa"/>
          </w:tblCellMar>
        </w:tblPrEx>
        <w:trPr>
          <w:trHeight w:val="276" w:hRule="atLeast"/>
        </w:trPr>
        <w:tc>
          <w:tcPr>
            <w:tcW w:w="1377"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北京</w:t>
            </w:r>
          </w:p>
        </w:tc>
        <w:tc>
          <w:tcPr>
            <w:tcW w:w="1208"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10.70%</w:t>
            </w:r>
          </w:p>
        </w:tc>
        <w:tc>
          <w:tcPr>
            <w:tcW w:w="1208"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7.50%</w:t>
            </w:r>
          </w:p>
        </w:tc>
        <w:tc>
          <w:tcPr>
            <w:tcW w:w="1207" w:type="pct"/>
            <w:tcBorders>
              <w:top w:val="nil"/>
              <w:left w:val="nil"/>
              <w:bottom w:val="nil"/>
              <w:right w:val="nil"/>
            </w:tcBorders>
            <w:shd w:val="clear" w:color="000000"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7.20%</w:t>
            </w:r>
          </w:p>
        </w:tc>
      </w:tr>
      <w:tr>
        <w:tblPrEx>
          <w:tblCellMar>
            <w:top w:w="0" w:type="dxa"/>
            <w:left w:w="108" w:type="dxa"/>
            <w:bottom w:w="0" w:type="dxa"/>
            <w:right w:w="108" w:type="dxa"/>
          </w:tblCellMar>
        </w:tblPrEx>
        <w:trPr>
          <w:trHeight w:val="276" w:hRule="atLeast"/>
        </w:trPr>
        <w:tc>
          <w:tcPr>
            <w:tcW w:w="1377"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四川</w:t>
            </w:r>
          </w:p>
        </w:tc>
        <w:tc>
          <w:tcPr>
            <w:tcW w:w="1208"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8%</w:t>
            </w:r>
          </w:p>
        </w:tc>
        <w:tc>
          <w:tcPr>
            <w:tcW w:w="1208" w:type="pct"/>
            <w:tcBorders>
              <w:top w:val="nil"/>
              <w:left w:val="nil"/>
              <w:bottom w:val="nil"/>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5.10%</w:t>
            </w:r>
          </w:p>
        </w:tc>
        <w:tc>
          <w:tcPr>
            <w:tcW w:w="1207" w:type="pct"/>
            <w:tcBorders>
              <w:top w:val="nil"/>
              <w:left w:val="nil"/>
              <w:bottom w:val="nil"/>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2.75%</w:t>
            </w:r>
          </w:p>
        </w:tc>
      </w:tr>
      <w:tr>
        <w:tblPrEx>
          <w:tblCellMar>
            <w:top w:w="0" w:type="dxa"/>
            <w:left w:w="108" w:type="dxa"/>
            <w:bottom w:w="0" w:type="dxa"/>
            <w:right w:w="108" w:type="dxa"/>
          </w:tblCellMar>
        </w:tblPrEx>
        <w:trPr>
          <w:trHeight w:val="276" w:hRule="atLeast"/>
        </w:trPr>
        <w:tc>
          <w:tcPr>
            <w:tcW w:w="1377"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甘肃</w:t>
            </w:r>
          </w:p>
        </w:tc>
        <w:tc>
          <w:tcPr>
            <w:tcW w:w="1208"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2.80%</w:t>
            </w:r>
          </w:p>
        </w:tc>
        <w:tc>
          <w:tcPr>
            <w:tcW w:w="1208" w:type="pct"/>
            <w:tcBorders>
              <w:top w:val="nil"/>
              <w:left w:val="nil"/>
              <w:bottom w:val="nil"/>
              <w:right w:val="nil"/>
            </w:tcBorders>
            <w:shd w:val="clear" w:color="000000" w:fill="DDEBF7"/>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4.40%</w:t>
            </w:r>
          </w:p>
        </w:tc>
        <w:tc>
          <w:tcPr>
            <w:tcW w:w="1207" w:type="pct"/>
            <w:tcBorders>
              <w:top w:val="nil"/>
              <w:left w:val="nil"/>
              <w:bottom w:val="nil"/>
              <w:right w:val="nil"/>
            </w:tcBorders>
            <w:shd w:val="clear" w:color="000000" w:fill="DDEBF7"/>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3.67%</w:t>
            </w:r>
          </w:p>
        </w:tc>
      </w:tr>
      <w:tr>
        <w:tblPrEx>
          <w:tblCellMar>
            <w:top w:w="0" w:type="dxa"/>
            <w:left w:w="108" w:type="dxa"/>
            <w:bottom w:w="0" w:type="dxa"/>
            <w:right w:w="108" w:type="dxa"/>
          </w:tblCellMar>
        </w:tblPrEx>
        <w:trPr>
          <w:trHeight w:val="276" w:hRule="atLeast"/>
        </w:trPr>
        <w:tc>
          <w:tcPr>
            <w:tcW w:w="1377"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贵州</w:t>
            </w:r>
          </w:p>
        </w:tc>
        <w:tc>
          <w:tcPr>
            <w:tcW w:w="1208"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6.30%</w:t>
            </w:r>
          </w:p>
        </w:tc>
        <w:tc>
          <w:tcPr>
            <w:tcW w:w="1208" w:type="pct"/>
            <w:tcBorders>
              <w:top w:val="nil"/>
              <w:left w:val="nil"/>
              <w:bottom w:val="single" w:color="auto" w:sz="4" w:space="0"/>
              <w:right w:val="nil"/>
            </w:tcBorders>
            <w:shd w:val="clear" w:color="000000" w:fill="FFFFFF"/>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4.10%</w:t>
            </w:r>
          </w:p>
        </w:tc>
        <w:tc>
          <w:tcPr>
            <w:tcW w:w="1207" w:type="pct"/>
            <w:tcBorders>
              <w:top w:val="nil"/>
              <w:left w:val="nil"/>
              <w:bottom w:val="single" w:color="auto" w:sz="4" w:space="0"/>
              <w:right w:val="nil"/>
            </w:tcBorders>
            <w:shd w:val="clear" w:color="auto" w:fill="auto"/>
            <w:noWrap/>
            <w:vAlign w:val="center"/>
          </w:tcPr>
          <w:p>
            <w:pPr>
              <w:widowControl/>
              <w:spacing w:line="240" w:lineRule="auto"/>
              <w:ind w:firstLine="0" w:firstLineChars="0"/>
              <w:jc w:val="center"/>
              <w:rPr>
                <w:rFonts w:eastAsia="等线" w:cs="Times New Roman"/>
                <w:color w:val="000000"/>
                <w:kern w:val="0"/>
                <w:sz w:val="18"/>
                <w:szCs w:val="18"/>
              </w:rPr>
            </w:pPr>
            <w:r>
              <w:rPr>
                <w:rFonts w:eastAsia="等线" w:cs="Times New Roman"/>
                <w:color w:val="000000"/>
                <w:kern w:val="0"/>
                <w:sz w:val="18"/>
                <w:szCs w:val="18"/>
              </w:rPr>
              <w:t>3.39%</w:t>
            </w:r>
          </w:p>
        </w:tc>
      </w:tr>
    </w:tbl>
    <w:p>
      <w:pPr>
        <w:ind w:firstLine="420"/>
      </w:pPr>
    </w:p>
    <w:p>
      <w:pPr>
        <w:ind w:firstLine="602"/>
        <w:outlineLvl w:val="1"/>
        <w:rPr>
          <w:rFonts w:cs="Times New Roman"/>
          <w:b/>
          <w:bCs/>
          <w:color w:val="005099"/>
          <w:sz w:val="30"/>
          <w:szCs w:val="30"/>
        </w:rPr>
      </w:pPr>
      <w:bookmarkStart w:id="124" w:name="_Toc89071857"/>
      <w:bookmarkStart w:id="125" w:name="_Toc90288288"/>
      <w:r>
        <w:rPr>
          <w:rFonts w:hint="eastAsia" w:cs="Times New Roman"/>
          <w:b/>
          <w:bCs/>
          <w:color w:val="005099"/>
          <w:sz w:val="30"/>
          <w:szCs w:val="30"/>
        </w:rPr>
        <w:t>二、总结</w:t>
      </w:r>
      <w:bookmarkEnd w:id="124"/>
      <w:bookmarkEnd w:id="125"/>
    </w:p>
    <w:p>
      <w:pPr>
        <w:ind w:firstLine="482"/>
        <w:outlineLvl w:val="2"/>
        <w:rPr>
          <w:rFonts w:cs="Times New Roman"/>
          <w:b/>
          <w:bCs/>
          <w:color w:val="005099"/>
          <w:sz w:val="24"/>
        </w:rPr>
      </w:pPr>
      <w:bookmarkStart w:id="126" w:name="_Toc90288289"/>
      <w:bookmarkStart w:id="127" w:name="_Toc89071858"/>
      <w:r>
        <w:rPr>
          <w:rFonts w:hint="eastAsia" w:cs="Times New Roman"/>
          <w:b/>
          <w:bCs/>
          <w:color w:val="005099"/>
          <w:sz w:val="24"/>
        </w:rPr>
        <w:t>（一）就业基本情况</w:t>
      </w:r>
      <w:bookmarkEnd w:id="126"/>
      <w:bookmarkEnd w:id="127"/>
    </w:p>
    <w:p>
      <w:pPr>
        <w:ind w:firstLine="420"/>
        <w:rPr>
          <w:rFonts w:cs="Times New Roman"/>
          <w:szCs w:val="21"/>
        </w:rPr>
      </w:pPr>
      <w:r>
        <w:rPr>
          <w:rFonts w:cs="Times New Roman"/>
          <w:szCs w:val="21"/>
        </w:rPr>
        <w:t>2021届毕业生共1799人，其中男性毕业生686人，占毕业生总人数的38.13%；女性毕业生1113人，占毕业生总人数的61.87%。</w:t>
      </w:r>
      <w:r>
        <w:rPr>
          <w:rFonts w:hint="eastAsia" w:cs="Times New Roman"/>
          <w:szCs w:val="21"/>
        </w:rPr>
        <w:t>截至202</w:t>
      </w:r>
      <w:r>
        <w:rPr>
          <w:rFonts w:cs="Times New Roman"/>
          <w:szCs w:val="21"/>
        </w:rPr>
        <w:t>1</w:t>
      </w:r>
      <w:r>
        <w:rPr>
          <w:rFonts w:hint="eastAsia" w:cs="Times New Roman"/>
          <w:szCs w:val="21"/>
        </w:rPr>
        <w:t>年9月1日，202</w:t>
      </w:r>
      <w:r>
        <w:rPr>
          <w:rFonts w:cs="Times New Roman"/>
          <w:szCs w:val="21"/>
        </w:rPr>
        <w:t>1</w:t>
      </w:r>
      <w:r>
        <w:rPr>
          <w:rFonts w:hint="eastAsia" w:cs="Times New Roman"/>
          <w:szCs w:val="21"/>
        </w:rPr>
        <w:t>届毕业生总体毕业去向落实率为</w:t>
      </w:r>
      <w:r>
        <w:rPr>
          <w:rFonts w:cs="Times New Roman"/>
          <w:szCs w:val="21"/>
        </w:rPr>
        <w:t>80.93</w:t>
      </w:r>
      <w:r>
        <w:rPr>
          <w:rFonts w:hint="eastAsia" w:cs="Times New Roman"/>
          <w:szCs w:val="21"/>
        </w:rPr>
        <w:t>%，本科毕业生毕业去向落实率为80.91%，专科毕业生初次毕业去向落实率为81.12%。</w:t>
      </w:r>
      <w:r>
        <w:rPr>
          <w:rFonts w:cs="Times New Roman"/>
          <w:szCs w:val="21"/>
        </w:rPr>
        <w:t>2021届</w:t>
      </w:r>
      <w:r>
        <w:rPr>
          <w:rFonts w:hint="eastAsia" w:cs="Times New Roman"/>
          <w:szCs w:val="21"/>
        </w:rPr>
        <w:t>本科</w:t>
      </w:r>
      <w:r>
        <w:rPr>
          <w:rFonts w:cs="Times New Roman"/>
          <w:szCs w:val="21"/>
        </w:rPr>
        <w:t>各</w:t>
      </w:r>
      <w:r>
        <w:rPr>
          <w:rFonts w:hint="eastAsia" w:cs="Times New Roman"/>
          <w:szCs w:val="21"/>
        </w:rPr>
        <w:t>院系</w:t>
      </w:r>
      <w:r>
        <w:rPr>
          <w:rFonts w:cs="Times New Roman"/>
          <w:szCs w:val="21"/>
        </w:rPr>
        <w:t>中，</w:t>
      </w:r>
      <w:r>
        <w:rPr>
          <w:rFonts w:hint="eastAsia" w:cs="Times New Roman"/>
          <w:szCs w:val="21"/>
        </w:rPr>
        <w:t>商学院</w:t>
      </w:r>
      <w:r>
        <w:rPr>
          <w:rFonts w:cs="Times New Roman"/>
          <w:szCs w:val="21"/>
        </w:rPr>
        <w:t>毕业去向落实率最高，达94.81%；其次为</w:t>
      </w:r>
      <w:r>
        <w:rPr>
          <w:rFonts w:hint="eastAsia" w:cs="Times New Roman"/>
          <w:szCs w:val="21"/>
        </w:rPr>
        <w:t>经济金融学院达到9</w:t>
      </w:r>
      <w:r>
        <w:rPr>
          <w:rFonts w:cs="Times New Roman"/>
          <w:szCs w:val="21"/>
        </w:rPr>
        <w:t>1.59%。</w:t>
      </w:r>
      <w:r>
        <w:rPr>
          <w:rFonts w:hint="eastAsia" w:cs="Times New Roman"/>
          <w:szCs w:val="21"/>
        </w:rPr>
        <w:t>2021届毕业生就业行业排名第一的为“教育”，占16.23%</w:t>
      </w:r>
      <w:r>
        <w:rPr>
          <w:rFonts w:cs="Times New Roman"/>
          <w:szCs w:val="21"/>
        </w:rPr>
        <w:t>。</w:t>
      </w:r>
      <w:r>
        <w:rPr>
          <w:rFonts w:hint="eastAsia" w:cs="Times New Roman"/>
          <w:szCs w:val="21"/>
        </w:rPr>
        <w:t>就业地域以天津市为主，占比达到</w:t>
      </w:r>
      <w:r>
        <w:rPr>
          <w:rFonts w:cs="Times New Roman"/>
          <w:szCs w:val="21"/>
        </w:rPr>
        <w:t>48.52</w:t>
      </w:r>
      <w:r>
        <w:rPr>
          <w:rFonts w:hint="eastAsia" w:cs="Times New Roman"/>
          <w:szCs w:val="21"/>
        </w:rPr>
        <w:t>%，</w:t>
      </w:r>
      <w:r>
        <w:rPr>
          <w:rFonts w:cs="Times New Roman"/>
          <w:szCs w:val="21"/>
        </w:rPr>
        <w:t>升学人数为37人，总体升学率2.05%。毕业生共有13人自主创业。</w:t>
      </w:r>
    </w:p>
    <w:p>
      <w:pPr>
        <w:ind w:firstLine="482"/>
        <w:outlineLvl w:val="2"/>
        <w:rPr>
          <w:rFonts w:cs="Times New Roman"/>
          <w:b/>
          <w:bCs/>
          <w:color w:val="005099"/>
          <w:sz w:val="24"/>
        </w:rPr>
      </w:pPr>
      <w:bookmarkStart w:id="128" w:name="_Toc89071859"/>
      <w:bookmarkStart w:id="129" w:name="_Toc90288290"/>
      <w:r>
        <w:rPr>
          <w:rFonts w:hint="eastAsia" w:cs="Times New Roman"/>
          <w:b/>
          <w:bCs/>
          <w:color w:val="005099"/>
          <w:sz w:val="24"/>
        </w:rPr>
        <w:t>（二）就业质量分析</w:t>
      </w:r>
      <w:bookmarkEnd w:id="128"/>
      <w:bookmarkEnd w:id="129"/>
    </w:p>
    <w:p>
      <w:pPr>
        <w:ind w:firstLine="420"/>
        <w:rPr>
          <w:rFonts w:cs="Times New Roman"/>
          <w:szCs w:val="21"/>
        </w:rPr>
      </w:pPr>
      <w:r>
        <w:rPr>
          <w:rFonts w:cs="Times New Roman"/>
          <w:szCs w:val="21"/>
        </w:rPr>
        <w:t>2021届毕业生总体就业现状满意度为97.28%。毕业生工作与专业相关度为66.67%，工作与理想职业一致性为78.91%。</w:t>
      </w:r>
      <w:r>
        <w:rPr>
          <w:rFonts w:hint="eastAsia" w:cs="Times New Roman"/>
          <w:szCs w:val="21"/>
        </w:rPr>
        <w:t>毕业生在求职过程中信息获取渠道最多的是来自于社会渠道（59.52%），其次是用人单位自设渠道（46.26%）和新媒体（34.35%）。</w:t>
      </w:r>
    </w:p>
    <w:p>
      <w:pPr>
        <w:ind w:firstLine="482"/>
        <w:outlineLvl w:val="2"/>
        <w:rPr>
          <w:rFonts w:cs="Times New Roman"/>
          <w:b/>
          <w:bCs/>
          <w:color w:val="005099"/>
          <w:sz w:val="24"/>
        </w:rPr>
      </w:pPr>
      <w:bookmarkStart w:id="130" w:name="_Toc89071860"/>
      <w:bookmarkStart w:id="131" w:name="_Toc90288291"/>
      <w:r>
        <w:rPr>
          <w:rFonts w:hint="eastAsia" w:cs="Times New Roman"/>
          <w:b/>
          <w:bCs/>
          <w:color w:val="005099"/>
          <w:sz w:val="24"/>
        </w:rPr>
        <w:t>（三）毕业生对母校的反馈情况</w:t>
      </w:r>
      <w:bookmarkEnd w:id="130"/>
      <w:bookmarkEnd w:id="131"/>
    </w:p>
    <w:p>
      <w:pPr>
        <w:ind w:firstLine="420"/>
        <w:rPr>
          <w:rFonts w:cs="Times New Roman"/>
          <w:szCs w:val="21"/>
        </w:rPr>
      </w:pPr>
      <w:r>
        <w:rPr>
          <w:rFonts w:cs="Times New Roman"/>
          <w:szCs w:val="21"/>
        </w:rPr>
        <w:t>2021届毕业生对母校的综合满意度为95.69%，</w:t>
      </w:r>
      <w:r>
        <w:rPr>
          <w:rFonts w:hint="eastAsia" w:cs="Times New Roman"/>
          <w:szCs w:val="21"/>
        </w:rPr>
        <w:t>对母校推荐度为</w:t>
      </w:r>
      <w:r>
        <w:rPr>
          <w:rFonts w:cs="Times New Roman"/>
          <w:szCs w:val="21"/>
        </w:rPr>
        <w:t>93.63%</w:t>
      </w:r>
      <w:r>
        <w:rPr>
          <w:rFonts w:hint="eastAsia" w:cs="Times New Roman"/>
          <w:szCs w:val="21"/>
        </w:rPr>
        <w:t>，</w:t>
      </w:r>
      <w:r>
        <w:rPr>
          <w:rFonts w:cs="Times New Roman"/>
          <w:szCs w:val="21"/>
        </w:rPr>
        <w:t>2021届毕业生对母校各项工作及服务均给予较高评价（均为4分以上</w:t>
      </w:r>
      <w:r>
        <w:rPr>
          <w:rFonts w:hint="eastAsia" w:cs="Times New Roman"/>
          <w:szCs w:val="21"/>
        </w:rPr>
        <w:t>，满分5分</w:t>
      </w:r>
      <w:r>
        <w:rPr>
          <w:rFonts w:cs="Times New Roman"/>
          <w:szCs w:val="21"/>
        </w:rPr>
        <w:t>），其中对教育教学的评价最高，评分为3.87分，毕业生对学校就业服务工作的总体满意度为95.41%，毕业生认为在学校就业服务工作中， “</w:t>
      </w:r>
      <w:r>
        <w:rPr>
          <w:rFonts w:hint="eastAsia" w:cs="Times New Roman"/>
          <w:szCs w:val="21"/>
        </w:rPr>
        <w:t>就业困难群体帮扶</w:t>
      </w:r>
      <w:r>
        <w:rPr>
          <w:rFonts w:cs="Times New Roman"/>
          <w:szCs w:val="21"/>
        </w:rPr>
        <w:t>”（3.43</w:t>
      </w:r>
      <w:r>
        <w:rPr>
          <w:rFonts w:hint="eastAsia" w:cs="Times New Roman"/>
          <w:szCs w:val="21"/>
        </w:rPr>
        <w:t>分</w:t>
      </w:r>
      <w:r>
        <w:rPr>
          <w:rFonts w:cs="Times New Roman"/>
          <w:szCs w:val="21"/>
        </w:rPr>
        <w:t>）</w:t>
      </w:r>
      <w:r>
        <w:rPr>
          <w:rFonts w:hint="eastAsia" w:cs="Times New Roman"/>
          <w:szCs w:val="21"/>
        </w:rPr>
        <w:t>、</w:t>
      </w:r>
      <w:r>
        <w:rPr>
          <w:rFonts w:cs="Times New Roman"/>
          <w:szCs w:val="21"/>
        </w:rPr>
        <w:t>“</w:t>
      </w:r>
      <w:r>
        <w:rPr>
          <w:rFonts w:hint="eastAsia" w:cs="Times New Roman"/>
          <w:szCs w:val="21"/>
        </w:rPr>
        <w:t>线上双选会</w:t>
      </w:r>
      <w:r>
        <w:rPr>
          <w:rFonts w:cs="Times New Roman"/>
          <w:szCs w:val="21"/>
        </w:rPr>
        <w:t>”（3.48</w:t>
      </w:r>
      <w:r>
        <w:rPr>
          <w:rFonts w:hint="eastAsia" w:cs="Times New Roman"/>
          <w:szCs w:val="21"/>
        </w:rPr>
        <w:t>分</w:t>
      </w:r>
      <w:r>
        <w:rPr>
          <w:rFonts w:cs="Times New Roman"/>
          <w:szCs w:val="21"/>
        </w:rPr>
        <w:t>）</w:t>
      </w:r>
      <w:r>
        <w:rPr>
          <w:rFonts w:hint="eastAsia" w:cs="Times New Roman"/>
          <w:szCs w:val="21"/>
        </w:rPr>
        <w:t>、</w:t>
      </w:r>
      <w:r>
        <w:rPr>
          <w:rFonts w:cs="Times New Roman"/>
          <w:szCs w:val="21"/>
        </w:rPr>
        <w:t>“求职</w:t>
      </w:r>
      <w:r>
        <w:rPr>
          <w:rFonts w:hint="eastAsia" w:cs="Times New Roman"/>
          <w:szCs w:val="21"/>
        </w:rPr>
        <w:t>心理调适</w:t>
      </w:r>
      <w:r>
        <w:rPr>
          <w:rFonts w:cs="Times New Roman"/>
          <w:szCs w:val="21"/>
        </w:rPr>
        <w:t>”（3.50</w:t>
      </w:r>
      <w:r>
        <w:rPr>
          <w:rFonts w:hint="eastAsia" w:cs="Times New Roman"/>
          <w:szCs w:val="21"/>
        </w:rPr>
        <w:t>分</w:t>
      </w:r>
      <w:r>
        <w:rPr>
          <w:rFonts w:cs="Times New Roman"/>
          <w:szCs w:val="21"/>
        </w:rPr>
        <w:t>）是需要继续加强的前三个方面。</w:t>
      </w:r>
    </w:p>
    <w:p>
      <w:pPr>
        <w:ind w:firstLine="482"/>
        <w:outlineLvl w:val="2"/>
        <w:rPr>
          <w:rFonts w:cs="Times New Roman"/>
          <w:b/>
          <w:bCs/>
          <w:color w:val="005099"/>
          <w:sz w:val="24"/>
        </w:rPr>
      </w:pPr>
      <w:bookmarkStart w:id="132" w:name="_Toc89071861"/>
      <w:bookmarkStart w:id="133" w:name="_Toc90288292"/>
      <w:r>
        <w:rPr>
          <w:rFonts w:hint="eastAsia" w:cs="Times New Roman"/>
          <w:b/>
          <w:bCs/>
          <w:color w:val="005099"/>
          <w:sz w:val="24"/>
        </w:rPr>
        <w:t>（四）用人单位评价</w:t>
      </w:r>
      <w:bookmarkEnd w:id="132"/>
      <w:bookmarkEnd w:id="133"/>
    </w:p>
    <w:p>
      <w:pPr>
        <w:ind w:firstLine="420"/>
        <w:rPr>
          <w:rFonts w:cs="Times New Roman"/>
          <w:szCs w:val="21"/>
        </w:rPr>
      </w:pPr>
      <w:r>
        <w:rPr>
          <w:rFonts w:cs="Times New Roman"/>
          <w:szCs w:val="21"/>
        </w:rPr>
        <w:t>用人单位对2021届毕业生的总体评价很高，满意度高达100.00%。用人单位对高校就业服务工作给出了高度评价，总体满意度达97.96%。用人单位认为高校就业服务工作</w:t>
      </w:r>
      <w:r>
        <w:rPr>
          <w:rFonts w:hint="eastAsia" w:cs="Times New Roman"/>
          <w:szCs w:val="21"/>
        </w:rPr>
        <w:t>比较出色的有毕业生手续办理（4</w:t>
      </w:r>
      <w:r>
        <w:rPr>
          <w:rFonts w:cs="Times New Roman"/>
          <w:szCs w:val="21"/>
        </w:rPr>
        <w:t>.39</w:t>
      </w:r>
      <w:r>
        <w:rPr>
          <w:rFonts w:hint="eastAsia" w:cs="Times New Roman"/>
          <w:szCs w:val="21"/>
        </w:rPr>
        <w:t>分）、招聘会场地安排</w:t>
      </w:r>
      <w:r>
        <w:rPr>
          <w:rFonts w:cs="Times New Roman"/>
          <w:szCs w:val="21"/>
        </w:rPr>
        <w:t>（4.45</w:t>
      </w:r>
      <w:r>
        <w:rPr>
          <w:rFonts w:hint="eastAsia" w:cs="Times New Roman"/>
          <w:szCs w:val="21"/>
        </w:rPr>
        <w:t>分</w:t>
      </w:r>
      <w:r>
        <w:rPr>
          <w:rFonts w:cs="Times New Roman"/>
          <w:szCs w:val="21"/>
        </w:rPr>
        <w:t>）</w:t>
      </w:r>
      <w:r>
        <w:rPr>
          <w:rFonts w:hint="eastAsia" w:cs="Times New Roman"/>
          <w:szCs w:val="21"/>
        </w:rPr>
        <w:t>及招聘会服务态度育</w:t>
      </w:r>
      <w:r>
        <w:rPr>
          <w:rFonts w:cs="Times New Roman"/>
          <w:szCs w:val="21"/>
        </w:rPr>
        <w:t>（4.61</w:t>
      </w:r>
      <w:r>
        <w:rPr>
          <w:rFonts w:hint="eastAsia" w:cs="Times New Roman"/>
          <w:szCs w:val="21"/>
        </w:rPr>
        <w:t>分</w:t>
      </w:r>
      <w:r>
        <w:rPr>
          <w:rFonts w:cs="Times New Roman"/>
          <w:szCs w:val="21"/>
        </w:rPr>
        <w:t>）。用人单位认为高校人才培养方面</w:t>
      </w:r>
      <w:r>
        <w:rPr>
          <w:rFonts w:hint="eastAsia" w:cs="Times New Roman"/>
          <w:szCs w:val="21"/>
        </w:rPr>
        <w:t>比较出色</w:t>
      </w:r>
      <w:r>
        <w:rPr>
          <w:rFonts w:cs="Times New Roman"/>
          <w:szCs w:val="21"/>
        </w:rPr>
        <w:t>的有</w:t>
      </w:r>
      <w:r>
        <w:rPr>
          <w:rFonts w:hint="eastAsia" w:cs="Times New Roman"/>
          <w:szCs w:val="21"/>
        </w:rPr>
        <w:t>人际沟通能力（4</w:t>
      </w:r>
      <w:r>
        <w:rPr>
          <w:rFonts w:cs="Times New Roman"/>
          <w:szCs w:val="21"/>
        </w:rPr>
        <w:t>.43</w:t>
      </w:r>
      <w:r>
        <w:rPr>
          <w:rFonts w:hint="eastAsia" w:cs="Times New Roman"/>
          <w:szCs w:val="21"/>
        </w:rPr>
        <w:t>分）、学习能力（4</w:t>
      </w:r>
      <w:r>
        <w:rPr>
          <w:rFonts w:cs="Times New Roman"/>
          <w:szCs w:val="21"/>
        </w:rPr>
        <w:t>.41</w:t>
      </w:r>
      <w:r>
        <w:rPr>
          <w:rFonts w:hint="eastAsia" w:cs="Times New Roman"/>
          <w:szCs w:val="21"/>
        </w:rPr>
        <w:t>分）、责任心（4</w:t>
      </w:r>
      <w:r>
        <w:rPr>
          <w:rFonts w:cs="Times New Roman"/>
          <w:szCs w:val="21"/>
        </w:rPr>
        <w:t>.41</w:t>
      </w:r>
      <w:r>
        <w:rPr>
          <w:rFonts w:hint="eastAsia" w:cs="Times New Roman"/>
          <w:szCs w:val="21"/>
        </w:rPr>
        <w:t>分）和职业道德（4</w:t>
      </w:r>
      <w:r>
        <w:rPr>
          <w:rFonts w:cs="Times New Roman"/>
          <w:szCs w:val="21"/>
        </w:rPr>
        <w:t>.41</w:t>
      </w:r>
      <w:r>
        <w:rPr>
          <w:rFonts w:hint="eastAsia" w:cs="Times New Roman"/>
          <w:szCs w:val="21"/>
        </w:rPr>
        <w:t>分）。</w:t>
      </w:r>
    </w:p>
    <w:p>
      <w:pPr>
        <w:ind w:firstLine="42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w Cen MT">
    <w:panose1 w:val="020B0602020104020603"/>
    <w:charset w:val="00"/>
    <w:family w:val="swiss"/>
    <w:pitch w:val="default"/>
    <w:sig w:usb0="00000003" w:usb1="00000000" w:usb2="00000000" w:usb3="00000000" w:csb0="20000003"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Tw Cen MT Condensed">
    <w:panose1 w:val="020B0606020104020203"/>
    <w:charset w:val="00"/>
    <w:family w:val="swiss"/>
    <w:pitch w:val="default"/>
    <w:sig w:usb0="00000003" w:usb1="00000000" w:usb2="00000000" w:usb3="00000000" w:csb0="20000003" w:csb1="00000000"/>
  </w:font>
  <w:font w:name="方正粗黑宋简体">
    <w:altName w:val="宋体"/>
    <w:panose1 w:val="02000000000000000000"/>
    <w:charset w:val="86"/>
    <w:family w:val="auto"/>
    <w:pitch w:val="default"/>
    <w:sig w:usb0="00000000" w:usb1="00000000" w:usb2="00000012" w:usb3="00000000" w:csb0="00040001" w:csb1="00000000"/>
  </w:font>
  <w:font w:name="隶书">
    <w:panose1 w:val="02010509060101010101"/>
    <w:charset w:val="86"/>
    <w:family w:val="modern"/>
    <w:pitch w:val="default"/>
    <w:sig w:usb0="00000001" w:usb1="080E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980594"/>
    </w:sdtPr>
    <w:sdtContent>
      <w:p>
        <w:pPr>
          <w:pStyle w:val="13"/>
          <w:ind w:firstLine="360"/>
          <w:jc w:val="right"/>
        </w:pPr>
        <w:r>
          <w:fldChar w:fldCharType="begin"/>
        </w:r>
        <w:r>
          <w:instrText xml:space="preserve">PAGE   \* MERGEFORMAT</w:instrText>
        </w:r>
        <w:r>
          <w:fldChar w:fldCharType="separate"/>
        </w:r>
        <w:r>
          <w:rPr>
            <w:lang w:val="zh-CN"/>
          </w:rPr>
          <w:t>2</w:t>
        </w:r>
        <w:r>
          <w:fldChar w:fldCharType="end"/>
        </w:r>
      </w:p>
    </w:sdtContent>
  </w:sdt>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5906466"/>
    </w:sdtPr>
    <w:sdtContent>
      <w:p>
        <w:pPr>
          <w:pStyle w:val="13"/>
          <w:ind w:firstLine="0" w:firstLineChars="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ind w:firstLine="420"/>
      </w:pPr>
      <w:r>
        <w:separator/>
      </w:r>
    </w:p>
  </w:footnote>
  <w:footnote w:type="continuationSeparator" w:id="5">
    <w:p>
      <w:pPr>
        <w:spacing w:line="360" w:lineRule="auto"/>
        <w:ind w:firstLine="420"/>
      </w:pPr>
      <w:r>
        <w:continuationSeparator/>
      </w:r>
    </w:p>
  </w:footnote>
  <w:footnote w:id="0">
    <w:p>
      <w:pPr>
        <w:pStyle w:val="17"/>
        <w:spacing w:line="240" w:lineRule="auto"/>
        <w:ind w:firstLine="360"/>
      </w:pPr>
      <w:r>
        <w:t>[</w:t>
      </w:r>
      <w:r>
        <w:rPr>
          <w:rStyle w:val="26"/>
          <w:sz w:val="28"/>
        </w:rPr>
        <w:footnoteRef/>
      </w:r>
      <w:r>
        <w:t xml:space="preserve">] </w:t>
      </w:r>
      <w:r>
        <w:rPr>
          <w:rFonts w:hint="eastAsia"/>
        </w:rPr>
        <w:t>A.长江经济带：出自2016年9月《长江经济带发展规划纲要》，包含上海、江苏、浙江、安徽、江西、湖北、湖南、重庆、四川、云南、贵州等 11 个省市。</w:t>
      </w:r>
    </w:p>
    <w:p>
      <w:pPr>
        <w:pStyle w:val="17"/>
        <w:spacing w:line="240" w:lineRule="auto"/>
        <w:ind w:firstLine="360"/>
      </w:pPr>
      <w:r>
        <w:rPr>
          <w:rFonts w:hint="eastAsia"/>
        </w:rPr>
        <w:t>B.</w:t>
      </w:r>
      <w:r>
        <w:rPr>
          <w:rFonts w:hint="eastAsia"/>
        </w:rPr>
        <w:tab/>
      </w:r>
      <w:r>
        <w:rPr>
          <w:rFonts w:hint="eastAsia"/>
        </w:rPr>
        <w:t>京津冀经济圈：出自2015年4月30日中共中央政治局召开会议，审议通过《京津冀协同发展规划纲要》，包含北京、天津、河北。</w:t>
      </w:r>
    </w:p>
    <w:p>
      <w:pPr>
        <w:pStyle w:val="17"/>
        <w:spacing w:line="240" w:lineRule="auto"/>
        <w:ind w:firstLine="360"/>
      </w:pPr>
      <w:r>
        <w:rPr>
          <w:rFonts w:hint="eastAsia"/>
        </w:rPr>
        <w:t>C.</w:t>
      </w:r>
      <w:r>
        <w:rPr>
          <w:rFonts w:hint="eastAsia"/>
        </w:rPr>
        <w:tab/>
      </w:r>
      <w:r>
        <w:rPr>
          <w:rFonts w:hint="eastAsia"/>
        </w:rPr>
        <w:t>西部地区：出自2019年8月15日国家发展改革委印发《西部陆海新通道总体规划》，包含重庆、广西、贵州、甘肃、青海、新疆、云南、宁夏、陕西、四川、内蒙古、西藏等西部12省区市。</w:t>
      </w:r>
    </w:p>
    <w:p>
      <w:pPr>
        <w:pStyle w:val="17"/>
        <w:spacing w:line="240" w:lineRule="auto"/>
        <w:ind w:firstLine="360"/>
      </w:pPr>
      <w:r>
        <w:rPr>
          <w:rFonts w:hint="eastAsia"/>
        </w:rPr>
        <w:t>D.</w:t>
      </w:r>
      <w:r>
        <w:rPr>
          <w:rFonts w:hint="eastAsia"/>
        </w:rPr>
        <w:tab/>
      </w:r>
      <w:r>
        <w:rPr>
          <w:rFonts w:hint="eastAsia"/>
        </w:rPr>
        <w:t>“一带一路”经济带：出自2015年3月28日，国家发展改革委、外交部、商务部联合发布《推动共建丝绸之路经济带和21世纪海上丝绸之路的愿景与行动》。包含广东、浙江、上海、福建、广西、新疆、海南、云南、陕西、重庆、西藏、甘肃、青海、辽宁、内蒙古、宁夏、吉林、黑龙江等18个省区市。</w:t>
      </w:r>
    </w:p>
  </w:footnote>
  <w:footnote w:id="1">
    <w:p>
      <w:pPr>
        <w:pStyle w:val="17"/>
        <w:ind w:firstLine="360"/>
      </w:pPr>
      <w:r>
        <w:t>[</w:t>
      </w:r>
      <w:r>
        <w:rPr>
          <w:rStyle w:val="26"/>
          <w:sz w:val="28"/>
        </w:rPr>
        <w:footnoteRef/>
      </w:r>
      <w:r>
        <w:t xml:space="preserve">] </w:t>
      </w:r>
      <w:r>
        <w:rPr>
          <w:rFonts w:hint="eastAsia"/>
        </w:rPr>
        <w:t>毕业生升学率=（毕业生升学人数/毕业生总人数）*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ind w:firstLine="0" w:firstLineChars="0"/>
      <w:jc w:val="right"/>
      <w:rPr>
        <w:rFonts w:ascii="华文中宋" w:hAnsi="华文中宋" w:eastAsia="华文中宋"/>
        <w:color w:val="005099"/>
        <w:sz w:val="24"/>
        <w:szCs w:val="40"/>
      </w:rPr>
    </w:pPr>
    <w:r>
      <w:rPr>
        <w:rFonts w:hint="eastAsia" w:ascii="华文中宋" w:hAnsi="华文中宋" w:eastAsia="华文中宋"/>
        <w:color w:val="005099"/>
        <w:sz w:val="24"/>
        <w:szCs w:val="40"/>
      </w:rPr>
      <w:t>天津天狮学院</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240" w:lineRule="auto"/>
      <w:ind w:firstLine="0" w:firstLineChars="0"/>
      <w:rPr>
        <w:sz w:val="24"/>
      </w:rPr>
    </w:pPr>
    <w:r>
      <w:rPr>
        <w:rFonts w:eastAsia="华文中宋" w:cs="Times New Roman"/>
        <w:color w:val="005099"/>
        <w:sz w:val="24"/>
      </w:rPr>
      <w:t>2021年毕业生就业质量报告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A864B5"/>
    <w:multiLevelType w:val="multilevel"/>
    <w:tmpl w:val="30A864B5"/>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EF"/>
    <w:rsid w:val="00003D43"/>
    <w:rsid w:val="000201DC"/>
    <w:rsid w:val="00040FBD"/>
    <w:rsid w:val="00043362"/>
    <w:rsid w:val="00046419"/>
    <w:rsid w:val="00060337"/>
    <w:rsid w:val="00066897"/>
    <w:rsid w:val="000B5F8E"/>
    <w:rsid w:val="000C2491"/>
    <w:rsid w:val="000F42A1"/>
    <w:rsid w:val="00101AB6"/>
    <w:rsid w:val="00111E27"/>
    <w:rsid w:val="00123D60"/>
    <w:rsid w:val="001304FC"/>
    <w:rsid w:val="00131CB6"/>
    <w:rsid w:val="001355AF"/>
    <w:rsid w:val="00140584"/>
    <w:rsid w:val="00146C84"/>
    <w:rsid w:val="00160AFD"/>
    <w:rsid w:val="00170BED"/>
    <w:rsid w:val="001B17A3"/>
    <w:rsid w:val="001B55D7"/>
    <w:rsid w:val="001D0B09"/>
    <w:rsid w:val="001F6729"/>
    <w:rsid w:val="00213129"/>
    <w:rsid w:val="00232DE4"/>
    <w:rsid w:val="002443F8"/>
    <w:rsid w:val="002604BA"/>
    <w:rsid w:val="002B63B3"/>
    <w:rsid w:val="002B691C"/>
    <w:rsid w:val="002C7E4C"/>
    <w:rsid w:val="002D09A1"/>
    <w:rsid w:val="002D172C"/>
    <w:rsid w:val="00326520"/>
    <w:rsid w:val="00350404"/>
    <w:rsid w:val="00357B75"/>
    <w:rsid w:val="00365078"/>
    <w:rsid w:val="00376905"/>
    <w:rsid w:val="003819F6"/>
    <w:rsid w:val="00394875"/>
    <w:rsid w:val="003E31D5"/>
    <w:rsid w:val="00431CCC"/>
    <w:rsid w:val="00466E11"/>
    <w:rsid w:val="00473329"/>
    <w:rsid w:val="00492712"/>
    <w:rsid w:val="00494659"/>
    <w:rsid w:val="004A640B"/>
    <w:rsid w:val="004D32F5"/>
    <w:rsid w:val="004D77B1"/>
    <w:rsid w:val="004E422D"/>
    <w:rsid w:val="0050563B"/>
    <w:rsid w:val="005064E9"/>
    <w:rsid w:val="005327DF"/>
    <w:rsid w:val="005361D0"/>
    <w:rsid w:val="00547146"/>
    <w:rsid w:val="00586B83"/>
    <w:rsid w:val="005F13D2"/>
    <w:rsid w:val="00671D3F"/>
    <w:rsid w:val="00673969"/>
    <w:rsid w:val="006865B6"/>
    <w:rsid w:val="00687828"/>
    <w:rsid w:val="006932EF"/>
    <w:rsid w:val="006A5B91"/>
    <w:rsid w:val="006B4C64"/>
    <w:rsid w:val="006C38A0"/>
    <w:rsid w:val="006F47D1"/>
    <w:rsid w:val="006F6A2A"/>
    <w:rsid w:val="00702C01"/>
    <w:rsid w:val="00772D22"/>
    <w:rsid w:val="00782832"/>
    <w:rsid w:val="007A75EF"/>
    <w:rsid w:val="007B00F8"/>
    <w:rsid w:val="007F0F8C"/>
    <w:rsid w:val="00862BBC"/>
    <w:rsid w:val="008D16A3"/>
    <w:rsid w:val="00916418"/>
    <w:rsid w:val="00921733"/>
    <w:rsid w:val="00943541"/>
    <w:rsid w:val="009471F1"/>
    <w:rsid w:val="009731E2"/>
    <w:rsid w:val="00985D88"/>
    <w:rsid w:val="009C1221"/>
    <w:rsid w:val="009E62CE"/>
    <w:rsid w:val="009F1678"/>
    <w:rsid w:val="009F7404"/>
    <w:rsid w:val="00A00345"/>
    <w:rsid w:val="00A00F55"/>
    <w:rsid w:val="00A1539E"/>
    <w:rsid w:val="00A22503"/>
    <w:rsid w:val="00A3675C"/>
    <w:rsid w:val="00A44D9C"/>
    <w:rsid w:val="00A527BB"/>
    <w:rsid w:val="00A76F43"/>
    <w:rsid w:val="00A86065"/>
    <w:rsid w:val="00B056AA"/>
    <w:rsid w:val="00B45491"/>
    <w:rsid w:val="00B60575"/>
    <w:rsid w:val="00B707BA"/>
    <w:rsid w:val="00B768FA"/>
    <w:rsid w:val="00C10307"/>
    <w:rsid w:val="00C16FE5"/>
    <w:rsid w:val="00C32CC3"/>
    <w:rsid w:val="00C47A2A"/>
    <w:rsid w:val="00C659FE"/>
    <w:rsid w:val="00C85425"/>
    <w:rsid w:val="00CB7F44"/>
    <w:rsid w:val="00CD35AD"/>
    <w:rsid w:val="00CE7D48"/>
    <w:rsid w:val="00DB432A"/>
    <w:rsid w:val="00DB7800"/>
    <w:rsid w:val="00DC35EC"/>
    <w:rsid w:val="00DF6A7F"/>
    <w:rsid w:val="00E179F1"/>
    <w:rsid w:val="00E446AE"/>
    <w:rsid w:val="00E50E17"/>
    <w:rsid w:val="00E654A7"/>
    <w:rsid w:val="00E71031"/>
    <w:rsid w:val="00E86515"/>
    <w:rsid w:val="00EB7BA6"/>
    <w:rsid w:val="00ED739A"/>
    <w:rsid w:val="00EF354F"/>
    <w:rsid w:val="00F33A6F"/>
    <w:rsid w:val="00F34B5E"/>
    <w:rsid w:val="00F479A5"/>
    <w:rsid w:val="00F93458"/>
    <w:rsid w:val="00FF7FB7"/>
    <w:rsid w:val="0DFC56A5"/>
    <w:rsid w:val="10EC2557"/>
    <w:rsid w:val="1BDE3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1"/>
      <w:szCs w:val="24"/>
      <w:lang w:val="en-US" w:eastAsia="zh-CN" w:bidi="ar-SA"/>
    </w:rPr>
  </w:style>
  <w:style w:type="paragraph" w:styleId="2">
    <w:name w:val="heading 1"/>
    <w:basedOn w:val="1"/>
    <w:next w:val="1"/>
    <w:link w:val="27"/>
    <w:qFormat/>
    <w:uiPriority w:val="0"/>
    <w:pPr>
      <w:keepNext/>
      <w:keepLines/>
      <w:numPr>
        <w:ilvl w:val="0"/>
        <w:numId w:val="1"/>
      </w:numPr>
      <w:ind w:left="840" w:hanging="420"/>
      <w:jc w:val="center"/>
      <w:outlineLvl w:val="0"/>
    </w:pPr>
    <w:rPr>
      <w:b/>
      <w:bCs/>
      <w:kern w:val="44"/>
      <w:sz w:val="32"/>
      <w:szCs w:val="44"/>
    </w:rPr>
  </w:style>
  <w:style w:type="paragraph" w:styleId="3">
    <w:name w:val="heading 2"/>
    <w:basedOn w:val="1"/>
    <w:next w:val="1"/>
    <w:link w:val="30"/>
    <w:unhideWhenUsed/>
    <w:qFormat/>
    <w:uiPriority w:val="9"/>
    <w:pPr>
      <w:keepNext/>
      <w:keepLines/>
      <w:outlineLvl w:val="1"/>
    </w:pPr>
    <w:rPr>
      <w:rFonts w:cstheme="majorBidi"/>
      <w:b/>
      <w:bCs/>
      <w:sz w:val="30"/>
      <w:szCs w:val="32"/>
    </w:rPr>
  </w:style>
  <w:style w:type="paragraph" w:styleId="4">
    <w:name w:val="heading 3"/>
    <w:basedOn w:val="1"/>
    <w:next w:val="1"/>
    <w:link w:val="31"/>
    <w:unhideWhenUsed/>
    <w:qFormat/>
    <w:uiPriority w:val="0"/>
    <w:pPr>
      <w:keepNext/>
      <w:keepLines/>
      <w:ind w:firstLine="482"/>
      <w:outlineLvl w:val="2"/>
    </w:pPr>
    <w:rPr>
      <w:b/>
      <w:bCs/>
      <w:sz w:val="24"/>
      <w:szCs w:val="32"/>
    </w:rPr>
  </w:style>
  <w:style w:type="paragraph" w:styleId="5">
    <w:name w:val="heading 4"/>
    <w:basedOn w:val="1"/>
    <w:next w:val="1"/>
    <w:link w:val="32"/>
    <w:unhideWhenUsed/>
    <w:qFormat/>
    <w:uiPriority w:val="0"/>
    <w:pPr>
      <w:keepNext/>
      <w:keepLines/>
      <w:tabs>
        <w:tab w:val="left" w:pos="720"/>
      </w:tabs>
      <w:ind w:firstLine="422"/>
      <w:outlineLvl w:val="3"/>
    </w:pPr>
    <w:rPr>
      <w:rFonts w:cs="Times New Roman"/>
      <w:b/>
      <w:bCs/>
      <w:color w:val="005099"/>
      <w:szCs w:val="21"/>
    </w:rPr>
  </w:style>
  <w:style w:type="paragraph" w:styleId="6">
    <w:name w:val="heading 5"/>
    <w:basedOn w:val="1"/>
    <w:next w:val="1"/>
    <w:link w:val="33"/>
    <w:semiHidden/>
    <w:unhideWhenUsed/>
    <w:qFormat/>
    <w:uiPriority w:val="0"/>
    <w:pPr>
      <w:keepNext/>
      <w:keepLines/>
      <w:tabs>
        <w:tab w:val="left" w:pos="720"/>
      </w:tabs>
      <w:ind w:left="620"/>
      <w:outlineLvl w:val="4"/>
    </w:pPr>
    <w:rPr>
      <w:b/>
      <w:bCs/>
      <w:sz w:val="18"/>
      <w:szCs w:val="28"/>
    </w:rPr>
  </w:style>
  <w:style w:type="character" w:default="1" w:styleId="24">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uiPriority w:val="39"/>
    <w:pPr>
      <w:spacing w:line="240" w:lineRule="auto"/>
      <w:ind w:left="2520" w:leftChars="1200" w:firstLine="0" w:firstLineChars="0"/>
    </w:pPr>
    <w:rPr>
      <w:rFonts w:asciiTheme="minorHAnsi" w:hAnsiTheme="minorHAnsi" w:eastAsiaTheme="minorEastAsia"/>
      <w:szCs w:val="22"/>
    </w:rPr>
  </w:style>
  <w:style w:type="paragraph" w:styleId="8">
    <w:name w:val="caption"/>
    <w:basedOn w:val="1"/>
    <w:next w:val="1"/>
    <w:unhideWhenUsed/>
    <w:qFormat/>
    <w:uiPriority w:val="0"/>
    <w:pPr>
      <w:ind w:firstLine="360"/>
      <w:jc w:val="center"/>
    </w:pPr>
    <w:rPr>
      <w:rFonts w:cstheme="majorBidi"/>
      <w:sz w:val="18"/>
      <w:szCs w:val="20"/>
    </w:rPr>
  </w:style>
  <w:style w:type="paragraph" w:styleId="9">
    <w:name w:val="Body Text"/>
    <w:basedOn w:val="1"/>
    <w:link w:val="38"/>
    <w:qFormat/>
    <w:uiPriority w:val="1"/>
    <w:pPr>
      <w:autoSpaceDE w:val="0"/>
      <w:autoSpaceDN w:val="0"/>
      <w:jc w:val="left"/>
    </w:pPr>
    <w:rPr>
      <w:rFonts w:cs="宋体"/>
      <w:kern w:val="0"/>
      <w:sz w:val="24"/>
      <w:lang w:val="zh-CN" w:bidi="zh-CN"/>
    </w:rPr>
  </w:style>
  <w:style w:type="paragraph" w:styleId="10">
    <w:name w:val="toc 5"/>
    <w:basedOn w:val="1"/>
    <w:next w:val="1"/>
    <w:unhideWhenUsed/>
    <w:uiPriority w:val="39"/>
    <w:pPr>
      <w:spacing w:line="240" w:lineRule="auto"/>
      <w:ind w:left="1680" w:leftChars="800" w:firstLine="0" w:firstLineChars="0"/>
    </w:pPr>
    <w:rPr>
      <w:rFonts w:asciiTheme="minorHAnsi" w:hAnsiTheme="minorHAnsi" w:eastAsiaTheme="minorEastAsia"/>
      <w:szCs w:val="22"/>
    </w:rPr>
  </w:style>
  <w:style w:type="paragraph" w:styleId="11">
    <w:name w:val="toc 3"/>
    <w:basedOn w:val="1"/>
    <w:next w:val="1"/>
    <w:unhideWhenUsed/>
    <w:qFormat/>
    <w:uiPriority w:val="39"/>
    <w:pPr>
      <w:ind w:left="840" w:leftChars="400"/>
    </w:pPr>
  </w:style>
  <w:style w:type="paragraph" w:styleId="12">
    <w:name w:val="toc 8"/>
    <w:basedOn w:val="1"/>
    <w:next w:val="1"/>
    <w:unhideWhenUsed/>
    <w:uiPriority w:val="39"/>
    <w:pPr>
      <w:spacing w:line="240" w:lineRule="auto"/>
      <w:ind w:left="2940" w:leftChars="1400" w:firstLine="0" w:firstLineChars="0"/>
    </w:pPr>
    <w:rPr>
      <w:rFonts w:asciiTheme="minorHAnsi" w:hAnsiTheme="minorHAnsi" w:eastAsiaTheme="minorEastAsia"/>
      <w:szCs w:val="22"/>
    </w:rPr>
  </w:style>
  <w:style w:type="paragraph" w:styleId="13">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2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style>
  <w:style w:type="paragraph" w:styleId="16">
    <w:name w:val="toc 4"/>
    <w:basedOn w:val="1"/>
    <w:next w:val="1"/>
    <w:unhideWhenUsed/>
    <w:uiPriority w:val="39"/>
    <w:pPr>
      <w:spacing w:line="240" w:lineRule="auto"/>
      <w:ind w:left="1260" w:leftChars="600" w:firstLine="0" w:firstLineChars="0"/>
    </w:pPr>
    <w:rPr>
      <w:rFonts w:asciiTheme="minorHAnsi" w:hAnsiTheme="minorHAnsi" w:eastAsiaTheme="minorEastAsia"/>
      <w:szCs w:val="22"/>
    </w:rPr>
  </w:style>
  <w:style w:type="paragraph" w:styleId="17">
    <w:name w:val="footnote text"/>
    <w:basedOn w:val="1"/>
    <w:link w:val="39"/>
    <w:semiHidden/>
    <w:unhideWhenUsed/>
    <w:qFormat/>
    <w:uiPriority w:val="99"/>
    <w:pPr>
      <w:autoSpaceDE w:val="0"/>
      <w:autoSpaceDN w:val="0"/>
      <w:snapToGrid w:val="0"/>
      <w:jc w:val="left"/>
    </w:pPr>
    <w:rPr>
      <w:rFonts w:cs="宋体"/>
      <w:kern w:val="0"/>
      <w:sz w:val="18"/>
      <w:szCs w:val="18"/>
      <w:lang w:val="zh-CN" w:bidi="zh-CN"/>
    </w:rPr>
  </w:style>
  <w:style w:type="paragraph" w:styleId="18">
    <w:name w:val="toc 6"/>
    <w:basedOn w:val="1"/>
    <w:next w:val="1"/>
    <w:unhideWhenUsed/>
    <w:uiPriority w:val="39"/>
    <w:pPr>
      <w:spacing w:line="240" w:lineRule="auto"/>
      <w:ind w:left="2100" w:leftChars="1000" w:firstLine="0" w:firstLineChars="0"/>
    </w:pPr>
    <w:rPr>
      <w:rFonts w:asciiTheme="minorHAnsi" w:hAnsiTheme="minorHAnsi" w:eastAsiaTheme="minorEastAsia"/>
      <w:szCs w:val="22"/>
    </w:rPr>
  </w:style>
  <w:style w:type="paragraph" w:styleId="19">
    <w:name w:val="toc 2"/>
    <w:basedOn w:val="1"/>
    <w:next w:val="1"/>
    <w:unhideWhenUsed/>
    <w:qFormat/>
    <w:uiPriority w:val="39"/>
    <w:pPr>
      <w:ind w:left="420" w:leftChars="200"/>
    </w:pPr>
  </w:style>
  <w:style w:type="paragraph" w:styleId="20">
    <w:name w:val="toc 9"/>
    <w:basedOn w:val="1"/>
    <w:next w:val="1"/>
    <w:unhideWhenUsed/>
    <w:uiPriority w:val="39"/>
    <w:pPr>
      <w:spacing w:line="240" w:lineRule="auto"/>
      <w:ind w:left="3360" w:leftChars="1600" w:firstLine="0" w:firstLineChars="0"/>
    </w:pPr>
    <w:rPr>
      <w:rFonts w:asciiTheme="minorHAnsi" w:hAnsiTheme="minorHAnsi" w:eastAsiaTheme="minorEastAsia"/>
      <w:szCs w:val="22"/>
    </w:rPr>
  </w:style>
  <w:style w:type="paragraph" w:styleId="21">
    <w:name w:val="Normal (Web)"/>
    <w:basedOn w:val="1"/>
    <w:qFormat/>
    <w:uiPriority w:val="0"/>
    <w:pPr>
      <w:spacing w:line="240" w:lineRule="auto"/>
      <w:ind w:firstLine="0" w:firstLineChars="0"/>
    </w:pPr>
    <w:rPr>
      <w:rFonts w:asciiTheme="minorHAnsi" w:hAnsiTheme="minorHAnsi" w:eastAsiaTheme="minorEastAsia"/>
      <w:sz w:val="24"/>
    </w:rPr>
  </w:style>
  <w:style w:type="paragraph" w:styleId="22">
    <w:name w:val="Title"/>
    <w:basedOn w:val="1"/>
    <w:next w:val="1"/>
    <w:link w:val="29"/>
    <w:qFormat/>
    <w:uiPriority w:val="0"/>
    <w:pPr>
      <w:jc w:val="center"/>
      <w:outlineLvl w:val="0"/>
    </w:pPr>
    <w:rPr>
      <w:rFonts w:cstheme="majorBidi"/>
      <w:b/>
      <w:bCs/>
      <w:sz w:val="32"/>
      <w:szCs w:val="32"/>
    </w:rPr>
  </w:style>
  <w:style w:type="character" w:styleId="25">
    <w:name w:val="Hyperlink"/>
    <w:basedOn w:val="24"/>
    <w:unhideWhenUsed/>
    <w:qFormat/>
    <w:uiPriority w:val="99"/>
    <w:rPr>
      <w:color w:val="6B9F25" w:themeColor="hyperlink"/>
      <w:u w:val="single"/>
      <w14:textFill>
        <w14:solidFill>
          <w14:schemeClr w14:val="hlink"/>
        </w14:solidFill>
      </w14:textFill>
    </w:rPr>
  </w:style>
  <w:style w:type="character" w:styleId="26">
    <w:name w:val="footnote reference"/>
    <w:basedOn w:val="24"/>
    <w:semiHidden/>
    <w:unhideWhenUsed/>
    <w:qFormat/>
    <w:uiPriority w:val="99"/>
    <w:rPr>
      <w:vertAlign w:val="superscript"/>
    </w:rPr>
  </w:style>
  <w:style w:type="character" w:customStyle="1" w:styleId="27">
    <w:name w:val="标题 1 字符"/>
    <w:basedOn w:val="24"/>
    <w:link w:val="2"/>
    <w:qFormat/>
    <w:uiPriority w:val="0"/>
    <w:rPr>
      <w:rFonts w:cstheme="minorBidi"/>
      <w:b/>
      <w:bCs/>
      <w:kern w:val="44"/>
      <w:sz w:val="32"/>
      <w:szCs w:val="44"/>
    </w:rPr>
  </w:style>
  <w:style w:type="character" w:customStyle="1" w:styleId="28">
    <w:name w:val="页眉 字符"/>
    <w:basedOn w:val="24"/>
    <w:link w:val="14"/>
    <w:qFormat/>
    <w:uiPriority w:val="0"/>
    <w:rPr>
      <w:rFonts w:asciiTheme="minorHAnsi" w:hAnsiTheme="minorHAnsi" w:eastAsiaTheme="minorEastAsia" w:cstheme="minorBidi"/>
      <w:kern w:val="2"/>
      <w:sz w:val="18"/>
      <w:szCs w:val="24"/>
    </w:rPr>
  </w:style>
  <w:style w:type="character" w:customStyle="1" w:styleId="29">
    <w:name w:val="标题 字符"/>
    <w:basedOn w:val="24"/>
    <w:link w:val="22"/>
    <w:qFormat/>
    <w:uiPriority w:val="0"/>
    <w:rPr>
      <w:rFonts w:cstheme="majorBidi"/>
      <w:b/>
      <w:bCs/>
      <w:kern w:val="2"/>
      <w:sz w:val="32"/>
      <w:szCs w:val="32"/>
    </w:rPr>
  </w:style>
  <w:style w:type="character" w:customStyle="1" w:styleId="30">
    <w:name w:val="标题 2 字符"/>
    <w:basedOn w:val="24"/>
    <w:link w:val="3"/>
    <w:qFormat/>
    <w:uiPriority w:val="9"/>
    <w:rPr>
      <w:rFonts w:cstheme="majorBidi"/>
      <w:b/>
      <w:bCs/>
      <w:kern w:val="2"/>
      <w:sz w:val="30"/>
      <w:szCs w:val="32"/>
    </w:rPr>
  </w:style>
  <w:style w:type="character" w:customStyle="1" w:styleId="31">
    <w:name w:val="标题 3 字符"/>
    <w:basedOn w:val="24"/>
    <w:link w:val="4"/>
    <w:qFormat/>
    <w:uiPriority w:val="0"/>
    <w:rPr>
      <w:rFonts w:cstheme="minorBidi"/>
      <w:b/>
      <w:bCs/>
      <w:kern w:val="2"/>
      <w:sz w:val="24"/>
      <w:szCs w:val="32"/>
    </w:rPr>
  </w:style>
  <w:style w:type="character" w:customStyle="1" w:styleId="32">
    <w:name w:val="标题 4 字符"/>
    <w:basedOn w:val="24"/>
    <w:link w:val="5"/>
    <w:qFormat/>
    <w:uiPriority w:val="0"/>
    <w:rPr>
      <w:rFonts w:eastAsia="宋体"/>
      <w:b/>
      <w:bCs/>
      <w:color w:val="005099"/>
      <w:kern w:val="2"/>
      <w:sz w:val="21"/>
      <w:szCs w:val="21"/>
    </w:rPr>
  </w:style>
  <w:style w:type="character" w:customStyle="1" w:styleId="33">
    <w:name w:val="标题 5 字符"/>
    <w:basedOn w:val="24"/>
    <w:link w:val="6"/>
    <w:semiHidden/>
    <w:uiPriority w:val="0"/>
    <w:rPr>
      <w:rFonts w:cstheme="minorBidi"/>
      <w:b/>
      <w:bCs/>
      <w:kern w:val="2"/>
      <w:sz w:val="18"/>
      <w:szCs w:val="28"/>
    </w:rPr>
  </w:style>
  <w:style w:type="paragraph" w:customStyle="1" w:styleId="34">
    <w:name w:val="报告表格"/>
    <w:basedOn w:val="1"/>
    <w:link w:val="35"/>
    <w:qFormat/>
    <w:uiPriority w:val="0"/>
    <w:pPr>
      <w:spacing w:line="240" w:lineRule="auto"/>
      <w:ind w:firstLine="0"/>
      <w:jc w:val="center"/>
    </w:pPr>
    <w:rPr>
      <w:rFonts w:cs="宋体"/>
      <w:color w:val="F2F2F2"/>
      <w:sz w:val="18"/>
    </w:rPr>
  </w:style>
  <w:style w:type="character" w:customStyle="1" w:styleId="35">
    <w:name w:val="报告表格 字符"/>
    <w:basedOn w:val="24"/>
    <w:link w:val="34"/>
    <w:qFormat/>
    <w:uiPriority w:val="0"/>
    <w:rPr>
      <w:rFonts w:cs="宋体"/>
      <w:color w:val="F2F2F2"/>
      <w:sz w:val="18"/>
      <w:szCs w:val="22"/>
    </w:rPr>
  </w:style>
  <w:style w:type="character" w:customStyle="1" w:styleId="36">
    <w:name w:val="页脚 字符"/>
    <w:basedOn w:val="24"/>
    <w:link w:val="13"/>
    <w:qFormat/>
    <w:uiPriority w:val="99"/>
    <w:rPr>
      <w:sz w:val="18"/>
      <w:szCs w:val="18"/>
    </w:rPr>
  </w:style>
  <w:style w:type="paragraph" w:styleId="37">
    <w:name w:val="List Paragraph"/>
    <w:basedOn w:val="1"/>
    <w:qFormat/>
    <w:uiPriority w:val="34"/>
    <w:pPr>
      <w:widowControl/>
      <w:ind w:firstLine="420"/>
    </w:pPr>
    <w:rPr>
      <w:rFonts w:ascii="等线" w:hAnsi="等线" w:eastAsia="等线" w:cs="Times New Roman"/>
      <w:szCs w:val="22"/>
    </w:rPr>
  </w:style>
  <w:style w:type="character" w:customStyle="1" w:styleId="38">
    <w:name w:val="正文文本 字符"/>
    <w:basedOn w:val="24"/>
    <w:link w:val="9"/>
    <w:qFormat/>
    <w:uiPriority w:val="1"/>
    <w:rPr>
      <w:rFonts w:eastAsia="宋体" w:cs="宋体"/>
      <w:color w:val="auto"/>
      <w:sz w:val="24"/>
      <w:szCs w:val="24"/>
      <w:lang w:val="zh-CN" w:bidi="zh-CN"/>
    </w:rPr>
  </w:style>
  <w:style w:type="character" w:customStyle="1" w:styleId="39">
    <w:name w:val="脚注文本 字符"/>
    <w:basedOn w:val="24"/>
    <w:link w:val="17"/>
    <w:semiHidden/>
    <w:qFormat/>
    <w:uiPriority w:val="99"/>
    <w:rPr>
      <w:rFonts w:eastAsia="宋体" w:cs="宋体"/>
      <w:color w:val="auto"/>
      <w:sz w:val="18"/>
      <w:szCs w:val="18"/>
      <w:lang w:val="zh-CN" w:bidi="zh-CN"/>
    </w:rPr>
  </w:style>
  <w:style w:type="paragraph" w:customStyle="1" w:styleId="40">
    <w:name w:val="MycosHeader5"/>
    <w:basedOn w:val="4"/>
    <w:qFormat/>
    <w:uiPriority w:val="0"/>
    <w:pPr>
      <w:tabs>
        <w:tab w:val="left" w:pos="0"/>
      </w:tabs>
      <w:ind w:left="420" w:hanging="420" w:firstLineChars="0"/>
      <w:jc w:val="left"/>
      <w:outlineLvl w:val="9"/>
    </w:pPr>
    <w:rPr>
      <w:rFonts w:ascii="Calibri" w:hAnsi="Calibri" w:cs="Calibri"/>
      <w:bCs w:val="0"/>
      <w:sz w:val="21"/>
    </w:rPr>
  </w:style>
  <w:style w:type="paragraph" w:customStyle="1" w:styleId="41">
    <w:name w:val="MycosDescription"/>
    <w:next w:val="9"/>
    <w:qFormat/>
    <w:uiPriority w:val="0"/>
    <w:pPr>
      <w:keepNext/>
      <w:keepLines/>
      <w:spacing w:line="360" w:lineRule="auto"/>
      <w:ind w:firstLine="420"/>
    </w:pPr>
    <w:rPr>
      <w:rFonts w:ascii="Calibri" w:hAnsi="Calibri" w:eastAsia="宋体" w:cs="Times New Roman"/>
      <w:sz w:val="21"/>
      <w:lang w:val="en-US" w:eastAsia="zh-CN" w:bidi="ar-SA"/>
    </w:rPr>
  </w:style>
  <w:style w:type="paragraph" w:customStyle="1" w:styleId="42">
    <w:name w:val="MycosNote"/>
    <w:qFormat/>
    <w:uiPriority w:val="0"/>
    <w:rPr>
      <w:rFonts w:ascii="Calibri" w:hAnsi="Calibri" w:eastAsia="宋体" w:cs="Times New Roman"/>
      <w:sz w:val="18"/>
      <w:lang w:val="en-US" w:eastAsia="zh-CN" w:bidi="ar-SA"/>
    </w:rPr>
  </w:style>
  <w:style w:type="paragraph" w:customStyle="1" w:styleId="43">
    <w:name w:val="MycosCaption"/>
    <w:basedOn w:val="8"/>
    <w:qFormat/>
    <w:uiPriority w:val="0"/>
    <w:pPr>
      <w:keepNext/>
      <w:spacing w:before="80"/>
      <w:ind w:left="420" w:hanging="420" w:firstLineChars="0"/>
      <w:jc w:val="left"/>
    </w:pPr>
    <w:rPr>
      <w:rFonts w:ascii="Calibri" w:hAnsi="Calibri" w:cs="Calibri"/>
      <w:b/>
      <w:szCs w:val="18"/>
    </w:rPr>
  </w:style>
  <w:style w:type="paragraph" w:customStyle="1" w:styleId="44">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1482AC" w:themeColor="accent1" w:themeShade="BF"/>
      <w:kern w:val="0"/>
      <w:szCs w:val="32"/>
    </w:rPr>
  </w:style>
  <w:style w:type="character" w:customStyle="1" w:styleId="45">
    <w:name w:val="Unresolved Mention"/>
    <w:basedOn w:val="2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chart" Target="charts/chart59.xml"/><Relationship Id="rId8" Type="http://schemas.openxmlformats.org/officeDocument/2006/relationships/footer" Target="footer1.xml"/><Relationship Id="rId79" Type="http://schemas.openxmlformats.org/officeDocument/2006/relationships/chart" Target="charts/chart58.xml"/><Relationship Id="rId78" Type="http://schemas.openxmlformats.org/officeDocument/2006/relationships/chart" Target="charts/chart57.xml"/><Relationship Id="rId77" Type="http://schemas.openxmlformats.org/officeDocument/2006/relationships/chart" Target="charts/chart56.xml"/><Relationship Id="rId76" Type="http://schemas.openxmlformats.org/officeDocument/2006/relationships/chart" Target="charts/chart55.xml"/><Relationship Id="rId75" Type="http://schemas.openxmlformats.org/officeDocument/2006/relationships/chart" Target="charts/chart54.xml"/><Relationship Id="rId74" Type="http://schemas.openxmlformats.org/officeDocument/2006/relationships/chart" Target="charts/chart53.xml"/><Relationship Id="rId73" Type="http://schemas.openxmlformats.org/officeDocument/2006/relationships/chart" Target="charts/chart52.xml"/><Relationship Id="rId72" Type="http://schemas.openxmlformats.org/officeDocument/2006/relationships/chart" Target="charts/chart51.xml"/><Relationship Id="rId71" Type="http://schemas.openxmlformats.org/officeDocument/2006/relationships/chart" Target="charts/chart50.xml"/><Relationship Id="rId70" Type="http://schemas.openxmlformats.org/officeDocument/2006/relationships/chart" Target="charts/chart49.xml"/><Relationship Id="rId7" Type="http://schemas.openxmlformats.org/officeDocument/2006/relationships/header" Target="header3.xml"/><Relationship Id="rId69" Type="http://schemas.openxmlformats.org/officeDocument/2006/relationships/chart" Target="charts/chart48.xml"/><Relationship Id="rId68" Type="http://schemas.openxmlformats.org/officeDocument/2006/relationships/chart" Target="charts/chart47.xml"/><Relationship Id="rId67" Type="http://schemas.openxmlformats.org/officeDocument/2006/relationships/chart" Target="charts/chart46.xml"/><Relationship Id="rId66" Type="http://schemas.openxmlformats.org/officeDocument/2006/relationships/chart" Target="charts/chart45.xml"/><Relationship Id="rId65" Type="http://schemas.openxmlformats.org/officeDocument/2006/relationships/chart" Target="charts/chart44.xml"/><Relationship Id="rId64" Type="http://schemas.openxmlformats.org/officeDocument/2006/relationships/chart" Target="charts/chart43.xml"/><Relationship Id="rId63" Type="http://schemas.openxmlformats.org/officeDocument/2006/relationships/chart" Target="charts/chart42.xml"/><Relationship Id="rId62" Type="http://schemas.openxmlformats.org/officeDocument/2006/relationships/chart" Target="charts/chart41.xml"/><Relationship Id="rId61" Type="http://schemas.openxmlformats.org/officeDocument/2006/relationships/chart" Target="charts/chart40.xml"/><Relationship Id="rId60" Type="http://schemas.openxmlformats.org/officeDocument/2006/relationships/chart" Target="charts/chart39.xml"/><Relationship Id="rId6" Type="http://schemas.openxmlformats.org/officeDocument/2006/relationships/header" Target="header2.xml"/><Relationship Id="rId59" Type="http://schemas.openxmlformats.org/officeDocument/2006/relationships/chart" Target="charts/chart38.xml"/><Relationship Id="rId58" Type="http://schemas.openxmlformats.org/officeDocument/2006/relationships/chart" Target="charts/chart37.xml"/><Relationship Id="rId57" Type="http://schemas.openxmlformats.org/officeDocument/2006/relationships/chart" Target="charts/chart36.xml"/><Relationship Id="rId56" Type="http://schemas.openxmlformats.org/officeDocument/2006/relationships/chart" Target="charts/chart35.xml"/><Relationship Id="rId55" Type="http://schemas.openxmlformats.org/officeDocument/2006/relationships/chart" Target="charts/chart34.xml"/><Relationship Id="rId54" Type="http://schemas.openxmlformats.org/officeDocument/2006/relationships/image" Target="media/image5.png"/><Relationship Id="rId53" Type="http://schemas.openxmlformats.org/officeDocument/2006/relationships/chart" Target="charts/chart33.xml"/><Relationship Id="rId52" Type="http://schemas.openxmlformats.org/officeDocument/2006/relationships/chart" Target="charts/chart32.xml"/><Relationship Id="rId51" Type="http://schemas.openxmlformats.org/officeDocument/2006/relationships/chart" Target="charts/chart31.xml"/><Relationship Id="rId50" Type="http://schemas.openxmlformats.org/officeDocument/2006/relationships/chart" Target="charts/chart30.xml"/><Relationship Id="rId5" Type="http://schemas.openxmlformats.org/officeDocument/2006/relationships/header" Target="header1.xml"/><Relationship Id="rId49" Type="http://schemas.openxmlformats.org/officeDocument/2006/relationships/chart" Target="charts/chart29.xml"/><Relationship Id="rId48" Type="http://schemas.openxmlformats.org/officeDocument/2006/relationships/chart" Target="charts/chart28.xml"/><Relationship Id="rId47" Type="http://schemas.openxmlformats.org/officeDocument/2006/relationships/chart" Target="charts/chart27.xml"/><Relationship Id="rId46" Type="http://schemas.openxmlformats.org/officeDocument/2006/relationships/chart" Target="charts/chart26.xml"/><Relationship Id="rId45" Type="http://schemas.openxmlformats.org/officeDocument/2006/relationships/chart" Target="charts/chart25.xml"/><Relationship Id="rId44" Type="http://schemas.openxmlformats.org/officeDocument/2006/relationships/chart" Target="charts/chart24.xml"/><Relationship Id="rId43" Type="http://schemas.openxmlformats.org/officeDocument/2006/relationships/chart" Target="charts/chart23.xml"/><Relationship Id="rId42" Type="http://schemas.openxmlformats.org/officeDocument/2006/relationships/chart" Target="charts/chart22.xml"/><Relationship Id="rId41" Type="http://schemas.openxmlformats.org/officeDocument/2006/relationships/chart" Target="charts/chart21.xml"/><Relationship Id="rId40" Type="http://schemas.openxmlformats.org/officeDocument/2006/relationships/chart" Target="charts/chart20.xml"/><Relationship Id="rId4" Type="http://schemas.openxmlformats.org/officeDocument/2006/relationships/endnotes" Target="endnotes.xml"/><Relationship Id="rId39" Type="http://schemas.openxmlformats.org/officeDocument/2006/relationships/chart" Target="charts/chart19.xml"/><Relationship Id="rId38" Type="http://schemas.openxmlformats.org/officeDocument/2006/relationships/chart" Target="charts/chart18.xml"/><Relationship Id="rId37" Type="http://schemas.openxmlformats.org/officeDocument/2006/relationships/chart" Target="charts/chart17.xml"/><Relationship Id="rId36" Type="http://schemas.openxmlformats.org/officeDocument/2006/relationships/chart" Target="charts/chart16.xml"/><Relationship Id="rId35" Type="http://schemas.openxmlformats.org/officeDocument/2006/relationships/chart" Target="charts/chart15.xml"/><Relationship Id="rId34" Type="http://schemas.openxmlformats.org/officeDocument/2006/relationships/chart" Target="charts/chart14.xml"/><Relationship Id="rId33" Type="http://schemas.openxmlformats.org/officeDocument/2006/relationships/chart" Target="charts/chart13.xml"/><Relationship Id="rId32" Type="http://schemas.openxmlformats.org/officeDocument/2006/relationships/chart" Target="charts/chart12.xml"/><Relationship Id="rId31" Type="http://schemas.openxmlformats.org/officeDocument/2006/relationships/chart" Target="charts/chart11.xml"/><Relationship Id="rId30" Type="http://schemas.openxmlformats.org/officeDocument/2006/relationships/chart" Target="charts/chart10.xml"/><Relationship Id="rId3" Type="http://schemas.openxmlformats.org/officeDocument/2006/relationships/footnotes" Target="footnotes.xml"/><Relationship Id="rId29" Type="http://schemas.openxmlformats.org/officeDocument/2006/relationships/chart" Target="charts/chart9.xml"/><Relationship Id="rId28" Type="http://schemas.openxmlformats.org/officeDocument/2006/relationships/chart" Target="charts/chart8.xml"/><Relationship Id="rId27" Type="http://schemas.openxmlformats.org/officeDocument/2006/relationships/chart" Target="charts/chart7.xml"/><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chart" Target="charts/chart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shinelon\desktop\&#22825;&#29422;2021\&#25968;&#25454;\&#22825;&#27941;&#22825;&#29422;&#23398;&#38498;&#23601;&#19994;&#25968;&#25454;083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image" Target="../media/image6.png"/><Relationship Id="rId1" Type="http://schemas.openxmlformats.org/officeDocument/2006/relationships/oleObject" Target="file:///c:\users\shinelon\desktop\&#22825;&#29422;2021\&#25968;&#25454;\&#22825;&#27941;&#22825;&#29422;&#23398;&#38498;&#23601;&#19994;&#25968;&#25454;0831.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chartUserShapes" Target="../drawings/drawing6.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8.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3.xml"/><Relationship Id="rId1" Type="http://schemas.openxmlformats.org/officeDocument/2006/relationships/oleObject" Target="file:///C:\Users\Shinelon\Desktop\&#22825;&#29422;2021\&#25968;&#25454;\&#22825;&#27941;&#22825;&#29422;&#23398;&#38498;&#23398;&#29983;&#35843;&#30740;1125.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1.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hinelon\Desktop\&#22825;&#29422;2021\&#25968;&#25454;\&#22825;&#27941;&#22825;&#29422;&#23398;&#38498;&#23398;&#29983;&#35843;&#30740;11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19.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chartUserShapes" Target="../drawings/drawing7.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shinelon\desktop\&#22825;&#29422;2021\&#25968;&#25454;\&#22825;&#27941;&#22825;&#29422;&#23398;&#38498;&#23601;&#19994;&#25968;&#25454;083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hinelon\Desktop\&#22825;&#29422;2021\&#25968;&#25454;\&#22825;&#27941;&#22825;&#29422;&#23398;&#38498;&#23398;&#29983;&#35843;&#30740;1125.xlsx" TargetMode="External"/></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Shinelon\Desktop\&#22825;&#29422;2021\&#25968;&#25454;\&#22825;&#27941;&#22825;&#29422;&#23398;&#38498;&#23398;&#29983;&#35843;&#30740;1125.xlsx" TargetMode="External"/></Relationships>
</file>

<file path=word/charts/_rels/chart22.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2.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24.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4.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Shinelon\Desktop\&#22825;&#29422;2021\&#25968;&#25454;\&#22825;&#27941;&#22825;&#29422;&#23398;&#38498;&#23601;&#19994;&#25968;&#25454;083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shinelon\desktop\&#22825;&#29422;2021\&#25968;&#25454;\&#22825;&#27941;&#22825;&#29422;&#23398;&#38498;&#23601;&#19994;&#25968;&#25454;083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shinelon\desktop\&#22825;&#29422;2021\&#25968;&#25454;\&#22825;&#27941;&#22825;&#29422;&#23398;&#38498;&#23601;&#19994;&#25968;&#25454;083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4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Administrator\Desktop\2021&#36136;&#37327;&#25253;&#21578;\&#22825;&#27941;&#22825;&#29422;&#23398;&#38498;&#23398;&#29983;&#35843;&#30740;1125.xlsx" TargetMode="External"/></Relationships>
</file>

<file path=word/charts/_rels/chart42.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chartUserShapes" Target="../drawings/drawing9.xml"/><Relationship Id="rId1" Type="http://schemas.openxmlformats.org/officeDocument/2006/relationships/oleObject" Target="file:///C:\Users\Shinelon\Desktop\&#22825;&#29422;2021\&#25968;&#25454;\&#22825;&#27941;&#22825;&#29422;&#23398;&#38498;&#23398;&#29983;&#35843;&#30740;1125.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dministrator\Desktop\2021&#36136;&#37327;&#25253;&#21578;\&#22825;&#27941;&#22825;&#29422;&#23398;&#38498;&#23398;&#29983;&#35843;&#30740;112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47.xml.rels><?xml version="1.0" encoding="UTF-8" standalone="yes"?>
<Relationships xmlns="http://schemas.openxmlformats.org/package/2006/relationships"><Relationship Id="rId4" Type="http://schemas.microsoft.com/office/2011/relationships/chartColorStyle" Target="colors22.xml"/><Relationship Id="rId3" Type="http://schemas.microsoft.com/office/2011/relationships/chartStyle" Target="style22.xml"/><Relationship Id="rId2" Type="http://schemas.openxmlformats.org/officeDocument/2006/relationships/image" Target="../media/image8.png"/><Relationship Id="rId1" Type="http://schemas.openxmlformats.org/officeDocument/2006/relationships/oleObject" Target="file:///C:\Users\Administrator\Desktop\2021&#36136;&#37327;&#25253;&#21578;\&#22825;&#29422;&#29992;&#20154;&#21333;&#20301;&#35843;&#30740;1125.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istrator\Desktop\2021&#36136;&#37327;&#25253;&#21578;\&#22825;&#29422;&#29992;&#20154;&#21333;&#20301;&#35843;&#30740;112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shinelon\desktop\&#22825;&#29422;2021\&#25968;&#25454;\&#22825;&#27941;&#22825;&#29422;&#23398;&#38498;&#23601;&#19994;&#25968;&#25454;0831.xlsx" TargetMode="External"/></Relationships>
</file>

<file path=word/charts/_rels/chart50.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chartUserShapes" Target="../drawings/drawing11.xml"/><Relationship Id="rId1" Type="http://schemas.openxmlformats.org/officeDocument/2006/relationships/oleObject" Target="file:///C:\Users\Administrator\Desktop\2021&#36136;&#37327;&#25253;&#21578;\&#22825;&#29422;&#29992;&#20154;&#21333;&#20301;&#35843;&#30740;112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52.xml.rels><?xml version="1.0" encoding="UTF-8" standalone="yes"?>
<Relationships xmlns="http://schemas.openxmlformats.org/package/2006/relationships"><Relationship Id="rId4" Type="http://schemas.microsoft.com/office/2011/relationships/chartColorStyle" Target="colors21.xml"/><Relationship Id="rId3" Type="http://schemas.microsoft.com/office/2011/relationships/chartStyle" Target="style21.xml"/><Relationship Id="rId2" Type="http://schemas.openxmlformats.org/officeDocument/2006/relationships/chartUserShapes" Target="../drawings/drawing10.xml"/><Relationship Id="rId1" Type="http://schemas.openxmlformats.org/officeDocument/2006/relationships/oleObject" Target="file:///C:\Users\Administrator\Desktop\2021&#36136;&#37327;&#25253;&#21578;\&#22825;&#29422;&#29992;&#20154;&#21333;&#20301;&#35843;&#30740;1125.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dministrator\Desktop\2021&#36136;&#37327;&#25253;&#21578;\&#22825;&#29422;&#29992;&#20154;&#21333;&#20301;&#35843;&#30740;1125.xlsx" TargetMode="External"/></Relationships>
</file>

<file path=word/charts/_rels/chart54.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Shinelon\Desktop\&#22825;&#29422;2021\&#25968;&#25454;\&#22825;&#29422;&#29992;&#20154;&#21333;&#20301;&#35843;&#30740;1125.xlsx" TargetMode="External"/></Relationships>
</file>

<file path=word/charts/_rels/chart55.xml.rels><?xml version="1.0" encoding="UTF-8" standalone="yes"?>
<Relationships xmlns="http://schemas.openxmlformats.org/package/2006/relationships"><Relationship Id="rId4" Type="http://schemas.microsoft.com/office/2011/relationships/chartColorStyle" Target="colors25.xml"/><Relationship Id="rId3" Type="http://schemas.microsoft.com/office/2011/relationships/chartStyle" Target="style25.xml"/><Relationship Id="rId2" Type="http://schemas.openxmlformats.org/officeDocument/2006/relationships/chartUserShapes" Target="../drawings/drawing14.xml"/><Relationship Id="rId1" Type="http://schemas.openxmlformats.org/officeDocument/2006/relationships/oleObject" Target="file:///C:\Users\Administrator\Desktop\2021&#36136;&#37327;&#25253;&#21578;\&#22825;&#29422;&#29992;&#20154;&#21333;&#20301;&#35843;&#30740;1125.xlsx" TargetMode="External"/></Relationships>
</file>

<file path=word/charts/_rels/chart56.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Administrator\Desktop\2021&#36136;&#37327;&#25253;&#21578;\&#22825;&#29422;&#29992;&#20154;&#21333;&#20301;&#35843;&#30740;1125.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Shinelon\Desktop\&#22825;&#29422;2021\&#25968;&#25454;\&#22825;&#29422;&#19977;&#24180;&#36235;&#21183;&#23545;&#27604;.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Shinelon\Desktop\&#22825;&#29422;2021\&#25968;&#25454;\&#22825;&#29422;&#19977;&#24180;&#36235;&#21183;&#23545;&#27604;.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Shinelon\Desktop\&#22825;&#29422;2021\&#25968;&#25454;\&#22825;&#29422;&#19977;&#24180;&#36235;&#21183;&#23545;&#2760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hinelon\desktop\&#22825;&#29422;2021\&#25968;&#25454;\&#22825;&#27941;&#22825;&#29422;&#23398;&#38498;&#23601;&#19994;&#25968;&#25454;0831.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shinelon\desktop\&#22825;&#29422;2021\&#25968;&#25454;\&#22825;&#27941;&#22825;&#29422;&#23398;&#38498;&#23601;&#19994;&#25968;&#25454;0831.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shinelon\desktop\&#22825;&#29422;2021\&#25968;&#25454;\&#22825;&#27941;&#22825;&#29422;&#23398;&#38498;&#23601;&#19994;&#25968;&#25454;0831.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image" Target="../media/image7.png"/><Relationship Id="rId1" Type="http://schemas.openxmlformats.org/officeDocument/2006/relationships/oleObject" Target="file:///c:\users\shinelon\desktop\&#22825;&#29422;2021\&#25968;&#25454;\&#22825;&#27941;&#22825;&#29422;&#23398;&#38498;&#23601;&#19994;&#25968;&#25454;08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056396632278"/>
          <c:y val="0.14076990376203"/>
          <c:w val="0.546153846153846"/>
          <c:h val="0.949832775919732"/>
        </c:manualLayout>
      </c:layout>
      <c:doughnutChart>
        <c:varyColors val="1"/>
        <c:ser>
          <c:idx val="0"/>
          <c:order val="0"/>
          <c:tx>
            <c:strRef>
              <c:f>规模!$S$2</c:f>
              <c:strCache>
                <c:ptCount val="1"/>
                <c:pt idx="0">
                  <c:v>计数项:姓名</c:v>
                </c:pt>
              </c:strCache>
            </c:strRef>
          </c:tx>
          <c:spPr>
            <a:solidFill>
              <a:srgbClr val="FF3300"/>
            </a:solidFill>
            <a:ln w="19050">
              <a:noFill/>
            </a:ln>
          </c:spPr>
          <c:explosion val="0"/>
          <c:dPt>
            <c:idx val="0"/>
            <c:bubble3D val="0"/>
            <c:spPr>
              <a:solidFill>
                <a:srgbClr val="3960A7"/>
              </a:solidFill>
              <a:ln w="19050">
                <a:solidFill>
                  <a:srgbClr val="3960A7"/>
                </a:solidFill>
              </a:ln>
              <a:effectLst/>
            </c:spPr>
          </c:dPt>
          <c:dPt>
            <c:idx val="1"/>
            <c:bubble3D val="0"/>
            <c:spPr>
              <a:solidFill>
                <a:srgbClr val="C6D4EC"/>
              </a:solidFill>
              <a:ln w="19050">
                <a:solidFill>
                  <a:srgbClr val="C6D4EC"/>
                </a:solidFill>
              </a:ln>
              <a:effectLst/>
            </c:spPr>
          </c:dPt>
          <c:dLbls>
            <c:delete val="1"/>
          </c:dLbls>
          <c:cat>
            <c:strRef>
              <c:f>规模!$R$3:$R$4</c:f>
              <c:strCache>
                <c:ptCount val="2"/>
                <c:pt idx="0">
                  <c:v>本科毕业生</c:v>
                </c:pt>
                <c:pt idx="1">
                  <c:v>专科毕业生</c:v>
                </c:pt>
              </c:strCache>
            </c:strRef>
          </c:cat>
          <c:val>
            <c:numRef>
              <c:f>规模!$S$3:$S$4</c:f>
              <c:numCache>
                <c:formatCode>General</c:formatCode>
                <c:ptCount val="2"/>
                <c:pt idx="0">
                  <c:v>1566</c:v>
                </c:pt>
                <c:pt idx="1">
                  <c:v>233</c:v>
                </c:pt>
              </c:numCache>
            </c:numRef>
          </c:val>
        </c:ser>
        <c:ser>
          <c:idx val="1"/>
          <c:order val="1"/>
          <c:tx>
            <c:strRef>
              <c:f>规模!$T$2</c:f>
              <c:strCache>
                <c:ptCount val="1"/>
                <c:pt idx="0">
                  <c:v>计数项:姓名</c:v>
                </c:pt>
              </c:strCache>
            </c:strRef>
          </c:tx>
          <c:spPr>
            <a:ln w="0">
              <a:noFill/>
            </a:ln>
          </c:spPr>
          <c:explosion val="0"/>
          <c:dPt>
            <c:idx val="0"/>
            <c:bubble3D val="0"/>
            <c:spPr>
              <a:solidFill>
                <a:srgbClr val="3960A7"/>
              </a:solidFill>
              <a:ln w="0">
                <a:solidFill>
                  <a:srgbClr val="3960A7"/>
                </a:solidFill>
              </a:ln>
              <a:effectLst/>
            </c:spPr>
          </c:dPt>
          <c:dPt>
            <c:idx val="1"/>
            <c:bubble3D val="0"/>
            <c:spPr>
              <a:solidFill>
                <a:srgbClr val="C6D4EC"/>
              </a:solidFill>
              <a:ln w="19050">
                <a:solidFill>
                  <a:srgbClr val="C6D4EC"/>
                </a:solidFill>
              </a:ln>
              <a:effectLst/>
            </c:spPr>
          </c:dPt>
          <c:dLbls>
            <c:delete val="1"/>
          </c:dLbls>
          <c:cat>
            <c:strRef>
              <c:f>规模!$R$3:$R$4</c:f>
              <c:strCache>
                <c:ptCount val="2"/>
                <c:pt idx="0">
                  <c:v>本科毕业生</c:v>
                </c:pt>
                <c:pt idx="1">
                  <c:v>专科毕业生</c:v>
                </c:pt>
              </c:strCache>
            </c:strRef>
          </c:cat>
          <c:val>
            <c:numRef>
              <c:f>规模!$T$3:$T$4</c:f>
              <c:numCache>
                <c:formatCode>General</c:formatCode>
                <c:ptCount val="2"/>
                <c:pt idx="0">
                  <c:v>1566</c:v>
                </c:pt>
                <c:pt idx="1">
                  <c:v>233</c:v>
                </c:pt>
              </c:numCache>
            </c:numRef>
          </c:val>
        </c:ser>
        <c:ser>
          <c:idx val="2"/>
          <c:order val="2"/>
          <c:tx>
            <c:strRef>
              <c:f>规模!$U$2</c:f>
              <c:strCache>
                <c:ptCount val="1"/>
                <c:pt idx="0">
                  <c:v>计数项:姓名</c:v>
                </c:pt>
              </c:strCache>
            </c:strRef>
          </c:tx>
          <c:spPr>
            <a:ln w="19050">
              <a:noFill/>
            </a:ln>
            <a:effectLst>
              <a:glow>
                <a:schemeClr val="accent1"/>
              </a:glow>
              <a:softEdge rad="0"/>
            </a:effectLst>
          </c:spPr>
          <c:explosion val="0"/>
          <c:dPt>
            <c:idx val="0"/>
            <c:bubble3D val="0"/>
            <c:spPr>
              <a:solidFill>
                <a:srgbClr val="3960A7"/>
              </a:solidFill>
              <a:ln w="19050">
                <a:solidFill>
                  <a:srgbClr val="3960A7"/>
                </a:solidFill>
              </a:ln>
              <a:effectLst>
                <a:glow>
                  <a:schemeClr val="accent1"/>
                </a:glow>
                <a:softEdge rad="0"/>
              </a:effectLst>
            </c:spPr>
          </c:dPt>
          <c:dPt>
            <c:idx val="1"/>
            <c:bubble3D val="0"/>
            <c:spPr>
              <a:solidFill>
                <a:sysClr val="window" lastClr="FFFFFF"/>
              </a:solidFill>
              <a:ln w="19050">
                <a:noFill/>
              </a:ln>
              <a:effectLst>
                <a:glow>
                  <a:schemeClr val="accent1"/>
                </a:glow>
                <a:softEdge rad="0"/>
              </a:effectLst>
            </c:spPr>
          </c:dPt>
          <c:dLbls>
            <c:dLbl>
              <c:idx val="0"/>
              <c:layout>
                <c:manualLayout>
                  <c:x val="0.241559594195591"/>
                  <c:y val="-0.00370438645002161"/>
                </c:manualLayout>
              </c:layout>
              <c:tx>
                <c:rich>
                  <a:bodyPr rot="0" spcFirstLastPara="1" vertOverflow="ellipsis" vert="horz" wrap="square" lIns="38100" tIns="19050" rIns="38100" bIns="19050" anchor="ctr" anchorCtr="1"/>
                  <a:lstStyle/>
                  <a:p>
                    <a:fld id="{bd45b81a-731a-4234-b203-b781c483b096}" type="CATEGORYNAME">
                      <a:t>[CATEGORY NAME]</a:t>
                    </a:fld>
                    <a:r>
                      <a:t>
</a:t>
                    </a:r>
                    <a:fld id="{5fa77706-2316-4414-8e1b-82e124b33404}"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82683160797794"/>
                      <c:h val="0.223788546255507"/>
                    </c:manualLayout>
                  </c15:layout>
                </c:ext>
              </c:extLst>
            </c:dLbl>
            <c:dLbl>
              <c:idx val="1"/>
              <c:layout>
                <c:manualLayout>
                  <c:x val="-0.151690715056557"/>
                  <c:y val="-0.0516003561228855"/>
                </c:manualLayout>
              </c:layout>
              <c:tx>
                <c:rich>
                  <a:bodyPr rot="0" spcFirstLastPara="1" vertOverflow="ellipsis" vert="horz" wrap="square" lIns="38100" tIns="19050" rIns="38100" bIns="19050" anchor="ctr" anchorCtr="1"/>
                  <a:lstStyle/>
                  <a:p>
                    <a:fld id="{26b3a3a7-d166-40f0-b9f1-9a701b6066ca}" type="CATEGORYNAME">
                      <a:t>[CATEGORY NAME]</a:t>
                    </a:fld>
                    <a:r>
                      <a:t>
</a:t>
                    </a:r>
                    <a:fld id="{2fa06c87-dd71-4d0f-9787-086e7a9d5272}"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4010152284264"/>
                      <c:h val="0.223788546255507"/>
                    </c:manualLayout>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showLegendKey val="0"/>
            <c:showVal val="0"/>
            <c:showCatName val="0"/>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规模!$R$3:$R$4</c:f>
              <c:strCache>
                <c:ptCount val="2"/>
                <c:pt idx="0">
                  <c:v>本科毕业生</c:v>
                </c:pt>
                <c:pt idx="1">
                  <c:v>专科毕业生</c:v>
                </c:pt>
              </c:strCache>
            </c:strRef>
          </c:cat>
          <c:val>
            <c:numRef>
              <c:f>规模!$U$3:$U$4</c:f>
              <c:numCache>
                <c:formatCode>General</c:formatCode>
                <c:ptCount val="2"/>
                <c:pt idx="0">
                  <c:v>1566</c:v>
                </c:pt>
                <c:pt idx="1">
                  <c:v>233</c:v>
                </c:pt>
              </c:numCache>
            </c:numRef>
          </c:val>
        </c:ser>
        <c:dLbls>
          <c:showLegendKey val="0"/>
          <c:showVal val="0"/>
          <c:showCatName val="0"/>
          <c:showSerName val="0"/>
          <c:showPercent val="0"/>
          <c:showBubbleSize val="0"/>
          <c:showLeaderLines val="1"/>
        </c:dLbls>
        <c:firstSliceAng val="0"/>
        <c:holeSize val="5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452856854432"/>
          <c:y val="0.0214328213543691"/>
          <c:w val="0.818524002163547"/>
          <c:h val="0.957134357291262"/>
        </c:manualLayout>
      </c:layout>
      <c:barChart>
        <c:barDir val="bar"/>
        <c:grouping val="clustered"/>
        <c:varyColors val="0"/>
        <c:ser>
          <c:idx val="0"/>
          <c:order val="0"/>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高校所在地就业!$J$2:$J$17</c:f>
              <c:strCache>
                <c:ptCount val="16"/>
                <c:pt idx="0">
                  <c:v>宁河区</c:v>
                </c:pt>
                <c:pt idx="1">
                  <c:v>蓟州区</c:v>
                </c:pt>
                <c:pt idx="2">
                  <c:v>津南区</c:v>
                </c:pt>
                <c:pt idx="3">
                  <c:v>宝坻区</c:v>
                </c:pt>
                <c:pt idx="4">
                  <c:v>静海区</c:v>
                </c:pt>
                <c:pt idx="5">
                  <c:v>红桥区</c:v>
                </c:pt>
                <c:pt idx="6">
                  <c:v>河北区</c:v>
                </c:pt>
                <c:pt idx="7">
                  <c:v>河东区</c:v>
                </c:pt>
                <c:pt idx="8">
                  <c:v>东丽区</c:v>
                </c:pt>
                <c:pt idx="9">
                  <c:v>河西区</c:v>
                </c:pt>
                <c:pt idx="10">
                  <c:v>西青区</c:v>
                </c:pt>
                <c:pt idx="11">
                  <c:v>北辰区</c:v>
                </c:pt>
                <c:pt idx="12">
                  <c:v>南开区</c:v>
                </c:pt>
                <c:pt idx="13">
                  <c:v>滨海新区</c:v>
                </c:pt>
                <c:pt idx="14">
                  <c:v>和平区</c:v>
                </c:pt>
                <c:pt idx="15">
                  <c:v>武清区</c:v>
                </c:pt>
              </c:strCache>
            </c:strRef>
          </c:cat>
          <c:val>
            <c:numRef>
              <c:f>高校所在地就业!$K$2:$K$17</c:f>
              <c:numCache>
                <c:formatCode>General</c:formatCode>
                <c:ptCount val="16"/>
                <c:pt idx="0">
                  <c:v>3</c:v>
                </c:pt>
                <c:pt idx="1">
                  <c:v>7</c:v>
                </c:pt>
                <c:pt idx="2">
                  <c:v>13</c:v>
                </c:pt>
                <c:pt idx="3">
                  <c:v>15</c:v>
                </c:pt>
                <c:pt idx="4">
                  <c:v>17</c:v>
                </c:pt>
                <c:pt idx="5">
                  <c:v>21</c:v>
                </c:pt>
                <c:pt idx="6">
                  <c:v>23</c:v>
                </c:pt>
                <c:pt idx="7">
                  <c:v>23</c:v>
                </c:pt>
                <c:pt idx="8">
                  <c:v>28</c:v>
                </c:pt>
                <c:pt idx="9">
                  <c:v>50</c:v>
                </c:pt>
                <c:pt idx="10">
                  <c:v>52</c:v>
                </c:pt>
                <c:pt idx="11">
                  <c:v>52</c:v>
                </c:pt>
                <c:pt idx="12">
                  <c:v>55</c:v>
                </c:pt>
                <c:pt idx="13">
                  <c:v>60</c:v>
                </c:pt>
                <c:pt idx="14">
                  <c:v>72</c:v>
                </c:pt>
                <c:pt idx="15">
                  <c:v>196</c:v>
                </c:pt>
              </c:numCache>
            </c:numRef>
          </c:val>
        </c:ser>
        <c:dLbls>
          <c:showLegendKey val="0"/>
          <c:showVal val="1"/>
          <c:showCatName val="0"/>
          <c:showSerName val="0"/>
          <c:showPercent val="0"/>
          <c:showBubbleSize val="0"/>
        </c:dLbls>
        <c:gapWidth val="182"/>
        <c:axId val="219283368"/>
        <c:axId val="219283696"/>
      </c:barChart>
      <c:catAx>
        <c:axId val="21928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mn-cs"/>
              </a:defRPr>
            </a:pPr>
          </a:p>
        </c:txPr>
        <c:crossAx val="219283696"/>
        <c:crosses val="autoZero"/>
        <c:auto val="1"/>
        <c:lblAlgn val="ctr"/>
        <c:lblOffset val="100"/>
        <c:noMultiLvlLbl val="0"/>
      </c:catAx>
      <c:valAx>
        <c:axId val="2192836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9283368"/>
        <c:crosses val="autoZero"/>
        <c:crossBetween val="between"/>
      </c:valA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单位就业满意度!$K$1</c:f>
              <c:strCache>
                <c:ptCount val="1"/>
                <c:pt idx="0">
                  <c:v>计数项:总体来讲,您对当前的就业状况满意吗？</c:v>
                </c:pt>
              </c:strCache>
            </c:strRef>
          </c:tx>
          <c:spPr/>
          <c:explosion val="0"/>
          <c:dPt>
            <c:idx val="0"/>
            <c:bubble3D val="0"/>
            <c:spPr>
              <a:solidFill>
                <a:schemeClr val="accent2">
                  <a:shade val="58000"/>
                </a:schemeClr>
              </a:solidFill>
              <a:ln>
                <a:noFill/>
              </a:ln>
              <a:effectLst/>
            </c:spPr>
          </c:dPt>
          <c:dPt>
            <c:idx val="1"/>
            <c:bubble3D val="0"/>
            <c:spPr>
              <a:solidFill>
                <a:schemeClr val="accent2">
                  <a:shade val="86000"/>
                </a:schemeClr>
              </a:solidFill>
              <a:ln>
                <a:noFill/>
              </a:ln>
              <a:effectLst/>
            </c:spPr>
          </c:dPt>
          <c:dPt>
            <c:idx val="2"/>
            <c:bubble3D val="0"/>
            <c:spPr>
              <a:solidFill>
                <a:schemeClr val="accent2">
                  <a:tint val="86000"/>
                </a:schemeClr>
              </a:solidFill>
              <a:ln>
                <a:noFill/>
              </a:ln>
              <a:effectLst/>
            </c:spPr>
          </c:dPt>
          <c:dPt>
            <c:idx val="3"/>
            <c:bubble3D val="0"/>
            <c:spPr>
              <a:solidFill>
                <a:schemeClr val="accent2">
                  <a:tint val="58000"/>
                </a:schemeClr>
              </a:solidFill>
              <a:ln>
                <a:noFill/>
              </a:ln>
              <a:effectLst/>
            </c:spPr>
          </c:dPt>
          <c:dLbls>
            <c:dLbl>
              <c:idx val="0"/>
              <c:layout>
                <c:manualLayout>
                  <c:x val="-0.0663912075728554"/>
                  <c:y val="-0.153324843124964"/>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1453320607005"/>
                  <c:y val="-0.026156081797201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319525009907"/>
                  <c:y val="0.080805889065689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5849295981703"/>
                  <c:y val="-0.034209016071832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单位就业满意度!$J$2:$J$5</c:f>
              <c:strCache>
                <c:ptCount val="4"/>
                <c:pt idx="0">
                  <c:v>非常满意</c:v>
                </c:pt>
                <c:pt idx="1">
                  <c:v>满意</c:v>
                </c:pt>
                <c:pt idx="2">
                  <c:v>一般</c:v>
                </c:pt>
                <c:pt idx="3">
                  <c:v>不太满意</c:v>
                </c:pt>
              </c:strCache>
            </c:strRef>
          </c:cat>
          <c:val>
            <c:numRef>
              <c:f>单位就业满意度!$K$2:$K$5</c:f>
              <c:numCache>
                <c:formatCode>0.00%</c:formatCode>
                <c:ptCount val="4"/>
                <c:pt idx="0">
                  <c:v>0.142857142857143</c:v>
                </c:pt>
                <c:pt idx="1">
                  <c:v>0.431972789115646</c:v>
                </c:pt>
                <c:pt idx="2">
                  <c:v>0.397959183673469</c:v>
                </c:pt>
                <c:pt idx="3">
                  <c:v>0.0272108843537415</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63013819177"/>
          <c:y val="0.057516339869281"/>
          <c:w val="0.717373135379095"/>
          <c:h val="0.884967320261438"/>
        </c:manualLayout>
      </c:layout>
      <c:barChart>
        <c:barDir val="bar"/>
        <c:grouping val="clustered"/>
        <c:varyColors val="0"/>
        <c:ser>
          <c:idx val="4"/>
          <c:order val="4"/>
          <c:tx>
            <c:strRef>
              <c:f>单位就业满意度!$O$21</c:f>
              <c:strCache>
                <c:ptCount val="1"/>
                <c:pt idx="0">
                  <c:v>总计</c:v>
                </c:pt>
              </c:strCache>
            </c:strRef>
          </c:tx>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单位就业满意度!$J$22:$J$28</c:f>
              <c:strCache>
                <c:ptCount val="7"/>
                <c:pt idx="0">
                  <c:v>食品工程学院</c:v>
                </c:pt>
                <c:pt idx="1">
                  <c:v>外国语学院</c:v>
                </c:pt>
                <c:pt idx="2">
                  <c:v>信息科学与工程学院</c:v>
                </c:pt>
                <c:pt idx="3">
                  <c:v>医学院</c:v>
                </c:pt>
                <c:pt idx="4">
                  <c:v>经济金融学院</c:v>
                </c:pt>
                <c:pt idx="5">
                  <c:v>艺术与设计学院</c:v>
                </c:pt>
                <c:pt idx="6">
                  <c:v>商学院</c:v>
                </c:pt>
              </c:strCache>
            </c:strRef>
          </c:cat>
          <c:val>
            <c:numRef>
              <c:f>单位就业满意度!$O$22:$O$28</c:f>
              <c:numCache>
                <c:formatCode>0.00%</c:formatCode>
                <c:ptCount val="7"/>
                <c:pt idx="0">
                  <c:v>0.9</c:v>
                </c:pt>
                <c:pt idx="1">
                  <c:v>0.961538461538461</c:v>
                </c:pt>
                <c:pt idx="2">
                  <c:v>0.970588235294118</c:v>
                </c:pt>
                <c:pt idx="3">
                  <c:v>0.973333333333333</c:v>
                </c:pt>
                <c:pt idx="4">
                  <c:v>0.978260869565217</c:v>
                </c:pt>
                <c:pt idx="5">
                  <c:v>0.979166666666667</c:v>
                </c:pt>
                <c:pt idx="6">
                  <c:v>1</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tx>
                  <c:strRef>
                    <c:extLst>
                      <c:ext uri="{02D57815-91ED-43cb-92C2-25804820EDAC}">
                        <c15:formulaRef>
                          <c15:sqref>单位就业满意度!$K$21</c15:sqref>
                        </c15:formulaRef>
                      </c:ext>
                    </c:extLst>
                    <c:strCache>
                      <c:ptCount val="1"/>
                      <c:pt idx="0">
                        <c:v>满意</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单位就业满意度!$J$22:$J$28</c15:sqref>
                        </c15:formulaRef>
                      </c:ext>
                    </c:extLst>
                    <c:strCache>
                      <c:ptCount val="7"/>
                      <c:pt idx="0">
                        <c:v>食品工程学院</c:v>
                      </c:pt>
                      <c:pt idx="1">
                        <c:v>外国语学院</c:v>
                      </c:pt>
                      <c:pt idx="2">
                        <c:v>信息科学与工程学院</c:v>
                      </c:pt>
                      <c:pt idx="3">
                        <c:v>医学院</c:v>
                      </c:pt>
                      <c:pt idx="4">
                        <c:v>经济金融学院</c:v>
                      </c:pt>
                      <c:pt idx="5">
                        <c:v>艺术与设计学院</c:v>
                      </c:pt>
                      <c:pt idx="6">
                        <c:v>商学院</c:v>
                      </c:pt>
                    </c:strCache>
                  </c:strRef>
                </c:cat>
                <c:val>
                  <c:numRef>
                    <c:extLst>
                      <c:ext uri="{02D57815-91ED-43cb-92C2-25804820EDAC}">
                        <c15:formulaRef>
                          <c15:sqref>单位就业满意度!$K$22:$K$28</c15:sqref>
                        </c15:formulaRef>
                      </c:ext>
                    </c:extLst>
                    <c:numCache>
                      <c:formatCode>0.00%</c:formatCode>
                      <c:ptCount val="7"/>
                      <c:pt idx="0">
                        <c:v>0.6</c:v>
                      </c:pt>
                      <c:pt idx="1">
                        <c:v>0.423076923076923</c:v>
                      </c:pt>
                      <c:pt idx="2">
                        <c:v>0.441176470588235</c:v>
                      </c:pt>
                      <c:pt idx="3">
                        <c:v>0.4</c:v>
                      </c:pt>
                      <c:pt idx="4">
                        <c:v>0.456521739130435</c:v>
                      </c:pt>
                      <c:pt idx="5">
                        <c:v>0.354166666666667</c:v>
                      </c:pt>
                      <c:pt idx="6">
                        <c:v>0.466666666666667</c:v>
                      </c:pt>
                    </c:numCache>
                  </c:numRef>
                </c:val>
              </c15:ser>
            </c15:filteredBarSeries>
            <c15:filteredBarSeries>
              <c15:ser>
                <c:idx val="1"/>
                <c:order val="1"/>
                <c:tx>
                  <c:strRef>
                    <c:extLst>
                      <c:ext uri="{02D57815-91ED-43cb-92C2-25804820EDAC}">
                        <c15:formulaRef>
                          <c15:sqref>单位就业满意度!$L$21</c15:sqref>
                        </c15:formulaRef>
                      </c:ext>
                    </c:extLst>
                    <c:strCache>
                      <c:ptCount val="1"/>
                      <c:pt idx="0">
                        <c:v>一般</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单位就业满意度!$J$22:$J$28</c15:sqref>
                        </c15:formulaRef>
                      </c:ext>
                    </c:extLst>
                    <c:strCache>
                      <c:ptCount val="7"/>
                      <c:pt idx="0">
                        <c:v>食品工程学院</c:v>
                      </c:pt>
                      <c:pt idx="1">
                        <c:v>外国语学院</c:v>
                      </c:pt>
                      <c:pt idx="2">
                        <c:v>信息科学与工程学院</c:v>
                      </c:pt>
                      <c:pt idx="3">
                        <c:v>医学院</c:v>
                      </c:pt>
                      <c:pt idx="4">
                        <c:v>经济金融学院</c:v>
                      </c:pt>
                      <c:pt idx="5">
                        <c:v>艺术与设计学院</c:v>
                      </c:pt>
                      <c:pt idx="6">
                        <c:v>商学院</c:v>
                      </c:pt>
                    </c:strCache>
                  </c:strRef>
                </c:cat>
                <c:val>
                  <c:numRef>
                    <c:extLst>
                      <c:ext uri="{02D57815-91ED-43cb-92C2-25804820EDAC}">
                        <c15:formulaRef>
                          <c15:sqref>单位就业满意度!$L$22:$L$28</c15:sqref>
                        </c15:formulaRef>
                      </c:ext>
                    </c:extLst>
                    <c:numCache>
                      <c:formatCode>0.00%</c:formatCode>
                      <c:ptCount val="7"/>
                      <c:pt idx="0">
                        <c:v>0.2</c:v>
                      </c:pt>
                      <c:pt idx="1">
                        <c:v>0.461538461538462</c:v>
                      </c:pt>
                      <c:pt idx="2">
                        <c:v>0.382352941176471</c:v>
                      </c:pt>
                      <c:pt idx="3">
                        <c:v>0.48</c:v>
                      </c:pt>
                      <c:pt idx="4">
                        <c:v>0.391304347826087</c:v>
                      </c:pt>
                      <c:pt idx="5">
                        <c:v>0.416666666666667</c:v>
                      </c:pt>
                      <c:pt idx="6">
                        <c:v>0.311111111111111</c:v>
                      </c:pt>
                    </c:numCache>
                  </c:numRef>
                </c:val>
              </c15:ser>
            </c15:filteredBarSeries>
            <c15:filteredBarSeries>
              <c15:ser>
                <c:idx val="2"/>
                <c:order val="2"/>
                <c:tx>
                  <c:strRef>
                    <c:extLst>
                      <c:ext uri="{02D57815-91ED-43cb-92C2-25804820EDAC}">
                        <c15:formulaRef>
                          <c15:sqref>单位就业满意度!$M$21</c15:sqref>
                        </c15:formulaRef>
                      </c:ext>
                    </c:extLst>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单位就业满意度!$J$22:$J$28</c15:sqref>
                        </c15:formulaRef>
                      </c:ext>
                    </c:extLst>
                    <c:strCache>
                      <c:ptCount val="7"/>
                      <c:pt idx="0">
                        <c:v>食品工程学院</c:v>
                      </c:pt>
                      <c:pt idx="1">
                        <c:v>外国语学院</c:v>
                      </c:pt>
                      <c:pt idx="2">
                        <c:v>信息科学与工程学院</c:v>
                      </c:pt>
                      <c:pt idx="3">
                        <c:v>医学院</c:v>
                      </c:pt>
                      <c:pt idx="4">
                        <c:v>经济金融学院</c:v>
                      </c:pt>
                      <c:pt idx="5">
                        <c:v>艺术与设计学院</c:v>
                      </c:pt>
                      <c:pt idx="6">
                        <c:v>商学院</c:v>
                      </c:pt>
                    </c:strCache>
                  </c:strRef>
                </c:cat>
                <c:val>
                  <c:numRef>
                    <c:extLst>
                      <c:ext uri="{02D57815-91ED-43cb-92C2-25804820EDAC}">
                        <c15:formulaRef>
                          <c15:sqref>单位就业满意度!$M$22:$M$28</c15:sqref>
                        </c15:formulaRef>
                      </c:ext>
                    </c:extLst>
                    <c:numCache>
                      <c:formatCode>0.00%</c:formatCode>
                      <c:ptCount val="7"/>
                      <c:pt idx="0">
                        <c:v>0.1</c:v>
                      </c:pt>
                      <c:pt idx="1">
                        <c:v>0.0769230769230769</c:v>
                      </c:pt>
                      <c:pt idx="2">
                        <c:v>0.147058823529412</c:v>
                      </c:pt>
                      <c:pt idx="3">
                        <c:v>0.0933333333333333</c:v>
                      </c:pt>
                      <c:pt idx="4">
                        <c:v>0.130434782608696</c:v>
                      </c:pt>
                      <c:pt idx="5">
                        <c:v>0.208333333333333</c:v>
                      </c:pt>
                      <c:pt idx="6">
                        <c:v>0.222222222222222</c:v>
                      </c:pt>
                    </c:numCache>
                  </c:numRef>
                </c:val>
              </c15:ser>
            </c15:filteredBarSeries>
            <c15:filteredBarSeries>
              <c15:ser>
                <c:idx val="3"/>
                <c:order val="3"/>
                <c:tx>
                  <c:strRef>
                    <c:extLst>
                      <c:ext uri="{02D57815-91ED-43cb-92C2-25804820EDAC}">
                        <c15:formulaRef>
                          <c15:sqref>单位就业满意度!$N$21</c15:sqref>
                        </c15:formulaRef>
                      </c:ext>
                    </c:extLst>
                    <c:strCache>
                      <c:ptCount val="1"/>
                      <c:pt idx="0">
                        <c:v>不太满意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单位就业满意度!$J$22:$J$28</c15:sqref>
                        </c15:formulaRef>
                      </c:ext>
                    </c:extLst>
                    <c:strCache>
                      <c:ptCount val="7"/>
                      <c:pt idx="0">
                        <c:v>食品工程学院</c:v>
                      </c:pt>
                      <c:pt idx="1">
                        <c:v>外国语学院</c:v>
                      </c:pt>
                      <c:pt idx="2">
                        <c:v>信息科学与工程学院</c:v>
                      </c:pt>
                      <c:pt idx="3">
                        <c:v>医学院</c:v>
                      </c:pt>
                      <c:pt idx="4">
                        <c:v>经济金融学院</c:v>
                      </c:pt>
                      <c:pt idx="5">
                        <c:v>艺术与设计学院</c:v>
                      </c:pt>
                      <c:pt idx="6">
                        <c:v>商学院</c:v>
                      </c:pt>
                    </c:strCache>
                  </c:strRef>
                </c:cat>
                <c:val>
                  <c:numRef>
                    <c:extLst>
                      <c:ext uri="{02D57815-91ED-43cb-92C2-25804820EDAC}">
                        <c15:formulaRef>
                          <c15:sqref>单位就业满意度!$N$22:$N$28</c15:sqref>
                        </c15:formulaRef>
                      </c:ext>
                    </c:extLst>
                    <c:numCache>
                      <c:formatCode>0.00%</c:formatCode>
                      <c:ptCount val="7"/>
                      <c:pt idx="0">
                        <c:v>0.1</c:v>
                      </c:pt>
                      <c:pt idx="1">
                        <c:v>0.0384615384615385</c:v>
                      </c:pt>
                      <c:pt idx="2">
                        <c:v>0.0294117647058824</c:v>
                      </c:pt>
                      <c:pt idx="3">
                        <c:v>0.0266666666666667</c:v>
                      </c:pt>
                      <c:pt idx="4">
                        <c:v>0.0217391304347826</c:v>
                      </c:pt>
                      <c:pt idx="5">
                        <c:v>0.0208333333333333</c:v>
                      </c:pt>
                      <c:pt idx="6">
                        <c:v>0</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单位就业社会保障都!$J$1</c:f>
              <c:strCache>
                <c:ptCount val="1"/>
                <c:pt idx="0">
                  <c:v>计数项:您目前的就业单位为您提供了哪些社会保障？</c:v>
                </c:pt>
              </c:strCache>
            </c:strRef>
          </c:tx>
          <c:spPr/>
          <c:explosion val="0"/>
          <c:dPt>
            <c:idx val="0"/>
            <c:bubble3D val="0"/>
            <c:spPr>
              <a:solidFill>
                <a:schemeClr val="accent2">
                  <a:shade val="58000"/>
                </a:schemeClr>
              </a:solidFill>
              <a:ln>
                <a:noFill/>
              </a:ln>
              <a:effectLst/>
            </c:spPr>
          </c:dPt>
          <c:dPt>
            <c:idx val="1"/>
            <c:bubble3D val="0"/>
            <c:spPr>
              <a:solidFill>
                <a:schemeClr val="accent2">
                  <a:shade val="86000"/>
                </a:schemeClr>
              </a:solidFill>
              <a:ln>
                <a:noFill/>
              </a:ln>
              <a:effectLst/>
            </c:spPr>
          </c:dPt>
          <c:dPt>
            <c:idx val="2"/>
            <c:bubble3D val="0"/>
            <c:spPr>
              <a:solidFill>
                <a:schemeClr val="accent2">
                  <a:tint val="86000"/>
                </a:schemeClr>
              </a:solidFill>
              <a:ln>
                <a:noFill/>
              </a:ln>
              <a:effectLst/>
            </c:spPr>
          </c:dPt>
          <c:dPt>
            <c:idx val="3"/>
            <c:bubble3D val="0"/>
            <c:spPr>
              <a:solidFill>
                <a:schemeClr val="accent2">
                  <a:tint val="58000"/>
                </a:schemeClr>
              </a:solidFill>
              <a:ln>
                <a:noFill/>
              </a:ln>
              <a:effectLst/>
            </c:spPr>
          </c:dPt>
          <c:dLbls>
            <c:dLbl>
              <c:idx val="0"/>
              <c:layout>
                <c:manualLayout>
                  <c:x val="0.0436127792295534"/>
                  <c:y val="-0.142536227567839"/>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31453320607005"/>
                  <c:y val="-0.026156081797201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319525009907"/>
                  <c:y val="0.080805889065689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5849295981703"/>
                  <c:y val="-0.034209016071832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单位就业社会保障都!$I$2:$I$5</c:f>
              <c:strCache>
                <c:ptCount val="4"/>
                <c:pt idx="0">
                  <c:v>除四险一金外,还有其他保障</c:v>
                </c:pt>
                <c:pt idx="1">
                  <c:v>四险</c:v>
                </c:pt>
                <c:pt idx="2">
                  <c:v>四险一金</c:v>
                </c:pt>
                <c:pt idx="3">
                  <c:v>没有任何社保</c:v>
                </c:pt>
              </c:strCache>
            </c:strRef>
          </c:cat>
          <c:val>
            <c:numRef>
              <c:f>单位就业社会保障都!$J$2:$J$5</c:f>
              <c:numCache>
                <c:formatCode>0.00%</c:formatCode>
                <c:ptCount val="4"/>
                <c:pt idx="0">
                  <c:v>0.431972789115646</c:v>
                </c:pt>
                <c:pt idx="1">
                  <c:v>0.139455782312925</c:v>
                </c:pt>
                <c:pt idx="2">
                  <c:v>0.360544217687075</c:v>
                </c:pt>
                <c:pt idx="3">
                  <c:v>0.0680272108843537</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63013819177"/>
          <c:y val="0.057516339869281"/>
          <c:w val="0.717373135379095"/>
          <c:h val="0.884967320261438"/>
        </c:manualLayout>
      </c:layout>
      <c:barChart>
        <c:barDir val="bar"/>
        <c:grouping val="clustered"/>
        <c:varyColors val="0"/>
        <c:ser>
          <c:idx val="4"/>
          <c:order val="4"/>
          <c:tx>
            <c:strRef>
              <c:f>单位就业社会保障都!$M$23</c:f>
              <c:strCache>
                <c:ptCount val="1"/>
                <c:pt idx="0">
                  <c:v>总计</c:v>
                </c:pt>
              </c:strCache>
            </c:strRef>
          </c:tx>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单位就业社会保障都!$H$24:$H$30</c:f>
              <c:strCache>
                <c:ptCount val="7"/>
                <c:pt idx="0">
                  <c:v>商学院</c:v>
                </c:pt>
                <c:pt idx="1">
                  <c:v>经济金融学院</c:v>
                </c:pt>
                <c:pt idx="2">
                  <c:v>外国语学院</c:v>
                </c:pt>
                <c:pt idx="3">
                  <c:v>食品工程学院</c:v>
                </c:pt>
                <c:pt idx="4">
                  <c:v>艺术与设计学院</c:v>
                </c:pt>
                <c:pt idx="5">
                  <c:v>医学院</c:v>
                </c:pt>
                <c:pt idx="6">
                  <c:v>信息科学与工程学院</c:v>
                </c:pt>
              </c:strCache>
            </c:strRef>
          </c:cat>
          <c:val>
            <c:numRef>
              <c:f>单位就业社会保障都!$M$24:$M$30</c:f>
              <c:numCache>
                <c:formatCode>0.00%</c:formatCode>
                <c:ptCount val="7"/>
                <c:pt idx="0">
                  <c:v>0.866666666666667</c:v>
                </c:pt>
                <c:pt idx="1">
                  <c:v>0.891304347826087</c:v>
                </c:pt>
                <c:pt idx="2">
                  <c:v>0.923076923076923</c:v>
                </c:pt>
                <c:pt idx="3">
                  <c:v>0.95</c:v>
                </c:pt>
                <c:pt idx="4">
                  <c:v>0.958333333333333</c:v>
                </c:pt>
                <c:pt idx="5">
                  <c:v>0.96</c:v>
                </c:pt>
                <c:pt idx="6">
                  <c:v>0.970588235294118</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tx>
                  <c:strRef>
                    <c:extLst>
                      <c:ext uri="{02D57815-91ED-43cb-92C2-25804820EDAC}">
                        <c15:formulaRef>
                          <c15:sqref>单位就业社会保障都!$I$23</c15:sqref>
                        </c15:formulaRef>
                      </c:ext>
                    </c:extLst>
                    <c:strCache>
                      <c:ptCount val="1"/>
                      <c:pt idx="0">
                        <c:v>除四险一金外,还有其他保障</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单位就业社会保障都!$H$24:$H$30</c15:sqref>
                        </c15:formulaRef>
                      </c:ext>
                    </c:extLst>
                    <c:strCache>
                      <c:ptCount val="7"/>
                      <c:pt idx="0">
                        <c:v>商学院</c:v>
                      </c:pt>
                      <c:pt idx="1">
                        <c:v>经济金融学院</c:v>
                      </c:pt>
                      <c:pt idx="2">
                        <c:v>外国语学院</c:v>
                      </c:pt>
                      <c:pt idx="3">
                        <c:v>食品工程学院</c:v>
                      </c:pt>
                      <c:pt idx="4">
                        <c:v>艺术与设计学院</c:v>
                      </c:pt>
                      <c:pt idx="5">
                        <c:v>医学院</c:v>
                      </c:pt>
                      <c:pt idx="6">
                        <c:v>信息科学与工程学院</c:v>
                      </c:pt>
                    </c:strCache>
                  </c:strRef>
                </c:cat>
                <c:val>
                  <c:numRef>
                    <c:extLst>
                      <c:ext uri="{02D57815-91ED-43cb-92C2-25804820EDAC}">
                        <c15:formulaRef>
                          <c15:sqref>单位就业社会保障都!$I$24:$I$30</c15:sqref>
                        </c15:formulaRef>
                      </c:ext>
                    </c:extLst>
                    <c:numCache>
                      <c:formatCode>0.00%</c:formatCode>
                      <c:ptCount val="7"/>
                      <c:pt idx="0">
                        <c:v>0.444444444444444</c:v>
                      </c:pt>
                      <c:pt idx="1">
                        <c:v>0.347826086956522</c:v>
                      </c:pt>
                      <c:pt idx="2">
                        <c:v>0.5</c:v>
                      </c:pt>
                      <c:pt idx="3">
                        <c:v>0.4</c:v>
                      </c:pt>
                      <c:pt idx="4">
                        <c:v>0.458333333333333</c:v>
                      </c:pt>
                      <c:pt idx="5">
                        <c:v>0.453333333333333</c:v>
                      </c:pt>
                      <c:pt idx="6">
                        <c:v>0.411764705882353</c:v>
                      </c:pt>
                    </c:numCache>
                  </c:numRef>
                </c:val>
              </c15:ser>
            </c15:filteredBarSeries>
            <c15:filteredBarSeries>
              <c15:ser>
                <c:idx val="1"/>
                <c:order val="1"/>
                <c:tx>
                  <c:strRef>
                    <c:extLst>
                      <c:ext uri="{02D57815-91ED-43cb-92C2-25804820EDAC}">
                        <c15:formulaRef>
                          <c15:sqref>单位就业社会保障都!$J$23</c15:sqref>
                        </c15:formulaRef>
                      </c:ext>
                    </c:extLst>
                    <c:strCache>
                      <c:ptCount val="1"/>
                      <c:pt idx="0">
                        <c:v>没有任何社保</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单位就业社会保障都!$H$24:$H$30</c15:sqref>
                        </c15:formulaRef>
                      </c:ext>
                    </c:extLst>
                    <c:strCache>
                      <c:ptCount val="7"/>
                      <c:pt idx="0">
                        <c:v>商学院</c:v>
                      </c:pt>
                      <c:pt idx="1">
                        <c:v>经济金融学院</c:v>
                      </c:pt>
                      <c:pt idx="2">
                        <c:v>外国语学院</c:v>
                      </c:pt>
                      <c:pt idx="3">
                        <c:v>食品工程学院</c:v>
                      </c:pt>
                      <c:pt idx="4">
                        <c:v>艺术与设计学院</c:v>
                      </c:pt>
                      <c:pt idx="5">
                        <c:v>医学院</c:v>
                      </c:pt>
                      <c:pt idx="6">
                        <c:v>信息科学与工程学院</c:v>
                      </c:pt>
                    </c:strCache>
                  </c:strRef>
                </c:cat>
                <c:val>
                  <c:numRef>
                    <c:extLst>
                      <c:ext uri="{02D57815-91ED-43cb-92C2-25804820EDAC}">
                        <c15:formulaRef>
                          <c15:sqref>单位就业社会保障都!$J$24:$J$30</c15:sqref>
                        </c15:formulaRef>
                      </c:ext>
                    </c:extLst>
                    <c:numCache>
                      <c:formatCode>0.00%</c:formatCode>
                      <c:ptCount val="7"/>
                      <c:pt idx="0">
                        <c:v>0.133333333333333</c:v>
                      </c:pt>
                      <c:pt idx="1">
                        <c:v>0.108695652173913</c:v>
                      </c:pt>
                      <c:pt idx="2">
                        <c:v>0.0769230769230769</c:v>
                      </c:pt>
                      <c:pt idx="3">
                        <c:v>0.05</c:v>
                      </c:pt>
                      <c:pt idx="4">
                        <c:v>0.0416666666666667</c:v>
                      </c:pt>
                      <c:pt idx="5">
                        <c:v>0.04</c:v>
                      </c:pt>
                      <c:pt idx="6">
                        <c:v>0.0294117647058824</c:v>
                      </c:pt>
                    </c:numCache>
                  </c:numRef>
                </c:val>
              </c15:ser>
            </c15:filteredBarSeries>
            <c15:filteredBarSeries>
              <c15:ser>
                <c:idx val="2"/>
                <c:order val="2"/>
                <c:tx>
                  <c:strRef>
                    <c:extLst>
                      <c:ext uri="{02D57815-91ED-43cb-92C2-25804820EDAC}">
                        <c15:formulaRef>
                          <c15:sqref>单位就业社会保障都!$K$23</c15:sqref>
                        </c15:formulaRef>
                      </c:ext>
                    </c:extLst>
                    <c:strCache>
                      <c:ptCount val="1"/>
                      <c:pt idx="0">
                        <c:v>四险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单位就业社会保障都!$H$24:$H$30</c15:sqref>
                        </c15:formulaRef>
                      </c:ext>
                    </c:extLst>
                    <c:strCache>
                      <c:ptCount val="7"/>
                      <c:pt idx="0">
                        <c:v>商学院</c:v>
                      </c:pt>
                      <c:pt idx="1">
                        <c:v>经济金融学院</c:v>
                      </c:pt>
                      <c:pt idx="2">
                        <c:v>外国语学院</c:v>
                      </c:pt>
                      <c:pt idx="3">
                        <c:v>食品工程学院</c:v>
                      </c:pt>
                      <c:pt idx="4">
                        <c:v>艺术与设计学院</c:v>
                      </c:pt>
                      <c:pt idx="5">
                        <c:v>医学院</c:v>
                      </c:pt>
                      <c:pt idx="6">
                        <c:v>信息科学与工程学院</c:v>
                      </c:pt>
                    </c:strCache>
                  </c:strRef>
                </c:cat>
                <c:val>
                  <c:numRef>
                    <c:extLst>
                      <c:ext uri="{02D57815-91ED-43cb-92C2-25804820EDAC}">
                        <c15:formulaRef>
                          <c15:sqref>单位就业社会保障都!$K$24:$K$30</c15:sqref>
                        </c15:formulaRef>
                      </c:ext>
                    </c:extLst>
                    <c:numCache>
                      <c:formatCode>0.00%</c:formatCode>
                      <c:ptCount val="7"/>
                      <c:pt idx="0">
                        <c:v>0.2</c:v>
                      </c:pt>
                      <c:pt idx="1">
                        <c:v>0.173913043478261</c:v>
                      </c:pt>
                      <c:pt idx="2">
                        <c:v>0.0769230769230769</c:v>
                      </c:pt>
                      <c:pt idx="3">
                        <c:v>0.15</c:v>
                      </c:pt>
                      <c:pt idx="4">
                        <c:v>0.166666666666667</c:v>
                      </c:pt>
                      <c:pt idx="5">
                        <c:v>0.133333333333333</c:v>
                      </c:pt>
                      <c:pt idx="6">
                        <c:v>0.0294117647058824</c:v>
                      </c:pt>
                    </c:numCache>
                  </c:numRef>
                </c:val>
              </c15:ser>
            </c15:filteredBarSeries>
            <c15:filteredBarSeries>
              <c15:ser>
                <c:idx val="3"/>
                <c:order val="3"/>
                <c:tx>
                  <c:strRef>
                    <c:extLst>
                      <c:ext uri="{02D57815-91ED-43cb-92C2-25804820EDAC}">
                        <c15:formulaRef>
                          <c15:sqref>单位就业社会保障都!$L$23</c15:sqref>
                        </c15:formulaRef>
                      </c:ext>
                    </c:extLst>
                    <c:strCache>
                      <c:ptCount val="1"/>
                      <c:pt idx="0">
                        <c:v>四险一金</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单位就业社会保障都!$H$24:$H$30</c15:sqref>
                        </c15:formulaRef>
                      </c:ext>
                    </c:extLst>
                    <c:strCache>
                      <c:ptCount val="7"/>
                      <c:pt idx="0">
                        <c:v>商学院</c:v>
                      </c:pt>
                      <c:pt idx="1">
                        <c:v>经济金融学院</c:v>
                      </c:pt>
                      <c:pt idx="2">
                        <c:v>外国语学院</c:v>
                      </c:pt>
                      <c:pt idx="3">
                        <c:v>食品工程学院</c:v>
                      </c:pt>
                      <c:pt idx="4">
                        <c:v>艺术与设计学院</c:v>
                      </c:pt>
                      <c:pt idx="5">
                        <c:v>医学院</c:v>
                      </c:pt>
                      <c:pt idx="6">
                        <c:v>信息科学与工程学院</c:v>
                      </c:pt>
                    </c:strCache>
                  </c:strRef>
                </c:cat>
                <c:val>
                  <c:numRef>
                    <c:extLst>
                      <c:ext uri="{02D57815-91ED-43cb-92C2-25804820EDAC}">
                        <c15:formulaRef>
                          <c15:sqref>单位就业社会保障都!$L$24:$L$30</c15:sqref>
                        </c15:formulaRef>
                      </c:ext>
                    </c:extLst>
                    <c:numCache>
                      <c:formatCode>0.00%</c:formatCode>
                      <c:ptCount val="7"/>
                      <c:pt idx="0">
                        <c:v>0.222222222222222</c:v>
                      </c:pt>
                      <c:pt idx="1">
                        <c:v>0.369565217391304</c:v>
                      </c:pt>
                      <c:pt idx="2">
                        <c:v>0.346153846153846</c:v>
                      </c:pt>
                      <c:pt idx="3">
                        <c:v>0.4</c:v>
                      </c:pt>
                      <c:pt idx="4">
                        <c:v>0.333333333333333</c:v>
                      </c:pt>
                      <c:pt idx="5">
                        <c:v>0.373333333333333</c:v>
                      </c:pt>
                      <c:pt idx="6">
                        <c:v>0.529411764705882</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spPr/>
          <c:explosion val="0"/>
          <c:dPt>
            <c:idx val="0"/>
            <c:bubble3D val="0"/>
            <c:spPr>
              <a:solidFill>
                <a:schemeClr val="accent2">
                  <a:shade val="58000"/>
                </a:schemeClr>
              </a:solidFill>
              <a:ln>
                <a:noFill/>
              </a:ln>
              <a:effectLst/>
            </c:spPr>
          </c:dPt>
          <c:dPt>
            <c:idx val="1"/>
            <c:bubble3D val="0"/>
            <c:spPr>
              <a:solidFill>
                <a:schemeClr val="accent2">
                  <a:shade val="86000"/>
                </a:schemeClr>
              </a:solidFill>
              <a:ln>
                <a:noFill/>
              </a:ln>
              <a:effectLst/>
            </c:spPr>
          </c:dPt>
          <c:dPt>
            <c:idx val="2"/>
            <c:bubble3D val="0"/>
            <c:spPr>
              <a:solidFill>
                <a:schemeClr val="accent2">
                  <a:tint val="86000"/>
                </a:schemeClr>
              </a:solidFill>
              <a:ln>
                <a:noFill/>
              </a:ln>
              <a:effectLst/>
            </c:spPr>
          </c:dPt>
          <c:dPt>
            <c:idx val="3"/>
            <c:bubble3D val="0"/>
            <c:spPr>
              <a:solidFill>
                <a:schemeClr val="accent2">
                  <a:tint val="58000"/>
                </a:schemeClr>
              </a:solidFill>
              <a:ln>
                <a:noFill/>
              </a:ln>
              <a:effectLst/>
            </c:spPr>
          </c:dPt>
          <c:dLbls>
            <c:dLbl>
              <c:idx val="0"/>
              <c:layout>
                <c:manualLayout>
                  <c:x val="-0.115281868373926"/>
                  <c:y val="-0.136532572429136"/>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31453320607005"/>
                  <c:y val="-0.026156081797201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319525009907"/>
                  <c:y val="0.080805889065689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5849295981703"/>
                  <c:y val="-0.034209016071832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单位就业社会保障都!$Q$4:$Q$7</c:f>
              <c:strCache>
                <c:ptCount val="4"/>
                <c:pt idx="0">
                  <c:v>非常满意</c:v>
                </c:pt>
                <c:pt idx="1">
                  <c:v>满意</c:v>
                </c:pt>
                <c:pt idx="2">
                  <c:v>一般</c:v>
                </c:pt>
                <c:pt idx="3">
                  <c:v>不太满意</c:v>
                </c:pt>
              </c:strCache>
            </c:strRef>
          </c:cat>
          <c:val>
            <c:numRef>
              <c:f>单位就业社会保障都!$R$4:$R$7</c:f>
              <c:numCache>
                <c:formatCode>0.00%</c:formatCode>
                <c:ptCount val="4"/>
                <c:pt idx="0">
                  <c:v>0.136054421768707</c:v>
                </c:pt>
                <c:pt idx="1">
                  <c:v>0.476190476190476</c:v>
                </c:pt>
                <c:pt idx="2">
                  <c:v>0.363945578231293</c:v>
                </c:pt>
                <c:pt idx="3">
                  <c:v>0.0238095238095238</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单位就业专业相关度!$J$1</c:f>
              <c:strCache>
                <c:ptCount val="1"/>
                <c:pt idx="0">
                  <c:v>计数项:您所学专业与工作的相关程度？</c:v>
                </c:pt>
              </c:strCache>
            </c:strRef>
          </c:tx>
          <c:spPr/>
          <c:explosion val="0"/>
          <c:dPt>
            <c:idx val="0"/>
            <c:bubble3D val="0"/>
            <c:spPr>
              <a:solidFill>
                <a:schemeClr val="accent2">
                  <a:shade val="53000"/>
                </a:schemeClr>
              </a:solidFill>
              <a:ln>
                <a:noFill/>
              </a:ln>
              <a:effectLst/>
            </c:spPr>
          </c:dPt>
          <c:dPt>
            <c:idx val="1"/>
            <c:bubble3D val="0"/>
            <c:spPr>
              <a:solidFill>
                <a:schemeClr val="accent2">
                  <a:shade val="76000"/>
                </a:schemeClr>
              </a:solidFill>
              <a:ln>
                <a:noFill/>
              </a:ln>
              <a:effectLst/>
            </c:spPr>
          </c:dPt>
          <c:dPt>
            <c:idx val="2"/>
            <c:bubble3D val="0"/>
            <c:spPr>
              <a:solidFill>
                <a:schemeClr val="accent2"/>
              </a:solidFill>
              <a:ln>
                <a:noFill/>
              </a:ln>
              <a:effectLst/>
            </c:spPr>
          </c:dPt>
          <c:dPt>
            <c:idx val="3"/>
            <c:bubble3D val="0"/>
            <c:spPr>
              <a:solidFill>
                <a:schemeClr val="accent2">
                  <a:tint val="77000"/>
                </a:schemeClr>
              </a:solidFill>
              <a:ln>
                <a:noFill/>
              </a:ln>
              <a:effectLst/>
            </c:spPr>
          </c:dPt>
          <c:dPt>
            <c:idx val="4"/>
            <c:bubble3D val="0"/>
            <c:spPr>
              <a:solidFill>
                <a:schemeClr val="accent2">
                  <a:tint val="54000"/>
                </a:schemeClr>
              </a:solidFill>
              <a:ln>
                <a:noFill/>
              </a:ln>
              <a:effectLst/>
            </c:spPr>
          </c:dPt>
          <c:dLbls>
            <c:dLbl>
              <c:idx val="0"/>
              <c:layout>
                <c:manualLayout>
                  <c:x val="-0.119236401374858"/>
                  <c:y val="-0.0607989029461205"/>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宋体" panose="02010600030101010101" charset="-122"/>
                      <a:ea typeface="宋体" panose="02010600030101010101" charset="-122"/>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03952323906402"/>
                  <c:y val="-0.074185322906828"/>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宋体" panose="02010600030101010101" charset="-122"/>
                      <a:ea typeface="宋体" panose="02010600030101010101" charset="-122"/>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2966780095245"/>
                  <c:y val="0.0507876133721727"/>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50570964481368"/>
                  <c:y val="0.043838500731311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宋体" panose="02010600030101010101" charset="-122"/>
                      <a:ea typeface="宋体" panose="02010600030101010101" charset="-122"/>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36933227965609"/>
                  <c:y val="-0.0067698841015659"/>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宋体" panose="02010600030101010101" charset="-122"/>
                      <a:ea typeface="宋体" panose="02010600030101010101" charset="-122"/>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单位就业专业相关度!$I$2:$I$6</c:f>
              <c:strCache>
                <c:ptCount val="5"/>
                <c:pt idx="0">
                  <c:v>非常相关</c:v>
                </c:pt>
                <c:pt idx="1">
                  <c:v>比较相关</c:v>
                </c:pt>
                <c:pt idx="2">
                  <c:v>相关</c:v>
                </c:pt>
                <c:pt idx="3">
                  <c:v>不太相关</c:v>
                </c:pt>
                <c:pt idx="4">
                  <c:v>非常不相关</c:v>
                </c:pt>
              </c:strCache>
            </c:strRef>
          </c:cat>
          <c:val>
            <c:numRef>
              <c:f>单位就业专业相关度!$J$2:$J$6</c:f>
              <c:numCache>
                <c:formatCode>0.00%</c:formatCode>
                <c:ptCount val="5"/>
                <c:pt idx="0">
                  <c:v>0.187074829931973</c:v>
                </c:pt>
                <c:pt idx="1">
                  <c:v>0.200680272108844</c:v>
                </c:pt>
                <c:pt idx="2">
                  <c:v>0.27891156462585</c:v>
                </c:pt>
                <c:pt idx="3">
                  <c:v>0.217687074829932</c:v>
                </c:pt>
                <c:pt idx="4">
                  <c:v>0.115646258503401</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宋体" panose="02010600030101010101" charset="-122"/>
          <a:ea typeface="宋体" panose="02010600030101010101" charset="-122"/>
        </a:defRPr>
      </a:pP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153929139546"/>
          <c:y val="0.057516339869281"/>
          <c:w val="0.760082171885991"/>
          <c:h val="0.884967320261438"/>
        </c:manualLayout>
      </c:layout>
      <c:barChart>
        <c:barDir val="bar"/>
        <c:grouping val="clustered"/>
        <c:varyColors val="0"/>
        <c:ser>
          <c:idx val="5"/>
          <c:order val="5"/>
          <c:tx>
            <c:strRef>
              <c:f>单位就业专业相关度!$Z$3</c:f>
              <c:strCache>
                <c:ptCount val="1"/>
                <c:pt idx="0">
                  <c:v>总计</c:v>
                </c:pt>
              </c:strCache>
            </c:strRef>
          </c:tx>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单位就业专业相关度!$T$4:$T$10</c:f>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f>单位就业专业相关度!$Z$4:$Z$10</c:f>
              <c:numCache>
                <c:formatCode>0.00%</c:formatCode>
                <c:ptCount val="7"/>
                <c:pt idx="0">
                  <c:v>0.478260869565217</c:v>
                </c:pt>
                <c:pt idx="1">
                  <c:v>0.588235294117647</c:v>
                </c:pt>
                <c:pt idx="2">
                  <c:v>0.6</c:v>
                </c:pt>
                <c:pt idx="3">
                  <c:v>0.604166666666667</c:v>
                </c:pt>
                <c:pt idx="4">
                  <c:v>0.615384615384615</c:v>
                </c:pt>
                <c:pt idx="5">
                  <c:v>0.777777777777778</c:v>
                </c:pt>
                <c:pt idx="6">
                  <c:v>0.826666666666667</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tx>
                  <c:strRef>
                    <c:extLst>
                      <c:ext uri="{02D57815-91ED-43cb-92C2-25804820EDAC}">
                        <c15:formulaRef>
                          <c15:sqref>单位就业专业相关度!$U$3</c15:sqref>
                        </c15:formulaRef>
                      </c:ext>
                    </c:extLst>
                    <c:strCache>
                      <c:ptCount val="1"/>
                      <c:pt idx="0">
                        <c:v>非常相关</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单位就业专业相关度!$T$4:$T$10</c15:sqref>
                        </c15:formulaRef>
                      </c:ext>
                    </c:extLst>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extLst>
                      <c:ext uri="{02D57815-91ED-43cb-92C2-25804820EDAC}">
                        <c15:formulaRef>
                          <c15:sqref>单位就业专业相关度!$U$4:$U$10</c15:sqref>
                        </c15:formulaRef>
                      </c:ext>
                    </c:extLst>
                    <c:numCache>
                      <c:formatCode>0.00%</c:formatCode>
                      <c:ptCount val="7"/>
                      <c:pt idx="0">
                        <c:v>0.130434782608696</c:v>
                      </c:pt>
                      <c:pt idx="1">
                        <c:v>0.0882352941176471</c:v>
                      </c:pt>
                      <c:pt idx="2">
                        <c:v>0.15</c:v>
                      </c:pt>
                      <c:pt idx="3">
                        <c:v>0.1875</c:v>
                      </c:pt>
                      <c:pt idx="4">
                        <c:v>0.0384615384615385</c:v>
                      </c:pt>
                      <c:pt idx="5">
                        <c:v>0.0444444444444444</c:v>
                      </c:pt>
                      <c:pt idx="6">
                        <c:v>0.413333333333333</c:v>
                      </c:pt>
                    </c:numCache>
                  </c:numRef>
                </c:val>
              </c15:ser>
            </c15:filteredBarSeries>
            <c15:filteredBarSeries>
              <c15:ser>
                <c:idx val="1"/>
                <c:order val="1"/>
                <c:tx>
                  <c:strRef>
                    <c:extLst>
                      <c:ext uri="{02D57815-91ED-43cb-92C2-25804820EDAC}">
                        <c15:formulaRef>
                          <c15:sqref>单位就业专业相关度!$V$3</c15:sqref>
                        </c15:formulaRef>
                      </c:ext>
                    </c:extLst>
                    <c:strCache>
                      <c:ptCount val="1"/>
                      <c:pt idx="0">
                        <c:v>相关</c:v>
                      </c:pt>
                    </c:strCache>
                  </c:strRef>
                </c:tx>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单位就业专业相关度!$T$4:$T$10</c15:sqref>
                        </c15:formulaRef>
                      </c:ext>
                    </c:extLst>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extLst>
                      <c:ext uri="{02D57815-91ED-43cb-92C2-25804820EDAC}">
                        <c15:formulaRef>
                          <c15:sqref>单位就业专业相关度!$V$4:$V$10</c15:sqref>
                        </c15:formulaRef>
                      </c:ext>
                    </c:extLst>
                    <c:numCache>
                      <c:formatCode>0.00%</c:formatCode>
                      <c:ptCount val="7"/>
                      <c:pt idx="0">
                        <c:v>0.217391304347826</c:v>
                      </c:pt>
                      <c:pt idx="1">
                        <c:v>0.147058823529412</c:v>
                      </c:pt>
                      <c:pt idx="2">
                        <c:v>0.45</c:v>
                      </c:pt>
                      <c:pt idx="3">
                        <c:v>0.1875</c:v>
                      </c:pt>
                      <c:pt idx="4">
                        <c:v>0.384615384615385</c:v>
                      </c:pt>
                      <c:pt idx="5">
                        <c:v>0.422222222222222</c:v>
                      </c:pt>
                      <c:pt idx="6">
                        <c:v>0.266666666666667</c:v>
                      </c:pt>
                    </c:numCache>
                  </c:numRef>
                </c:val>
              </c15:ser>
            </c15:filteredBarSeries>
            <c15:filteredBarSeries>
              <c15:ser>
                <c:idx val="2"/>
                <c:order val="2"/>
                <c:tx>
                  <c:strRef>
                    <c:extLst>
                      <c:ext uri="{02D57815-91ED-43cb-92C2-25804820EDAC}">
                        <c15:formulaRef>
                          <c15:sqref>单位就业专业相关度!$W$3</c15:sqref>
                        </c15:formulaRef>
                      </c:ext>
                    </c:extLst>
                    <c:strCache>
                      <c:ptCount val="1"/>
                      <c:pt idx="0">
                        <c:v>比较相关</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单位就业专业相关度!$T$4:$T$10</c15:sqref>
                        </c15:formulaRef>
                      </c:ext>
                    </c:extLst>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extLst>
                      <c:ext uri="{02D57815-91ED-43cb-92C2-25804820EDAC}">
                        <c15:formulaRef>
                          <c15:sqref>单位就业专业相关度!$W$4:$W$10</c15:sqref>
                        </c15:formulaRef>
                      </c:ext>
                    </c:extLst>
                    <c:numCache>
                      <c:formatCode>0.00%</c:formatCode>
                      <c:ptCount val="7"/>
                      <c:pt idx="0">
                        <c:v>0.130434782608696</c:v>
                      </c:pt>
                      <c:pt idx="1">
                        <c:v>0.352941176470588</c:v>
                      </c:pt>
                      <c:pt idx="2">
                        <c:v>0</c:v>
                      </c:pt>
                      <c:pt idx="3">
                        <c:v>0.229166666666667</c:v>
                      </c:pt>
                      <c:pt idx="4">
                        <c:v>0.192307692307692</c:v>
                      </c:pt>
                      <c:pt idx="5">
                        <c:v>0.311111111111111</c:v>
                      </c:pt>
                      <c:pt idx="6">
                        <c:v>0.146666666666667</c:v>
                      </c:pt>
                    </c:numCache>
                  </c:numRef>
                </c:val>
              </c15:ser>
            </c15:filteredBarSeries>
            <c15:filteredBarSeries>
              <c15:ser>
                <c:idx val="3"/>
                <c:order val="3"/>
                <c:tx>
                  <c:strRef>
                    <c:extLst>
                      <c:ext uri="{02D57815-91ED-43cb-92C2-25804820EDAC}">
                        <c15:formulaRef>
                          <c15:sqref>单位就业专业相关度!$X$3</c15:sqref>
                        </c15:formulaRef>
                      </c:ext>
                    </c:extLst>
                    <c:strCache>
                      <c:ptCount val="1"/>
                      <c:pt idx="0">
                        <c:v>不太相关</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单位就业专业相关度!$T$4:$T$10</c15:sqref>
                        </c15:formulaRef>
                      </c:ext>
                    </c:extLst>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extLst>
                      <c:ext uri="{02D57815-91ED-43cb-92C2-25804820EDAC}">
                        <c15:formulaRef>
                          <c15:sqref>单位就业专业相关度!$X$4:$X$10</c15:sqref>
                        </c15:formulaRef>
                      </c:ext>
                    </c:extLst>
                    <c:numCache>
                      <c:formatCode>0.00%</c:formatCode>
                      <c:ptCount val="7"/>
                      <c:pt idx="0">
                        <c:v>0.369565217391304</c:v>
                      </c:pt>
                      <c:pt idx="1">
                        <c:v>0.205882352941176</c:v>
                      </c:pt>
                      <c:pt idx="2">
                        <c:v>0.3</c:v>
                      </c:pt>
                      <c:pt idx="3">
                        <c:v>0.25</c:v>
                      </c:pt>
                      <c:pt idx="4">
                        <c:v>0.230769230769231</c:v>
                      </c:pt>
                      <c:pt idx="5">
                        <c:v>0.155555555555556</c:v>
                      </c:pt>
                      <c:pt idx="6">
                        <c:v>0.12</c:v>
                      </c:pt>
                    </c:numCache>
                  </c:numRef>
                </c:val>
              </c15:ser>
            </c15:filteredBarSeries>
            <c15:filteredBarSeries>
              <c15:ser>
                <c:idx val="4"/>
                <c:order val="4"/>
                <c:tx>
                  <c:strRef>
                    <c:extLst>
                      <c:ext uri="{02D57815-91ED-43cb-92C2-25804820EDAC}">
                        <c15:formulaRef>
                          <c15:sqref>单位就业专业相关度!$Y$3</c15:sqref>
                        </c15:formulaRef>
                      </c:ext>
                    </c:extLst>
                    <c:strCache>
                      <c:ptCount val="1"/>
                      <c:pt idx="0">
                        <c:v>非常不相关</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单位就业专业相关度!$T$4:$T$10</c15:sqref>
                        </c15:formulaRef>
                      </c:ext>
                    </c:extLst>
                    <c:strCache>
                      <c:ptCount val="7"/>
                      <c:pt idx="0">
                        <c:v>经济金融学院</c:v>
                      </c:pt>
                      <c:pt idx="1">
                        <c:v>信息科学与工程学院</c:v>
                      </c:pt>
                      <c:pt idx="2">
                        <c:v>食品工程学院</c:v>
                      </c:pt>
                      <c:pt idx="3">
                        <c:v>艺术与设计学院</c:v>
                      </c:pt>
                      <c:pt idx="4">
                        <c:v>外国语学院</c:v>
                      </c:pt>
                      <c:pt idx="5">
                        <c:v>商学院</c:v>
                      </c:pt>
                      <c:pt idx="6">
                        <c:v>医学院</c:v>
                      </c:pt>
                    </c:strCache>
                  </c:strRef>
                </c:cat>
                <c:val>
                  <c:numRef>
                    <c:extLst>
                      <c:ext uri="{02D57815-91ED-43cb-92C2-25804820EDAC}">
                        <c15:formulaRef>
                          <c15:sqref>单位就业专业相关度!$Y$4:$Y$10</c15:sqref>
                        </c15:formulaRef>
                      </c:ext>
                    </c:extLst>
                    <c:numCache>
                      <c:formatCode>0.00%</c:formatCode>
                      <c:ptCount val="7"/>
                      <c:pt idx="0">
                        <c:v>0.152173913043478</c:v>
                      </c:pt>
                      <c:pt idx="1">
                        <c:v>0.205882352941176</c:v>
                      </c:pt>
                      <c:pt idx="2">
                        <c:v>0.1</c:v>
                      </c:pt>
                      <c:pt idx="3">
                        <c:v>0.145833333333333</c:v>
                      </c:pt>
                      <c:pt idx="4">
                        <c:v>0.153846153846154</c:v>
                      </c:pt>
                      <c:pt idx="5">
                        <c:v>0.0666666666666667</c:v>
                      </c:pt>
                      <c:pt idx="6">
                        <c:v>0.0533333333333333</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509334870343"/>
          <c:y val="0.057516339869281"/>
          <c:w val="0.651726766155194"/>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单位就业专业相关度!$H$25:$H$31</c:f>
              <c:strCache>
                <c:ptCount val="6"/>
                <c:pt idx="0">
                  <c:v>专业相关工作的发展前景不好</c:v>
                </c:pt>
                <c:pt idx="1">
                  <c:v>专业相关工作的环境不好</c:v>
                </c:pt>
                <c:pt idx="2">
                  <c:v>专业工作岗位招聘少</c:v>
                </c:pt>
                <c:pt idx="3">
                  <c:v>达不到专业相关工作的要求</c:v>
                </c:pt>
                <c:pt idx="4">
                  <c:v>迫于现实先就业再择业</c:v>
                </c:pt>
                <c:pt idx="5">
                  <c:v>专业工作不符合自己的职业期待</c:v>
                </c:pt>
              </c:strCache>
            </c:strRef>
          </c:cat>
          <c:val>
            <c:numRef>
              <c:f>单位就业专业相关度!$J$25:$J$31</c:f>
              <c:numCache>
                <c:formatCode>0.00%</c:formatCode>
                <c:ptCount val="6"/>
                <c:pt idx="0">
                  <c:v>0.0714285714285714</c:v>
                </c:pt>
                <c:pt idx="1">
                  <c:v>0.13265306122449</c:v>
                </c:pt>
                <c:pt idx="2">
                  <c:v>0.23469387755102</c:v>
                </c:pt>
                <c:pt idx="3">
                  <c:v>0.285714285714286</c:v>
                </c:pt>
                <c:pt idx="4">
                  <c:v>0.489795918367347</c:v>
                </c:pt>
                <c:pt idx="5">
                  <c:v>0.530612244897959</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单位就业专业相关度!$H$25:$H$31</c15:sqref>
                        </c15:formulaRef>
                      </c:ext>
                    </c:extLst>
                    <c:strCache>
                      <c:ptCount val="6"/>
                      <c:pt idx="0">
                        <c:v>专业相关工作的发展前景不好</c:v>
                      </c:pt>
                      <c:pt idx="1">
                        <c:v>专业相关工作的环境不好</c:v>
                      </c:pt>
                      <c:pt idx="2">
                        <c:v>专业工作岗位招聘少</c:v>
                      </c:pt>
                      <c:pt idx="3">
                        <c:v>达不到专业相关工作的要求</c:v>
                      </c:pt>
                      <c:pt idx="4">
                        <c:v>迫于现实先就业再择业</c:v>
                      </c:pt>
                      <c:pt idx="5">
                        <c:v>专业工作不符合自己的职业期待</c:v>
                      </c:pt>
                    </c:strCache>
                  </c:strRef>
                </c:cat>
                <c:val>
                  <c:numRef>
                    <c:extLst>
                      <c:ext uri="{02D57815-91ED-43cb-92C2-25804820EDAC}">
                        <c15:formulaRef>
                          <c15:sqref>单位就业专业相关度!$I$25:$I$31</c15:sqref>
                        </c15:formulaRef>
                      </c:ext>
                    </c:extLst>
                    <c:numCache>
                      <c:formatCode>General</c:formatCode>
                      <c:ptCount val="6"/>
                      <c:pt idx="0">
                        <c:v>7</c:v>
                      </c:pt>
                      <c:pt idx="1">
                        <c:v>13</c:v>
                      </c:pt>
                      <c:pt idx="2">
                        <c:v>23</c:v>
                      </c:pt>
                      <c:pt idx="3">
                        <c:v>28</c:v>
                      </c:pt>
                      <c:pt idx="4">
                        <c:v>48</c:v>
                      </c:pt>
                      <c:pt idx="5">
                        <c:v>52</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单位就业工作与职业吻合度!$K$1</c:f>
              <c:strCache>
                <c:ptCount val="1"/>
                <c:pt idx="0">
                  <c:v>计数项:您目前从事的工作与理想的职业吻合吗？</c:v>
                </c:pt>
              </c:strCache>
            </c:strRef>
          </c:tx>
          <c:spPr/>
          <c:explosion val="0"/>
          <c:dPt>
            <c:idx val="0"/>
            <c:bubble3D val="0"/>
            <c:spPr>
              <a:solidFill>
                <a:schemeClr val="accent2">
                  <a:shade val="53000"/>
                </a:schemeClr>
              </a:solidFill>
              <a:ln>
                <a:noFill/>
              </a:ln>
              <a:effectLst/>
            </c:spPr>
          </c:dPt>
          <c:dPt>
            <c:idx val="1"/>
            <c:bubble3D val="0"/>
            <c:spPr>
              <a:solidFill>
                <a:schemeClr val="accent2">
                  <a:shade val="76000"/>
                </a:schemeClr>
              </a:solidFill>
              <a:ln>
                <a:noFill/>
              </a:ln>
              <a:effectLst/>
            </c:spPr>
          </c:dPt>
          <c:dPt>
            <c:idx val="2"/>
            <c:bubble3D val="0"/>
            <c:spPr>
              <a:solidFill>
                <a:schemeClr val="accent2"/>
              </a:solidFill>
              <a:ln>
                <a:noFill/>
              </a:ln>
              <a:effectLst/>
            </c:spPr>
          </c:dPt>
          <c:dPt>
            <c:idx val="3"/>
            <c:bubble3D val="0"/>
            <c:spPr>
              <a:solidFill>
                <a:schemeClr val="accent2">
                  <a:tint val="77000"/>
                </a:schemeClr>
              </a:solidFill>
              <a:ln>
                <a:noFill/>
              </a:ln>
              <a:effectLst/>
            </c:spPr>
          </c:dPt>
          <c:dPt>
            <c:idx val="4"/>
            <c:bubble3D val="0"/>
            <c:spPr>
              <a:solidFill>
                <a:schemeClr val="accent2">
                  <a:tint val="54000"/>
                </a:schemeClr>
              </a:solidFill>
              <a:ln>
                <a:noFill/>
              </a:ln>
              <a:effectLst/>
            </c:spPr>
          </c:dPt>
          <c:dLbls>
            <c:dLbl>
              <c:idx val="0"/>
              <c:layout>
                <c:manualLayout>
                  <c:x val="-0.145838531374595"/>
                  <c:y val="-0.0945069864582122"/>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03952323906402"/>
                  <c:y val="-0.074185322906828"/>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133778995446"/>
                  <c:y val="0.0567912685108761"/>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50570964481368"/>
                  <c:y val="0.043838500731311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61117103478575"/>
                  <c:y val="-0.0067699484442024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单位就业工作与职业吻合度!$J$2:$J$6</c:f>
              <c:strCache>
                <c:ptCount val="5"/>
                <c:pt idx="0">
                  <c:v>非常吻合</c:v>
                </c:pt>
                <c:pt idx="1">
                  <c:v>比较吻合</c:v>
                </c:pt>
                <c:pt idx="2">
                  <c:v>吻合</c:v>
                </c:pt>
                <c:pt idx="3">
                  <c:v>不太吻合</c:v>
                </c:pt>
                <c:pt idx="4">
                  <c:v>非常不吻合</c:v>
                </c:pt>
              </c:strCache>
            </c:strRef>
          </c:cat>
          <c:val>
            <c:numRef>
              <c:f>单位就业工作与职业吻合度!$K$2:$K$6</c:f>
              <c:numCache>
                <c:formatCode>0.00%</c:formatCode>
                <c:ptCount val="5"/>
                <c:pt idx="0">
                  <c:v>0.0782312925170068</c:v>
                </c:pt>
                <c:pt idx="1">
                  <c:v>0.431972789115646</c:v>
                </c:pt>
                <c:pt idx="2">
                  <c:v>0.27891156462585</c:v>
                </c:pt>
                <c:pt idx="3">
                  <c:v>0.193877551020408</c:v>
                </c:pt>
                <c:pt idx="4">
                  <c:v>0.0170068027210884</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规模!$K$7</c:f>
              <c:strCache>
                <c:ptCount val="1"/>
                <c:pt idx="0">
                  <c:v>男</c:v>
                </c:pt>
              </c:strCache>
            </c:strRef>
          </c:tx>
          <c:spPr>
            <a:solidFill>
              <a:srgbClr val="3960A7"/>
            </a:solidFill>
            <a:ln>
              <a:noFill/>
            </a:ln>
            <a:effectLst/>
          </c:spPr>
          <c:invertIfNegative val="0"/>
          <c:dLbls>
            <c:dLbl>
              <c:idx val="0"/>
              <c:layout/>
              <c:tx>
                <c:rich>
                  <a:bodyPr rot="0" spcFirstLastPara="1" vertOverflow="ellipsis" vert="horz" wrap="square" lIns="38100" tIns="19050" rIns="38100" bIns="19050" anchor="ctr" anchorCtr="1"/>
                  <a:lstStyle/>
                  <a:p>
                    <a:fld id="{5fabcf4e-429d-4470-ac95-b6d9735e78e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separator> </c:separator>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fld id="{e24c9a55-242d-4a84-9b72-d2040e3037f7}"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规模!$J$8:$J$9</c:f>
              <c:strCache>
                <c:ptCount val="2"/>
                <c:pt idx="0">
                  <c:v>专科毕业生</c:v>
                </c:pt>
                <c:pt idx="1">
                  <c:v>本科毕业生</c:v>
                </c:pt>
              </c:strCache>
            </c:strRef>
          </c:cat>
          <c:val>
            <c:numRef>
              <c:f>规模!$K$8:$K$9</c:f>
              <c:numCache>
                <c:formatCode>General</c:formatCode>
                <c:ptCount val="2"/>
                <c:pt idx="0">
                  <c:v>118</c:v>
                </c:pt>
                <c:pt idx="1">
                  <c:v>568</c:v>
                </c:pt>
              </c:numCache>
            </c:numRef>
          </c:val>
        </c:ser>
        <c:ser>
          <c:idx val="1"/>
          <c:order val="1"/>
          <c:tx>
            <c:strRef>
              <c:f>规模!$L$7</c:f>
              <c:strCache>
                <c:ptCount val="1"/>
                <c:pt idx="0">
                  <c:v>女</c:v>
                </c:pt>
              </c:strCache>
            </c:strRef>
          </c:tx>
          <c:spPr>
            <a:solidFill>
              <a:srgbClr val="C6D4EC"/>
            </a:solidFill>
            <a:ln>
              <a:noFill/>
            </a:ln>
            <a:effectLst/>
          </c:spPr>
          <c:invertIfNegative val="0"/>
          <c:dLbls>
            <c:dLbl>
              <c:idx val="0"/>
              <c:layout/>
              <c:tx>
                <c:rich>
                  <a:bodyPr rot="0" spcFirstLastPara="1" vertOverflow="ellipsis" vert="horz" wrap="square" lIns="38100" tIns="19050" rIns="38100" bIns="19050" anchor="ctr" anchorCtr="1"/>
                  <a:lstStyle/>
                  <a:p>
                    <a:fld id="{2f7f128b-42cb-4f7e-9c63-ebb5e23a708d}"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separator> </c:separator>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fld id="{9e1856a4-ac12-4a62-b74a-f7cddbc57c9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规模!$J$8:$J$9</c:f>
              <c:strCache>
                <c:ptCount val="2"/>
                <c:pt idx="0">
                  <c:v>专科毕业生</c:v>
                </c:pt>
                <c:pt idx="1">
                  <c:v>本科毕业生</c:v>
                </c:pt>
              </c:strCache>
            </c:strRef>
          </c:cat>
          <c:val>
            <c:numRef>
              <c:f>规模!$L$8:$L$9</c:f>
              <c:numCache>
                <c:formatCode>General</c:formatCode>
                <c:ptCount val="2"/>
                <c:pt idx="0">
                  <c:v>115</c:v>
                </c:pt>
                <c:pt idx="1">
                  <c:v>998</c:v>
                </c:pt>
              </c:numCache>
            </c:numRef>
          </c:val>
        </c:ser>
        <c:dLbls>
          <c:showLegendKey val="0"/>
          <c:showVal val="1"/>
          <c:showCatName val="0"/>
          <c:showSerName val="0"/>
          <c:showPercent val="0"/>
          <c:showBubbleSize val="0"/>
        </c:dLbls>
        <c:gapWidth val="150"/>
        <c:overlap val="100"/>
        <c:axId val="1082067344"/>
        <c:axId val="1082064392"/>
      </c:barChart>
      <c:catAx>
        <c:axId val="108206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1082064392"/>
        <c:crosses val="autoZero"/>
        <c:auto val="1"/>
        <c:lblAlgn val="ctr"/>
        <c:lblOffset val="100"/>
        <c:noMultiLvlLbl val="0"/>
      </c:catAx>
      <c:valAx>
        <c:axId val="108206439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1082067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719847782193"/>
          <c:y val="0.057516339869281"/>
          <c:w val="0.709516396821088"/>
          <c:h val="0.884967320261438"/>
        </c:manualLayout>
      </c:layout>
      <c:barChart>
        <c:barDir val="bar"/>
        <c:grouping val="clustered"/>
        <c:varyColors val="0"/>
        <c:ser>
          <c:idx val="5"/>
          <c:order val="5"/>
          <c:tx>
            <c:strRef>
              <c:f>单位就业工作与职业吻合度!$AJ$9</c:f>
              <c:strCache>
                <c:ptCount val="1"/>
                <c:pt idx="0">
                  <c:v>总计</c:v>
                </c:pt>
              </c:strCache>
            </c:strRef>
          </c:tx>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单位就业工作与职业吻合度!$AD$10:$AD$16</c:f>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f>单位就业工作与职业吻合度!$AJ$10:$AJ$16</c:f>
              <c:numCache>
                <c:formatCode>0.00%</c:formatCode>
                <c:ptCount val="7"/>
                <c:pt idx="0">
                  <c:v>0.692307692307692</c:v>
                </c:pt>
                <c:pt idx="1">
                  <c:v>0.76</c:v>
                </c:pt>
                <c:pt idx="2">
                  <c:v>0.770833333333333</c:v>
                </c:pt>
                <c:pt idx="3">
                  <c:v>0.804347826086957</c:v>
                </c:pt>
                <c:pt idx="4">
                  <c:v>0.823529411764706</c:v>
                </c:pt>
                <c:pt idx="5">
                  <c:v>0.844444444444444</c:v>
                </c:pt>
                <c:pt idx="6">
                  <c:v>0.85</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tx>
                  <c:strRef>
                    <c:extLst>
                      <c:ext uri="{02D57815-91ED-43cb-92C2-25804820EDAC}">
                        <c15:formulaRef>
                          <c15:sqref>单位就业工作与职业吻合度!$AE$9</c15:sqref>
                        </c15:formulaRef>
                      </c:ext>
                    </c:extLst>
                    <c:strCache>
                      <c:ptCount val="1"/>
                      <c:pt idx="0">
                        <c:v>非常一致</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单位就业工作与职业吻合度!$AD$10:$AD$16</c15:sqref>
                        </c15:formulaRef>
                      </c:ext>
                    </c:extLst>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extLst>
                      <c:ext uri="{02D57815-91ED-43cb-92C2-25804820EDAC}">
                        <c15:formulaRef>
                          <c15:sqref>单位就业工作与职业吻合度!$AE$10:$AE$16</c15:sqref>
                        </c15:formulaRef>
                      </c:ext>
                    </c:extLst>
                    <c:numCache>
                      <c:formatCode>0.00%</c:formatCode>
                      <c:ptCount val="7"/>
                      <c:pt idx="0">
                        <c:v>0.0384615384615385</c:v>
                      </c:pt>
                      <c:pt idx="1">
                        <c:v>0.0666666666666667</c:v>
                      </c:pt>
                      <c:pt idx="2">
                        <c:v>0.125</c:v>
                      </c:pt>
                      <c:pt idx="3">
                        <c:v>0.0652173913043478</c:v>
                      </c:pt>
                      <c:pt idx="4">
                        <c:v>0.0294117647058824</c:v>
                      </c:pt>
                      <c:pt idx="5">
                        <c:v>0.111111111111111</c:v>
                      </c:pt>
                      <c:pt idx="6">
                        <c:v>0.1</c:v>
                      </c:pt>
                    </c:numCache>
                  </c:numRef>
                </c:val>
              </c15:ser>
            </c15:filteredBarSeries>
            <c15:filteredBarSeries>
              <c15:ser>
                <c:idx val="1"/>
                <c:order val="1"/>
                <c:tx>
                  <c:strRef>
                    <c:extLst>
                      <c:ext uri="{02D57815-91ED-43cb-92C2-25804820EDAC}">
                        <c15:formulaRef>
                          <c15:sqref>单位就业工作与职业吻合度!$AF$9</c15:sqref>
                        </c15:formulaRef>
                      </c:ext>
                    </c:extLst>
                    <c:strCache>
                      <c:ptCount val="1"/>
                      <c:pt idx="0">
                        <c:v>一致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单位就业工作与职业吻合度!$AD$10:$AD$16</c15:sqref>
                        </c15:formulaRef>
                      </c:ext>
                    </c:extLst>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extLst>
                      <c:ext uri="{02D57815-91ED-43cb-92C2-25804820EDAC}">
                        <c15:formulaRef>
                          <c15:sqref>单位就业工作与职业吻合度!$AF$10:$AF$16</c15:sqref>
                        </c15:formulaRef>
                      </c:ext>
                    </c:extLst>
                    <c:numCache>
                      <c:formatCode>0.00%</c:formatCode>
                      <c:ptCount val="7"/>
                      <c:pt idx="0">
                        <c:v>0.230769230769231</c:v>
                      </c:pt>
                      <c:pt idx="1">
                        <c:v>0.346666666666667</c:v>
                      </c:pt>
                      <c:pt idx="2">
                        <c:v>0.1875</c:v>
                      </c:pt>
                      <c:pt idx="3">
                        <c:v>0.304347826086957</c:v>
                      </c:pt>
                      <c:pt idx="4">
                        <c:v>0.323529411764706</c:v>
                      </c:pt>
                      <c:pt idx="5">
                        <c:v>0.244444444444444</c:v>
                      </c:pt>
                      <c:pt idx="6">
                        <c:v>0.25</c:v>
                      </c:pt>
                    </c:numCache>
                  </c:numRef>
                </c:val>
              </c15:ser>
            </c15:filteredBarSeries>
            <c15:filteredBarSeries>
              <c15:ser>
                <c:idx val="2"/>
                <c:order val="2"/>
                <c:tx>
                  <c:strRef>
                    <c:extLst>
                      <c:ext uri="{02D57815-91ED-43cb-92C2-25804820EDAC}">
                        <c15:formulaRef>
                          <c15:sqref>单位就业工作与职业吻合度!$AG$9</c15:sqref>
                        </c15:formulaRef>
                      </c:ext>
                    </c:extLst>
                    <c:strCache>
                      <c:ptCount val="1"/>
                      <c:pt idx="0">
                        <c:v>比较一致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单位就业工作与职业吻合度!$AD$10:$AD$16</c15:sqref>
                        </c15:formulaRef>
                      </c:ext>
                    </c:extLst>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extLst>
                      <c:ext uri="{02D57815-91ED-43cb-92C2-25804820EDAC}">
                        <c15:formulaRef>
                          <c15:sqref>单位就业工作与职业吻合度!$AG$10:$AG$16</c15:sqref>
                        </c15:formulaRef>
                      </c:ext>
                    </c:extLst>
                    <c:numCache>
                      <c:formatCode>0.00%</c:formatCode>
                      <c:ptCount val="7"/>
                      <c:pt idx="0">
                        <c:v>0.423076923076923</c:v>
                      </c:pt>
                      <c:pt idx="1">
                        <c:v>0.346666666666667</c:v>
                      </c:pt>
                      <c:pt idx="2">
                        <c:v>0.458333333333333</c:v>
                      </c:pt>
                      <c:pt idx="3">
                        <c:v>0.434782608695652</c:v>
                      </c:pt>
                      <c:pt idx="4">
                        <c:v>0.470588235294118</c:v>
                      </c:pt>
                      <c:pt idx="5">
                        <c:v>0.488888888888889</c:v>
                      </c:pt>
                      <c:pt idx="6">
                        <c:v>0.5</c:v>
                      </c:pt>
                    </c:numCache>
                  </c:numRef>
                </c:val>
              </c15:ser>
            </c15:filteredBarSeries>
            <c15:filteredBarSeries>
              <c15:ser>
                <c:idx val="3"/>
                <c:order val="3"/>
                <c:tx>
                  <c:strRef>
                    <c:extLst>
                      <c:ext uri="{02D57815-91ED-43cb-92C2-25804820EDAC}">
                        <c15:formulaRef>
                          <c15:sqref>单位就业工作与职业吻合度!$AH$9</c15:sqref>
                        </c15:formulaRef>
                      </c:ext>
                    </c:extLst>
                    <c:strCache>
                      <c:ptCount val="1"/>
                      <c:pt idx="0">
                        <c:v>不太一致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单位就业工作与职业吻合度!$AD$10:$AD$16</c15:sqref>
                        </c15:formulaRef>
                      </c:ext>
                    </c:extLst>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extLst>
                      <c:ext uri="{02D57815-91ED-43cb-92C2-25804820EDAC}">
                        <c15:formulaRef>
                          <c15:sqref>单位就业工作与职业吻合度!$AH$10:$AH$16</c15:sqref>
                        </c15:formulaRef>
                      </c:ext>
                    </c:extLst>
                    <c:numCache>
                      <c:formatCode>0.00%</c:formatCode>
                      <c:ptCount val="7"/>
                      <c:pt idx="0">
                        <c:v>0.269230769230769</c:v>
                      </c:pt>
                      <c:pt idx="1">
                        <c:v>0.226666666666667</c:v>
                      </c:pt>
                      <c:pt idx="2">
                        <c:v>0.229166666666667</c:v>
                      </c:pt>
                      <c:pt idx="3">
                        <c:v>0.173913043478261</c:v>
                      </c:pt>
                      <c:pt idx="4">
                        <c:v>0.147058823529412</c:v>
                      </c:pt>
                      <c:pt idx="5">
                        <c:v>0.155555555555556</c:v>
                      </c:pt>
                      <c:pt idx="6">
                        <c:v>0.1</c:v>
                      </c:pt>
                    </c:numCache>
                  </c:numRef>
                </c:val>
              </c15:ser>
            </c15:filteredBarSeries>
            <c15:filteredBarSeries>
              <c15:ser>
                <c:idx val="4"/>
                <c:order val="4"/>
                <c:tx>
                  <c:strRef>
                    <c:extLst>
                      <c:ext uri="{02D57815-91ED-43cb-92C2-25804820EDAC}">
                        <c15:formulaRef>
                          <c15:sqref>单位就业工作与职业吻合度!$AI$9</c15:sqref>
                        </c15:formulaRef>
                      </c:ext>
                    </c:extLst>
                    <c:strCache>
                      <c:ptCount val="1"/>
                      <c:pt idx="0">
                        <c:v>非常不一致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extLst>
                      <c:ext uri="{02D57815-91ED-43cb-92C2-25804820EDAC}">
                        <c15:fullRef>
                          <c15:sqref/>
                        </c15:fullRef>
                        <c15:formulaRef>
                          <c15:sqref>单位就业工作与职业吻合度!$AD$10:$AD$16</c15:sqref>
                        </c15:formulaRef>
                      </c:ext>
                    </c:extLst>
                    <c:strCache>
                      <c:ptCount val="7"/>
                      <c:pt idx="0">
                        <c:v>外国语学院</c:v>
                      </c:pt>
                      <c:pt idx="1">
                        <c:v>医学院</c:v>
                      </c:pt>
                      <c:pt idx="2">
                        <c:v>艺术与设计学院</c:v>
                      </c:pt>
                      <c:pt idx="3">
                        <c:v>经济金融学院</c:v>
                      </c:pt>
                      <c:pt idx="4">
                        <c:v>信息科学与工程学院</c:v>
                      </c:pt>
                      <c:pt idx="5">
                        <c:v>商学院</c:v>
                      </c:pt>
                      <c:pt idx="6">
                        <c:v>食品工程学院</c:v>
                      </c:pt>
                    </c:strCache>
                  </c:strRef>
                </c:cat>
                <c:val>
                  <c:numRef>
                    <c:extLst>
                      <c:ext uri="{02D57815-91ED-43cb-92C2-25804820EDAC}">
                        <c15:formulaRef>
                          <c15:sqref>单位就业工作与职业吻合度!$AI$10:$AI$16</c15:sqref>
                        </c15:formulaRef>
                      </c:ext>
                    </c:extLst>
                    <c:numCache>
                      <c:formatCode>0.00%</c:formatCode>
                      <c:ptCount val="7"/>
                      <c:pt idx="0">
                        <c:v>0.0384615384615385</c:v>
                      </c:pt>
                      <c:pt idx="1">
                        <c:v>0.0133333333333333</c:v>
                      </c:pt>
                      <c:pt idx="2">
                        <c:v>0</c:v>
                      </c:pt>
                      <c:pt idx="3">
                        <c:v>0.0217391304347826</c:v>
                      </c:pt>
                      <c:pt idx="4">
                        <c:v>0.0294117647058824</c:v>
                      </c:pt>
                      <c:pt idx="5">
                        <c:v>0</c:v>
                      </c:pt>
                      <c:pt idx="6">
                        <c:v>0.05</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347358240512"/>
          <c:y val="0.186737371689273"/>
          <c:w val="0.933484552418172"/>
          <c:h val="0.753487897346165"/>
        </c:manualLayout>
      </c:layout>
      <c:radarChart>
        <c:radarStyle val="marker"/>
        <c:varyColors val="0"/>
        <c:ser>
          <c:idx val="1"/>
          <c:order val="0"/>
          <c:spPr>
            <a:ln w="28575" cap="rnd" cmpd="sng" algn="ctr">
              <a:solidFill>
                <a:srgbClr val="005099"/>
              </a:solidFill>
              <a:prstDash val="solid"/>
              <a:round/>
            </a:ln>
            <a:effectLst/>
          </c:spPr>
          <c:marker>
            <c:symbol val="circle"/>
            <c:size val="8"/>
            <c:spPr>
              <a:solidFill>
                <a:srgbClr val="005099"/>
              </a:solidFill>
              <a:ln w="25400" cap="flat" cmpd="sng" algn="ctr">
                <a:solidFill>
                  <a:sysClr val="window" lastClr="FFFFFF"/>
                </a:solidFill>
                <a:prstDash val="solid"/>
                <a:round/>
              </a:ln>
              <a:effectLst/>
            </c:spPr>
          </c:marker>
          <c:dLbls>
            <c:dLbl>
              <c:idx val="0"/>
              <c:layout>
                <c:manualLayout>
                  <c:x val="-0.0194444444444444"/>
                  <c:y val="1.88013747554278e-7"/>
                </c:manualLayout>
              </c:layout>
              <c:tx>
                <c:rich>
                  <a:bodyPr rot="0" spcFirstLastPara="0" vertOverflow="ellipsis" vert="horz" wrap="square" lIns="38100" tIns="19050" rIns="38100" bIns="19050" anchor="ctr" anchorCtr="1"/>
                  <a:lstStyle/>
                  <a:p>
                    <a:fld id="{5a3d32ca-7365-42d0-9e14-b68fd5d15cb1}" type="CATEGORYNAME">
                      <a:t>[CATEGORY NAME]</a:t>
                    </a:fld>
                    <a:r>
                      <a:t> </a:t>
                    </a:r>
                    <a:fld id="{117e023b-53ca-4c54-a318-faa14e98cc22}" type="VALUE">
                      <a:t>[VALUE]</a:t>
                    </a:fld>
                    <a:endParaRPr lang="zh-CN" altLang="en-US" b="0" i="0" u="none" strike="noStrike" baseline="0">
                      <a:latin typeface="Times New Roman" panose="02020603050405020304" charset="0"/>
                      <a:ea typeface="Times New Roman" panose="02020603050405020304" charset="0"/>
                      <a:cs typeface="+mn-ea"/>
                    </a:endParaRPr>
                  </a:p>
                  <a:p>
                    <a:fld id="{091affa7-2efe-4b9e-9e26-dd953af42bd2}" type="CATEGORYNAME">
                      <a:t>[CATEGORY NAME]</a:t>
                    </a:fld>
                    <a:r>
                      <a:t> </a:t>
                    </a:r>
                    <a:fld id="{d516dfcf-2259-4ba9-999d-65beb082f624}"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341666666666667"/>
                      <c:h val="0.158572298806489"/>
                    </c:manualLayout>
                  </c15:layout>
                </c:ext>
              </c:extLst>
            </c:dLbl>
            <c:dLbl>
              <c:idx val="1"/>
              <c:layout>
                <c:manualLayout>
                  <c:x val="0.101388888888889"/>
                  <c:y val="0.0310410697230181"/>
                </c:manualLayout>
              </c:layout>
              <c:tx>
                <c:rich>
                  <a:bodyPr rot="0" spcFirstLastPara="0" vertOverflow="ellipsis" vert="horz" wrap="square" lIns="38100" tIns="19050" rIns="38100" bIns="19050" anchor="ctr" anchorCtr="1"/>
                  <a:lstStyle/>
                  <a:p>
                    <a:fld id="{487f9adb-8b88-43ac-8741-a2e88d6c1e08}" type="CATEGORYNAME">
                      <a:t>[CATEGORY NAME]</a:t>
                    </a:fld>
                    <a:r>
                      <a:t> </a:t>
                    </a:r>
                    <a:fld id="{7c320aa9-8319-4bfd-b520-5c9814273481}"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69958223972003"/>
                      <c:h val="0.0573065902578797"/>
                    </c:manualLayout>
                  </c15:layout>
                </c:ext>
              </c:extLst>
            </c:dLbl>
            <c:dLbl>
              <c:idx val="2"/>
              <c:layout>
                <c:manualLayout>
                  <c:x val="0.1"/>
                  <c:y val="0.00716351179598252"/>
                </c:manualLayout>
              </c:layout>
              <c:tx>
                <c:rich>
                  <a:bodyPr rot="0" spcFirstLastPara="0" vertOverflow="ellipsis" vert="horz" wrap="square" lIns="38100" tIns="19050" rIns="38100" bIns="19050" anchor="ctr" anchorCtr="1"/>
                  <a:lstStyle/>
                  <a:p>
                    <a:fld id="{4e4845c1-414c-491f-9110-722f578036b4}" type="CATEGORYNAME">
                      <a:t>[CATEGORY NAME]</a:t>
                    </a:fld>
                    <a:r>
                      <a:t> </a:t>
                    </a:r>
                    <a:fld id="{7713c03b-48dd-4aef-a793-b25336201329}"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2222222222222"/>
                      <c:h val="0.153796749618332"/>
                    </c:manualLayout>
                  </c15:layout>
                </c:ext>
              </c:extLst>
            </c:dLbl>
            <c:dLbl>
              <c:idx val="3"/>
              <c:layout/>
              <c:tx>
                <c:rich>
                  <a:bodyPr rot="0" spcFirstLastPara="0" vertOverflow="ellipsis" vert="horz" wrap="square" lIns="38100" tIns="19050" rIns="38100" bIns="19050" anchor="ctr" anchorCtr="1"/>
                  <a:lstStyle/>
                  <a:p>
                    <a:fld id="{73493632-abe8-4dcd-a479-d5d36561adc0}" type="CATEGORYNAME">
                      <a:t>[CATEGORY NAME]</a:t>
                    </a:fld>
                    <a:r>
                      <a:t> </a:t>
                    </a:r>
                    <a:fld id="{fa069592-1fcf-4f79-aae0-0f586a3cf626}" type="VALUE">
                      <a:t>[VALUE]</a:t>
                    </a:fld>
                    <a:endParaRPr lang="zh-CN" altLang="en-US" sz="800" b="0" i="0" u="none" strike="noStrike" kern="1200" baseline="0">
                      <a:solidFill>
                        <a:srgbClr val="000000"/>
                      </a:solidFill>
                      <a:latin typeface="Times New Roman" panose="02020603050405020304" charset="0"/>
                      <a:ea typeface="Times New Roman" panose="02020603050405020304" charset="0"/>
                      <a:cs typeface="+mn-ea"/>
                    </a:endParaRPr>
                  </a:p>
                  <a:p>
                    <a:fld id="{b21767a9-823d-48ec-a767-17a84dfb3a7d}" type="CATEGORYNAME">
                      <a:t>[CATEGORY NAME]</a:t>
                    </a:fld>
                    <a:r>
                      <a:t> </a:t>
                    </a:r>
                    <a:fld id="{0cae7b2e-c264-40a5-b1ed-93a5b4a072c8}"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47222222222222"/>
                      <c:h val="0.138490926456543"/>
                    </c:manualLayout>
                  </c15:layout>
                </c:ext>
              </c:extLst>
            </c:dLbl>
            <c:dLbl>
              <c:idx val="4"/>
              <c:layout>
                <c:manualLayout>
                  <c:x val="-0.127777777777778"/>
                  <c:y val="-0.038204393505253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3333333333333"/>
                      <c:h val="0.0429799426934097"/>
                    </c:manualLayout>
                  </c15:layout>
                </c:ext>
              </c:extLst>
            </c:dLbl>
            <c:dLbl>
              <c:idx val="5"/>
              <c:layout>
                <c:manualLayout>
                  <c:x val="-0.130555555555556"/>
                  <c:y val="-0.014326647564469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36111111111111"/>
                      <c:h val="0.0573065902578797"/>
                    </c:manualLayout>
                  </c15:layout>
                </c:ext>
              </c:extLst>
            </c:dLbl>
            <c:dLbl>
              <c:idx val="6"/>
              <c:layout>
                <c:manualLayout>
                  <c:x val="-0.138888888888889"/>
                  <c:y val="0.028653295128939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22222222222222"/>
                      <c:h val="0.042979942693409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ext>
            </c:extLst>
          </c:dLbls>
          <c:cat>
            <c:strRef>
              <c:f>职业发展!$K$2:$K$8</c:f>
              <c:strCache>
                <c:ptCount val="7"/>
                <c:pt idx="0">
                  <c:v>单位知名度和社会认可度</c:v>
                </c:pt>
                <c:pt idx="1">
                  <c:v>岗位的发展前景</c:v>
                </c:pt>
                <c:pt idx="2">
                  <c:v>工作时间、工作方式自主性</c:v>
                </c:pt>
                <c:pt idx="3">
                  <c:v>单位的工作环境</c:v>
                </c:pt>
                <c:pt idx="4">
                  <c:v>单位的晋升空间</c:v>
                </c:pt>
                <c:pt idx="5">
                  <c:v>单位提供的培训机会</c:v>
                </c:pt>
                <c:pt idx="6">
                  <c:v>单位的企业文化氛围</c:v>
                </c:pt>
              </c:strCache>
            </c:strRef>
          </c:cat>
          <c:val>
            <c:numRef>
              <c:f>职业发展!$L$2:$L$8</c:f>
              <c:numCache>
                <c:formatCode>0.00</c:formatCode>
                <c:ptCount val="7"/>
                <c:pt idx="0">
                  <c:v>3.94557823129252</c:v>
                </c:pt>
                <c:pt idx="1">
                  <c:v>3.84353741496599</c:v>
                </c:pt>
                <c:pt idx="2">
                  <c:v>3.71428571428571</c:v>
                </c:pt>
                <c:pt idx="3">
                  <c:v>4.05442176870748</c:v>
                </c:pt>
                <c:pt idx="4">
                  <c:v>3.66326530612245</c:v>
                </c:pt>
                <c:pt idx="5">
                  <c:v>3.71768707482993</c:v>
                </c:pt>
                <c:pt idx="6">
                  <c:v>3.93877551020408</c:v>
                </c:pt>
              </c:numCache>
            </c:numRef>
          </c:val>
        </c:ser>
        <c:dLbls>
          <c:showLegendKey val="0"/>
          <c:showVal val="1"/>
          <c:showCatName val="0"/>
          <c:showSerName val="0"/>
          <c:showPercent val="0"/>
          <c:showBubbleSize val="0"/>
        </c:dLbls>
        <c:axId val="1059054240"/>
        <c:axId val="1"/>
      </c:radarChart>
      <c:catAx>
        <c:axId val="1059054240"/>
        <c:scaling>
          <c:orientation val="minMax"/>
        </c:scaling>
        <c:delete val="0"/>
        <c:axPos val="b"/>
        <c:majorGridlines>
          <c:spPr>
            <a:ln w="9525" cap="flat" cmpd="sng" algn="ctr">
              <a:solidFill>
                <a:schemeClr val="bg1">
                  <a:lumMod val="95000"/>
                </a:schemeClr>
              </a:solidFill>
              <a:prstDash val="solid"/>
              <a:round/>
            </a:ln>
          </c:spPr>
        </c:majorGridlines>
        <c:numFmt formatCode="General" sourceLinked="0"/>
        <c:majorTickMark val="out"/>
        <c:minorTickMark val="none"/>
        <c:tickLblPos val="none"/>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0"/>
        <c:lblAlgn val="ctr"/>
        <c:lblOffset val="100"/>
        <c:noMultiLvlLbl val="0"/>
      </c:catAx>
      <c:valAx>
        <c:axId val="1"/>
        <c:scaling>
          <c:orientation val="minMax"/>
          <c:max val="4.1"/>
          <c:min val="3.3"/>
        </c:scaling>
        <c:delete val="0"/>
        <c:axPos val="l"/>
        <c:majorGridlines>
          <c:spPr>
            <a:ln w="9525" cap="flat" cmpd="sng" algn="ctr">
              <a:solidFill>
                <a:schemeClr val="bg1">
                  <a:lumMod val="95000"/>
                </a:schemeClr>
              </a:solidFill>
              <a:prstDash val="solid"/>
              <a:round/>
            </a:ln>
          </c:spPr>
        </c:majorGridlines>
        <c:numFmt formatCode="0.00" sourceLinked="1"/>
        <c:majorTickMark val="none"/>
        <c:minorTickMark val="none"/>
        <c:tickLblPos val="none"/>
        <c:spPr>
          <a:ln w="9525" cap="flat" cmpd="sng" algn="ctr">
            <a:solidFill>
              <a:schemeClr val="bg1">
                <a:lumMod val="9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059054240"/>
        <c:crosses val="autoZero"/>
        <c:crossBetween val="between"/>
      </c:valAx>
      <c:spPr>
        <a:noFill/>
        <a:ln w="25400">
          <a:noFill/>
        </a:ln>
      </c:spPr>
    </c:plotArea>
    <c:plotVisOnly val="1"/>
    <c:dispBlanksAs val="gap"/>
    <c:showDLblsOverMax val="0"/>
  </c:chart>
  <c:spPr>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单位就业离职情况!$K$1</c:f>
              <c:strCache>
                <c:ptCount val="1"/>
                <c:pt idx="0">
                  <c:v>计数项:从第一次入职至今,您的离职次数为？</c:v>
                </c:pt>
              </c:strCache>
            </c:strRef>
          </c:tx>
          <c:spPr/>
          <c:explosion val="0"/>
          <c:dPt>
            <c:idx val="0"/>
            <c:bubble3D val="0"/>
            <c:spPr>
              <a:solidFill>
                <a:schemeClr val="accent2">
                  <a:shade val="58000"/>
                </a:schemeClr>
              </a:solidFill>
              <a:ln>
                <a:noFill/>
              </a:ln>
              <a:effectLst/>
            </c:spPr>
          </c:dPt>
          <c:dPt>
            <c:idx val="1"/>
            <c:bubble3D val="0"/>
            <c:spPr>
              <a:solidFill>
                <a:schemeClr val="accent2">
                  <a:shade val="86000"/>
                </a:schemeClr>
              </a:solidFill>
              <a:ln>
                <a:noFill/>
              </a:ln>
              <a:effectLst/>
            </c:spPr>
          </c:dPt>
          <c:dPt>
            <c:idx val="2"/>
            <c:bubble3D val="0"/>
            <c:spPr>
              <a:solidFill>
                <a:schemeClr val="accent2">
                  <a:tint val="86000"/>
                </a:schemeClr>
              </a:solidFill>
              <a:ln>
                <a:noFill/>
              </a:ln>
              <a:effectLst/>
            </c:spPr>
          </c:dPt>
          <c:dPt>
            <c:idx val="3"/>
            <c:bubble3D val="0"/>
            <c:spPr>
              <a:solidFill>
                <a:schemeClr val="accent2">
                  <a:tint val="58000"/>
                </a:schemeClr>
              </a:solidFill>
              <a:ln>
                <a:noFill/>
              </a:ln>
              <a:effectLst/>
            </c:spPr>
          </c:dPt>
          <c:dLbls>
            <c:dLbl>
              <c:idx val="0"/>
              <c:layout>
                <c:manualLayout>
                  <c:x val="0.101670438930825"/>
                  <c:y val="-0.238379195746999"/>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0977216518980139"/>
                  <c:y val="0.0294025152957788"/>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926385870984"/>
                  <c:y val="-0.00651254430587389"/>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81127627482037"/>
                  <c:y val="-0.059749376704377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单位就业离职情况!$J$2:$J$5</c:f>
              <c:strCache>
                <c:ptCount val="4"/>
                <c:pt idx="0">
                  <c:v>0次</c:v>
                </c:pt>
                <c:pt idx="1">
                  <c:v>1次</c:v>
                </c:pt>
                <c:pt idx="2">
                  <c:v>2次</c:v>
                </c:pt>
                <c:pt idx="3">
                  <c:v>3次及以上</c:v>
                </c:pt>
              </c:strCache>
            </c:strRef>
          </c:cat>
          <c:val>
            <c:numRef>
              <c:f>单位就业离职情况!$K$2:$K$5</c:f>
              <c:numCache>
                <c:formatCode>0.00%</c:formatCode>
                <c:ptCount val="4"/>
                <c:pt idx="0">
                  <c:v>0.829931972789116</c:v>
                </c:pt>
                <c:pt idx="1">
                  <c:v>0.125850340136054</c:v>
                </c:pt>
                <c:pt idx="2">
                  <c:v>0.0374149659863946</c:v>
                </c:pt>
                <c:pt idx="3">
                  <c:v>0.00680272108843537</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719847782193"/>
          <c:y val="0.057516339869281"/>
          <c:w val="0.709516396821088"/>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单位就业离职情况!$K$21:$K$31</c:f>
              <c:strCache>
                <c:ptCount val="10"/>
                <c:pt idx="0">
                  <c:v>家庭原因</c:v>
                </c:pt>
                <c:pt idx="1">
                  <c:v>人际关系因素</c:v>
                </c:pt>
                <c:pt idx="2">
                  <c:v>对单位管理制度和文化不适应</c:v>
                </c:pt>
                <c:pt idx="3">
                  <c:v>工作压力大</c:v>
                </c:pt>
                <c:pt idx="4">
                  <c:v>其他</c:v>
                </c:pt>
                <c:pt idx="5">
                  <c:v>工作环境不好</c:v>
                </c:pt>
                <c:pt idx="6">
                  <c:v>工作地域问题</c:v>
                </c:pt>
                <c:pt idx="7">
                  <c:v>想改变职业或行业</c:v>
                </c:pt>
                <c:pt idx="8">
                  <c:v>发展空间不大</c:v>
                </c:pt>
                <c:pt idx="9">
                  <c:v>薪资福利差</c:v>
                </c:pt>
              </c:strCache>
            </c:strRef>
          </c:cat>
          <c:val>
            <c:numRef>
              <c:f>单位就业离职情况!$M$21:$M$31</c:f>
              <c:numCache>
                <c:formatCode>0.00%</c:formatCode>
                <c:ptCount val="10"/>
                <c:pt idx="0">
                  <c:v>0.04</c:v>
                </c:pt>
                <c:pt idx="1">
                  <c:v>0.04</c:v>
                </c:pt>
                <c:pt idx="2">
                  <c:v>0.12</c:v>
                </c:pt>
                <c:pt idx="3">
                  <c:v>0.16</c:v>
                </c:pt>
                <c:pt idx="4">
                  <c:v>0.22</c:v>
                </c:pt>
                <c:pt idx="5">
                  <c:v>0.22</c:v>
                </c:pt>
                <c:pt idx="6">
                  <c:v>0.26</c:v>
                </c:pt>
                <c:pt idx="7">
                  <c:v>0.3</c:v>
                </c:pt>
                <c:pt idx="8">
                  <c:v>0.32</c:v>
                </c:pt>
                <c:pt idx="9">
                  <c:v>0.4</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单位就业离职情况!$K$21:$K$31</c15:sqref>
                        </c15:formulaRef>
                      </c:ext>
                    </c:extLst>
                    <c:strCache>
                      <c:ptCount val="10"/>
                      <c:pt idx="0">
                        <c:v>家庭原因</c:v>
                      </c:pt>
                      <c:pt idx="1">
                        <c:v>人际关系因素</c:v>
                      </c:pt>
                      <c:pt idx="2">
                        <c:v>对单位管理制度和文化不适应</c:v>
                      </c:pt>
                      <c:pt idx="3">
                        <c:v>工作压力大</c:v>
                      </c:pt>
                      <c:pt idx="4">
                        <c:v>其他</c:v>
                      </c:pt>
                      <c:pt idx="5">
                        <c:v>工作环境不好</c:v>
                      </c:pt>
                      <c:pt idx="6">
                        <c:v>工作地域问题</c:v>
                      </c:pt>
                      <c:pt idx="7">
                        <c:v>想改变职业或行业</c:v>
                      </c:pt>
                      <c:pt idx="8">
                        <c:v>发展空间不大</c:v>
                      </c:pt>
                      <c:pt idx="9">
                        <c:v>薪资福利差</c:v>
                      </c:pt>
                    </c:strCache>
                  </c:strRef>
                </c:cat>
                <c:val>
                  <c:numRef>
                    <c:extLst>
                      <c:ext uri="{02D57815-91ED-43cb-92C2-25804820EDAC}">
                        <c15:formulaRef>
                          <c15:sqref>单位就业离职情况!$L$21:$L$31</c15:sqref>
                        </c15:formulaRef>
                      </c:ext>
                    </c:extLst>
                    <c:numCache>
                      <c:formatCode>General</c:formatCode>
                      <c:ptCount val="10"/>
                      <c:pt idx="0">
                        <c:v>2</c:v>
                      </c:pt>
                      <c:pt idx="1">
                        <c:v>2</c:v>
                      </c:pt>
                      <c:pt idx="2">
                        <c:v>6</c:v>
                      </c:pt>
                      <c:pt idx="3">
                        <c:v>8</c:v>
                      </c:pt>
                      <c:pt idx="4">
                        <c:v>11</c:v>
                      </c:pt>
                      <c:pt idx="5">
                        <c:v>11</c:v>
                      </c:pt>
                      <c:pt idx="6">
                        <c:v>13</c:v>
                      </c:pt>
                      <c:pt idx="7">
                        <c:v>15</c:v>
                      </c:pt>
                      <c:pt idx="8">
                        <c:v>16</c:v>
                      </c:pt>
                      <c:pt idx="9">
                        <c:v>20</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继续深造满意度!$J$1</c:f>
              <c:strCache>
                <c:ptCount val="1"/>
                <c:pt idx="0">
                  <c:v>计数项:您对继续深造的学校和专业满意吗？</c:v>
                </c:pt>
              </c:strCache>
            </c:strRef>
          </c:tx>
          <c:spPr/>
          <c:explosion val="0"/>
          <c:dPt>
            <c:idx val="0"/>
            <c:bubble3D val="0"/>
            <c:spPr>
              <a:solidFill>
                <a:schemeClr val="accent2">
                  <a:shade val="65000"/>
                </a:schemeClr>
              </a:solidFill>
              <a:ln>
                <a:noFill/>
              </a:ln>
              <a:effectLst/>
            </c:spPr>
          </c:dPt>
          <c:dPt>
            <c:idx val="1"/>
            <c:bubble3D val="0"/>
            <c:spPr>
              <a:solidFill>
                <a:schemeClr val="accent2"/>
              </a:solidFill>
              <a:ln>
                <a:noFill/>
              </a:ln>
              <a:effectLst/>
            </c:spPr>
          </c:dPt>
          <c:dPt>
            <c:idx val="2"/>
            <c:bubble3D val="0"/>
            <c:spPr>
              <a:solidFill>
                <a:schemeClr val="accent2">
                  <a:tint val="65000"/>
                </a:schemeClr>
              </a:solidFill>
              <a:ln>
                <a:noFill/>
              </a:ln>
              <a:effectLst/>
            </c:spPr>
          </c:dPt>
          <c:dLbls>
            <c:dLbl>
              <c:idx val="0"/>
              <c:layout>
                <c:manualLayout>
                  <c:x val="0.187229095332698"/>
                  <c:y val="-0.059537986367702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00777318198081"/>
                  <c:y val="0.104216115692368"/>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926385870984"/>
                  <c:y val="-0.00651254430587389"/>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继续深造满意度!$I$2:$I$4</c:f>
              <c:strCache>
                <c:ptCount val="3"/>
                <c:pt idx="0">
                  <c:v>非常满意</c:v>
                </c:pt>
                <c:pt idx="1">
                  <c:v>满意</c:v>
                </c:pt>
                <c:pt idx="2">
                  <c:v>一般</c:v>
                </c:pt>
              </c:strCache>
            </c:strRef>
          </c:cat>
          <c:val>
            <c:numRef>
              <c:f>继续深造满意度!$J$2:$J$4</c:f>
              <c:numCache>
                <c:formatCode>0.00%</c:formatCode>
                <c:ptCount val="3"/>
                <c:pt idx="0">
                  <c:v>0.5</c:v>
                </c:pt>
                <c:pt idx="1">
                  <c:v>0.375</c:v>
                </c:pt>
                <c:pt idx="2">
                  <c:v>0.125</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继续深造满意度!$J$18</c:f>
              <c:strCache>
                <c:ptCount val="1"/>
                <c:pt idx="0">
                  <c:v>计数项:您继续深造所读专业与之前所学专业相关吗？</c:v>
                </c:pt>
              </c:strCache>
            </c:strRef>
          </c:tx>
          <c:explosion val="0"/>
          <c:dPt>
            <c:idx val="0"/>
            <c:bubble3D val="0"/>
            <c:spPr>
              <a:solidFill>
                <a:srgbClr val="005099"/>
              </a:solidFill>
              <a:ln w="19050">
                <a:solidFill>
                  <a:schemeClr val="lt1"/>
                </a:solidFill>
              </a:ln>
              <a:effectLst/>
            </c:spPr>
          </c:dPt>
          <c:dPt>
            <c:idx val="1"/>
            <c:bubble3D val="0"/>
            <c:spPr>
              <a:solidFill>
                <a:schemeClr val="accent1">
                  <a:lumMod val="60000"/>
                  <a:lumOff val="40000"/>
                </a:schemeClr>
              </a:solidFill>
              <a:ln w="19050">
                <a:solidFill>
                  <a:schemeClr val="lt1"/>
                </a:solidFill>
              </a:ln>
              <a:effectLst/>
            </c:spPr>
          </c:dPt>
          <c:dPt>
            <c:idx val="2"/>
            <c:bubble3D val="0"/>
            <c:spPr>
              <a:solidFill>
                <a:schemeClr val="tx2">
                  <a:lumMod val="40000"/>
                  <a:lumOff val="60000"/>
                </a:schemeClr>
              </a:solidFill>
              <a:ln w="19050">
                <a:solidFill>
                  <a:schemeClr val="lt1"/>
                </a:solidFill>
              </a:ln>
              <a:effectLst/>
            </c:spPr>
          </c:dPt>
          <c:dPt>
            <c:idx val="3"/>
            <c:bubble3D val="0"/>
            <c:spPr>
              <a:solidFill>
                <a:schemeClr val="accent1">
                  <a:lumMod val="20000"/>
                  <a:lumOff val="80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Lbls>
            <c:dLbl>
              <c:idx val="0"/>
              <c:layout>
                <c:manualLayout>
                  <c:x val="-0.0297232119720524"/>
                  <c:y val="-0.14586137144069"/>
                </c:manualLayout>
              </c:layout>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03952323906402"/>
                  <c:y val="-0.12022468549739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5189445295513"/>
                  <c:y val="-0.00075765196767472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2793629681636"/>
                  <c:y val="0.0783680394124027"/>
                </c:manualLayout>
              </c:layout>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61117103478575"/>
                  <c:y val="-0.00676994844420241"/>
                </c:manualLayout>
              </c:layout>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继续深造满意度!$I$19:$I$23</c:f>
              <c:strCache>
                <c:ptCount val="5"/>
                <c:pt idx="0">
                  <c:v>非常相关</c:v>
                </c:pt>
                <c:pt idx="1">
                  <c:v>比较相关</c:v>
                </c:pt>
                <c:pt idx="2">
                  <c:v>相关</c:v>
                </c:pt>
                <c:pt idx="3">
                  <c:v>不太相关</c:v>
                </c:pt>
                <c:pt idx="4">
                  <c:v>非常不相关</c:v>
                </c:pt>
              </c:strCache>
            </c:strRef>
          </c:cat>
          <c:val>
            <c:numRef>
              <c:f>继续深造满意度!$J$19:$J$23</c:f>
              <c:numCache>
                <c:formatCode>0.00%</c:formatCode>
                <c:ptCount val="5"/>
                <c:pt idx="0">
                  <c:v>0.291666666666667</c:v>
                </c:pt>
                <c:pt idx="1">
                  <c:v>0.0416666666666667</c:v>
                </c:pt>
                <c:pt idx="2">
                  <c:v>0.375</c:v>
                </c:pt>
                <c:pt idx="3">
                  <c:v>0.166666666666667</c:v>
                </c:pt>
                <c:pt idx="4">
                  <c:v>0.125</c:v>
                </c:pt>
              </c:numCache>
            </c:numRef>
          </c:val>
        </c:ser>
        <c:dLbls>
          <c:showLegendKey val="0"/>
          <c:showVal val="0"/>
          <c:showCatName val="0"/>
          <c:showSerName val="0"/>
          <c:showPercent val="0"/>
          <c:showBubbleSize val="0"/>
          <c:showLeaderLines val="0"/>
        </c:dLbls>
        <c:firstSliceAng val="291"/>
        <c:holeSize val="50"/>
      </c:doughnutChart>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997419965361"/>
          <c:y val="0.057516339869281"/>
          <c:w val="0.782238827289446"/>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继续深造满意度!$I$37:$I$44</c:f>
              <c:strCache>
                <c:ptCount val="7"/>
                <c:pt idx="0">
                  <c:v>导师实力</c:v>
                </c:pt>
                <c:pt idx="1">
                  <c:v>历年录取情况</c:v>
                </c:pt>
                <c:pt idx="2">
                  <c:v>学校所在城市</c:v>
                </c:pt>
                <c:pt idx="3">
                  <c:v>报考难度</c:v>
                </c:pt>
                <c:pt idx="4">
                  <c:v>学校名气</c:v>
                </c:pt>
                <c:pt idx="5">
                  <c:v>学校实力</c:v>
                </c:pt>
                <c:pt idx="6">
                  <c:v>专业实力</c:v>
                </c:pt>
              </c:strCache>
            </c:strRef>
          </c:cat>
          <c:val>
            <c:numRef>
              <c:f>继续深造满意度!$K$37:$K$44</c:f>
              <c:numCache>
                <c:formatCode>0.00%</c:formatCode>
                <c:ptCount val="7"/>
                <c:pt idx="0">
                  <c:v>0.125</c:v>
                </c:pt>
                <c:pt idx="1">
                  <c:v>0.25</c:v>
                </c:pt>
                <c:pt idx="2">
                  <c:v>0.333333333333333</c:v>
                </c:pt>
                <c:pt idx="3">
                  <c:v>0.375</c:v>
                </c:pt>
                <c:pt idx="4">
                  <c:v>0.416666666666667</c:v>
                </c:pt>
                <c:pt idx="5">
                  <c:v>0.541666666666667</c:v>
                </c:pt>
                <c:pt idx="6">
                  <c:v>0.583333333333333</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继续深造满意度!$I$37:$I$44</c15:sqref>
                        </c15:formulaRef>
                      </c:ext>
                    </c:extLst>
                    <c:strCache>
                      <c:ptCount val="7"/>
                      <c:pt idx="0">
                        <c:v>导师实力</c:v>
                      </c:pt>
                      <c:pt idx="1">
                        <c:v>历年录取情况</c:v>
                      </c:pt>
                      <c:pt idx="2">
                        <c:v>学校所在城市</c:v>
                      </c:pt>
                      <c:pt idx="3">
                        <c:v>报考难度</c:v>
                      </c:pt>
                      <c:pt idx="4">
                        <c:v>学校名气</c:v>
                      </c:pt>
                      <c:pt idx="5">
                        <c:v>学校实力</c:v>
                      </c:pt>
                      <c:pt idx="6">
                        <c:v>专业实力</c:v>
                      </c:pt>
                    </c:strCache>
                  </c:strRef>
                </c:cat>
                <c:val>
                  <c:numRef>
                    <c:extLst>
                      <c:ext uri="{02D57815-91ED-43cb-92C2-25804820EDAC}">
                        <c15:formulaRef>
                          <c15:sqref>继续深造满意度!$J$37:$J$44</c15:sqref>
                        </c15:formulaRef>
                      </c:ext>
                    </c:extLst>
                    <c:numCache>
                      <c:formatCode>General</c:formatCode>
                      <c:ptCount val="7"/>
                      <c:pt idx="0">
                        <c:v>3</c:v>
                      </c:pt>
                      <c:pt idx="1">
                        <c:v>6</c:v>
                      </c:pt>
                      <c:pt idx="2">
                        <c:v>8</c:v>
                      </c:pt>
                      <c:pt idx="3">
                        <c:v>9</c:v>
                      </c:pt>
                      <c:pt idx="4">
                        <c:v>10</c:v>
                      </c:pt>
                      <c:pt idx="5">
                        <c:v>13</c:v>
                      </c:pt>
                      <c:pt idx="6">
                        <c:v>14</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5099"/>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创业!$H$2</c:f>
              <c:strCache>
                <c:ptCount val="1"/>
                <c:pt idx="0">
                  <c:v>自主创业比例</c:v>
                </c:pt>
              </c:strCache>
            </c:strRef>
          </c:cat>
          <c:val>
            <c:numRef>
              <c:f>创业!$H$3</c:f>
              <c:numCache>
                <c:formatCode>0.00%</c:formatCode>
                <c:ptCount val="1"/>
                <c:pt idx="0">
                  <c:v>0.0077</c:v>
                </c:pt>
              </c:numCache>
            </c:numRef>
          </c:val>
        </c:ser>
        <c:dLbls>
          <c:showLegendKey val="0"/>
          <c:showVal val="1"/>
          <c:showCatName val="0"/>
          <c:showSerName val="0"/>
          <c:showPercent val="0"/>
          <c:showBubbleSize val="0"/>
        </c:dLbls>
        <c:gapWidth val="219"/>
        <c:overlap val="-27"/>
        <c:axId val="651962200"/>
        <c:axId val="651961544"/>
      </c:barChart>
      <c:catAx>
        <c:axId val="65196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51961544"/>
        <c:crosses val="autoZero"/>
        <c:auto val="1"/>
        <c:lblAlgn val="ctr"/>
        <c:lblOffset val="100"/>
        <c:noMultiLvlLbl val="0"/>
      </c:catAx>
      <c:valAx>
        <c:axId val="651961544"/>
        <c:scaling>
          <c:orientation val="minMax"/>
          <c:max val="0.1"/>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51962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955046224318"/>
          <c:y val="0.057516339869281"/>
          <c:w val="0.703682565157063"/>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未就业!$T$1:$T$10</c:f>
              <c:strCache>
                <c:ptCount val="9"/>
                <c:pt idx="0">
                  <c:v>存在就业歧视</c:v>
                </c:pt>
                <c:pt idx="1">
                  <c:v>与父母意愿相悖</c:v>
                </c:pt>
                <c:pt idx="2">
                  <c:v>其他原因</c:v>
                </c:pt>
                <c:pt idx="3">
                  <c:v>社会关系缺乏</c:v>
                </c:pt>
                <c:pt idx="4">
                  <c:v>就业能力不足</c:v>
                </c:pt>
                <c:pt idx="5">
                  <c:v>获取招聘信息的渠道太少</c:v>
                </c:pt>
                <c:pt idx="6">
                  <c:v>用人单位待遇和条件不符合预期</c:v>
                </c:pt>
                <c:pt idx="7">
                  <c:v>缺乏实践经验</c:v>
                </c:pt>
                <c:pt idx="8">
                  <c:v>适合自己专业和学历的岗位不多</c:v>
                </c:pt>
              </c:strCache>
            </c:strRef>
          </c:cat>
          <c:val>
            <c:numRef>
              <c:f>未就业!$V$1:$V$10</c:f>
              <c:numCache>
                <c:formatCode>0.00%</c:formatCode>
                <c:ptCount val="9"/>
                <c:pt idx="0">
                  <c:v>0.0666666666666667</c:v>
                </c:pt>
                <c:pt idx="1">
                  <c:v>0.0666666666666667</c:v>
                </c:pt>
                <c:pt idx="2">
                  <c:v>0.15</c:v>
                </c:pt>
                <c:pt idx="3">
                  <c:v>0.191666666666667</c:v>
                </c:pt>
                <c:pt idx="4">
                  <c:v>0.208333333333333</c:v>
                </c:pt>
                <c:pt idx="5">
                  <c:v>0.266666666666667</c:v>
                </c:pt>
                <c:pt idx="6">
                  <c:v>0.283333333333333</c:v>
                </c:pt>
                <c:pt idx="7">
                  <c:v>0.366666666666667</c:v>
                </c:pt>
                <c:pt idx="8">
                  <c:v>0.625</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未就业!$T$1:$T$10</c15:sqref>
                        </c15:formulaRef>
                      </c:ext>
                    </c:extLst>
                    <c:strCache>
                      <c:ptCount val="9"/>
                      <c:pt idx="0">
                        <c:v>存在就业歧视</c:v>
                      </c:pt>
                      <c:pt idx="1">
                        <c:v>与父母意愿相悖</c:v>
                      </c:pt>
                      <c:pt idx="2">
                        <c:v>其他原因</c:v>
                      </c:pt>
                      <c:pt idx="3">
                        <c:v>社会关系缺乏</c:v>
                      </c:pt>
                      <c:pt idx="4">
                        <c:v>就业能力不足</c:v>
                      </c:pt>
                      <c:pt idx="5">
                        <c:v>获取招聘信息的渠道太少</c:v>
                      </c:pt>
                      <c:pt idx="6">
                        <c:v>用人单位待遇和条件不符合预期</c:v>
                      </c:pt>
                      <c:pt idx="7">
                        <c:v>缺乏实践经验</c:v>
                      </c:pt>
                      <c:pt idx="8">
                        <c:v>适合自己专业和学历的岗位不多</c:v>
                      </c:pt>
                    </c:strCache>
                  </c:strRef>
                </c:cat>
                <c:val>
                  <c:numRef>
                    <c:extLst>
                      <c:ext uri="{02D57815-91ED-43cb-92C2-25804820EDAC}">
                        <c15:formulaRef>
                          <c15:sqref>未就业!$U$1:$U$10</c15:sqref>
                        </c15:formulaRef>
                      </c:ext>
                    </c:extLst>
                    <c:numCache>
                      <c:formatCode>General</c:formatCode>
                      <c:ptCount val="9"/>
                      <c:pt idx="0">
                        <c:v>8</c:v>
                      </c:pt>
                      <c:pt idx="1">
                        <c:v>8</c:v>
                      </c:pt>
                      <c:pt idx="2">
                        <c:v>18</c:v>
                      </c:pt>
                      <c:pt idx="3">
                        <c:v>23</c:v>
                      </c:pt>
                      <c:pt idx="4">
                        <c:v>25</c:v>
                      </c:pt>
                      <c:pt idx="5">
                        <c:v>32</c:v>
                      </c:pt>
                      <c:pt idx="6">
                        <c:v>34</c:v>
                      </c:pt>
                      <c:pt idx="7">
                        <c:v>44</c:v>
                      </c:pt>
                      <c:pt idx="8">
                        <c:v>75</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4271940697158"/>
          <c:y val="0.018980575404953"/>
          <c:w val="0.899809021259671"/>
          <c:h val="0.958827292542189"/>
        </c:manualLayout>
      </c:layout>
      <c:barChart>
        <c:barDir val="bar"/>
        <c:grouping val="clustered"/>
        <c:varyColors val="0"/>
        <c:ser>
          <c:idx val="0"/>
          <c:order val="0"/>
          <c:tx>
            <c:strRef>
              <c:f>未就业!$H$28</c:f>
              <c:strCache>
                <c:ptCount val="1"/>
                <c:pt idx="0">
                  <c:v>计数项:您期待的就业地域是</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未就业!$G$29:$G$49</c:f>
              <c:strCache>
                <c:ptCount val="21"/>
                <c:pt idx="0">
                  <c:v>辽宁</c:v>
                </c:pt>
                <c:pt idx="1">
                  <c:v>黑龙</c:v>
                </c:pt>
                <c:pt idx="2">
                  <c:v>内蒙</c:v>
                </c:pt>
                <c:pt idx="3">
                  <c:v>山东</c:v>
                </c:pt>
                <c:pt idx="4">
                  <c:v>新疆</c:v>
                </c:pt>
                <c:pt idx="5">
                  <c:v>广东</c:v>
                </c:pt>
                <c:pt idx="6">
                  <c:v>陕西</c:v>
                </c:pt>
                <c:pt idx="7">
                  <c:v>广西</c:v>
                </c:pt>
                <c:pt idx="8">
                  <c:v>上海</c:v>
                </c:pt>
                <c:pt idx="9">
                  <c:v>江苏</c:v>
                </c:pt>
                <c:pt idx="10">
                  <c:v>重庆</c:v>
                </c:pt>
                <c:pt idx="11">
                  <c:v>河南</c:v>
                </c:pt>
                <c:pt idx="12">
                  <c:v>安徽</c:v>
                </c:pt>
                <c:pt idx="13">
                  <c:v>四川</c:v>
                </c:pt>
                <c:pt idx="14">
                  <c:v>山西</c:v>
                </c:pt>
                <c:pt idx="15">
                  <c:v>河北</c:v>
                </c:pt>
                <c:pt idx="16">
                  <c:v>北京</c:v>
                </c:pt>
                <c:pt idx="17">
                  <c:v>云南</c:v>
                </c:pt>
                <c:pt idx="18">
                  <c:v>贵州</c:v>
                </c:pt>
                <c:pt idx="19">
                  <c:v>甘肃</c:v>
                </c:pt>
                <c:pt idx="20">
                  <c:v>天津</c:v>
                </c:pt>
              </c:strCache>
            </c:strRef>
          </c:cat>
          <c:val>
            <c:numRef>
              <c:f>未就业!$H$29:$H$49</c:f>
              <c:numCache>
                <c:formatCode>0.00%</c:formatCode>
                <c:ptCount val="21"/>
                <c:pt idx="0">
                  <c:v>0.00833333333333333</c:v>
                </c:pt>
                <c:pt idx="1">
                  <c:v>0.00833333333333333</c:v>
                </c:pt>
                <c:pt idx="2">
                  <c:v>0.00833333333333333</c:v>
                </c:pt>
                <c:pt idx="3">
                  <c:v>0.00833333333333333</c:v>
                </c:pt>
                <c:pt idx="4">
                  <c:v>0.00833333333333333</c:v>
                </c:pt>
                <c:pt idx="5">
                  <c:v>0.0166666666666667</c:v>
                </c:pt>
                <c:pt idx="6">
                  <c:v>0.0166666666666667</c:v>
                </c:pt>
                <c:pt idx="7">
                  <c:v>0.0166666666666667</c:v>
                </c:pt>
                <c:pt idx="8">
                  <c:v>0.0166666666666667</c:v>
                </c:pt>
                <c:pt idx="9">
                  <c:v>0.025</c:v>
                </c:pt>
                <c:pt idx="10">
                  <c:v>0.025</c:v>
                </c:pt>
                <c:pt idx="11">
                  <c:v>0.025</c:v>
                </c:pt>
                <c:pt idx="12">
                  <c:v>0.0416666666666667</c:v>
                </c:pt>
                <c:pt idx="13">
                  <c:v>0.0416666666666667</c:v>
                </c:pt>
                <c:pt idx="14">
                  <c:v>0.0416666666666667</c:v>
                </c:pt>
                <c:pt idx="15">
                  <c:v>0.0416666666666667</c:v>
                </c:pt>
                <c:pt idx="16">
                  <c:v>0.05</c:v>
                </c:pt>
                <c:pt idx="17">
                  <c:v>0.0583333333333333</c:v>
                </c:pt>
                <c:pt idx="18">
                  <c:v>0.0666666666666667</c:v>
                </c:pt>
                <c:pt idx="19">
                  <c:v>0.0833333333333333</c:v>
                </c:pt>
                <c:pt idx="20">
                  <c:v>0.391666666666667</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056396632278"/>
          <c:y val="0.14076990376203"/>
          <c:w val="0.546153846153846"/>
          <c:h val="0.949832775919732"/>
        </c:manualLayout>
      </c:layout>
      <c:doughnutChart>
        <c:varyColors val="1"/>
        <c:ser>
          <c:idx val="1"/>
          <c:order val="1"/>
          <c:tx>
            <c:strRef>
              <c:f>结构!$V$1</c:f>
              <c:strCache>
                <c:ptCount val="1"/>
                <c:pt idx="0">
                  <c:v>比例</c:v>
                </c:pt>
              </c:strCache>
            </c:strRef>
          </c:tx>
          <c:spPr>
            <a:ln w="0">
              <a:noFill/>
            </a:ln>
          </c:spPr>
          <c:explosion val="0"/>
          <c:dPt>
            <c:idx val="0"/>
            <c:bubble3D val="0"/>
            <c:spPr>
              <a:solidFill>
                <a:srgbClr val="3960A7"/>
              </a:solidFill>
              <a:ln w="0">
                <a:solidFill>
                  <a:srgbClr val="3960A7"/>
                </a:solidFill>
              </a:ln>
              <a:effectLst/>
            </c:spPr>
          </c:dPt>
          <c:dPt>
            <c:idx val="1"/>
            <c:bubble3D val="0"/>
            <c:spPr>
              <a:solidFill>
                <a:srgbClr val="C6D4EC"/>
              </a:solidFill>
              <a:ln w="19050">
                <a:solidFill>
                  <a:schemeClr val="accent1">
                    <a:lumMod val="20000"/>
                    <a:lumOff val="80000"/>
                  </a:schemeClr>
                </a:solidFill>
              </a:ln>
              <a:effectLst/>
            </c:spPr>
          </c:dPt>
          <c:dLbls>
            <c:dLbl>
              <c:idx val="0"/>
              <c:layout>
                <c:manualLayout>
                  <c:x val="0.247028258523522"/>
                  <c:y val="-0.0146509115029101"/>
                </c:manualLayout>
              </c:layout>
              <c:tx>
                <c:rich>
                  <a:bodyPr rot="0" spcFirstLastPara="1" vertOverflow="ellipsis" vert="horz" wrap="square" lIns="38100" tIns="19050" rIns="38100" bIns="19050" anchor="ctr" anchorCtr="1"/>
                  <a:lstStyle/>
                  <a:p>
                    <a:fld id="{10c7b032-6563-40b4-bf06-b9941ba03a8a}" type="CATEGORYNAME">
                      <a:t>[CATEGORY NAME]</a:t>
                    </a:fld>
                    <a:r>
                      <a:t> </a:t>
                    </a:r>
                    <a:fld id="{2bb5b7f4-a067-4368-9dc5-206dbfa3bc34}"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235213749514607"/>
                  <c:y val="-0.0527191156043281"/>
                </c:manualLayout>
              </c:layout>
              <c:tx>
                <c:rich>
                  <a:bodyPr rot="0" spcFirstLastPara="1" vertOverflow="ellipsis" vert="horz" wrap="square" lIns="38100" tIns="19050" rIns="38100" bIns="19050" anchor="ctr" anchorCtr="1"/>
                  <a:lstStyle/>
                  <a:p>
                    <a:fld id="{efb39861-c98e-4013-b405-c5b0f4391672}" type="CATEGORYNAME">
                      <a:t>[CATEGORY NAME]</a:t>
                    </a:fld>
                    <a:r>
                      <a:t> </a:t>
                    </a:r>
                    <a:fld id="{efb45315-0e47-48f3-ab5e-ff23f01264d4}"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52514089292138"/>
                      <c:h val="0.269191308627182"/>
                    </c:manualLayout>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结构!$T$2:$T$3</c:f>
              <c:strCache>
                <c:ptCount val="2"/>
                <c:pt idx="0">
                  <c:v>汉族</c:v>
                </c:pt>
                <c:pt idx="1">
                  <c:v>少数民族</c:v>
                </c:pt>
              </c:strCache>
            </c:strRef>
          </c:cat>
          <c:val>
            <c:numRef>
              <c:f>结构!$V$2:$V$3</c:f>
              <c:numCache>
                <c:formatCode>0.00%</c:formatCode>
                <c:ptCount val="2"/>
                <c:pt idx="0">
                  <c:v>0.907170650361312</c:v>
                </c:pt>
                <c:pt idx="1">
                  <c:v>0.0928293496386882</c:v>
                </c:pt>
              </c:numCache>
            </c:numRef>
          </c:val>
        </c:ser>
        <c:dLbls>
          <c:showLegendKey val="0"/>
          <c:showVal val="1"/>
          <c:showCatName val="0"/>
          <c:showSerName val="0"/>
          <c:showPercent val="0"/>
          <c:showBubbleSize val="0"/>
          <c:showLeaderLines val="0"/>
        </c:dLbls>
        <c:firstSliceAng val="0"/>
        <c:holeSize val="55"/>
        <c:extLst>
          <c:ext xmlns:c15="http://schemas.microsoft.com/office/drawing/2012/chart" uri="{02D57815-91ED-43cb-92C2-25804820EDAC}">
            <c15:filteredPieSeries>
              <c15:ser>
                <c:idx val="0"/>
                <c:order val="0"/>
                <c:tx>
                  <c:strRef>
                    <c:extLst>
                      <c:ext uri="{02D57815-91ED-43cb-92C2-25804820EDAC}">
                        <c15:formulaRef>
                          <c15:sqref>结构!$U$1</c15:sqref>
                        </c15:formulaRef>
                      </c:ext>
                    </c:extLst>
                    <c:strCache>
                      <c:ptCount val="1"/>
                      <c:pt idx="0">
                        <c:v>人数</c:v>
                      </c:pt>
                    </c:strCache>
                  </c:strRef>
                </c:tx>
                <c:spPr>
                  <a:solidFill>
                    <a:srgbClr val="FF3300"/>
                  </a:solidFill>
                  <a:ln w="19050">
                    <a:noFill/>
                  </a:ln>
                </c:spPr>
                <c:explosion val="0"/>
                <c:dPt>
                  <c:idx val="0"/>
                  <c:bubble3D val="0"/>
                  <c:spPr>
                    <a:solidFill>
                      <a:srgbClr val="3960A7"/>
                    </a:solidFill>
                    <a:ln w="19050">
                      <a:solidFill>
                        <a:srgbClr val="3960A7"/>
                      </a:solidFill>
                    </a:ln>
                    <a:effectLst/>
                  </c:spPr>
                </c:dPt>
                <c:dPt>
                  <c:idx val="1"/>
                  <c:bubble3D val="0"/>
                  <c:spPr>
                    <a:solidFill>
                      <a:schemeClr val="accent1">
                        <a:lumMod val="20000"/>
                        <a:lumOff val="80000"/>
                      </a:schemeClr>
                    </a:solidFill>
                    <a:ln w="19050">
                      <a:solidFill>
                        <a:schemeClr val="accent1">
                          <a:lumMod val="20000"/>
                          <a:lumOff val="80000"/>
                        </a:schemeClr>
                      </a:solidFill>
                    </a:ln>
                    <a:effectLst/>
                  </c:spPr>
                </c:dPt>
                <c:dLbls>
                  <c:delete val="1"/>
                </c:dLbls>
                <c:cat>
                  <c:strRef>
                    <c:extLst>
                      <c:ext uri="{02D57815-91ED-43cb-92C2-25804820EDAC}">
                        <c15:fullRef>
                          <c15:sqref/>
                        </c15:fullRef>
                        <c15:formulaRef>
                          <c15:sqref>结构!$T$2:$T$3</c15:sqref>
                        </c15:formulaRef>
                      </c:ext>
                    </c:extLst>
                    <c:strCache>
                      <c:ptCount val="2"/>
                      <c:pt idx="0">
                        <c:v>汉族</c:v>
                      </c:pt>
                      <c:pt idx="1">
                        <c:v>少数民族</c:v>
                      </c:pt>
                    </c:strCache>
                  </c:strRef>
                </c:cat>
                <c:val>
                  <c:numRef>
                    <c:extLst>
                      <c:ext uri="{02D57815-91ED-43cb-92C2-25804820EDAC}">
                        <c15:formulaRef>
                          <c15:sqref>结构!$U$2:$U$3</c15:sqref>
                        </c15:formulaRef>
                      </c:ext>
                    </c:extLst>
                    <c:numCache>
                      <c:formatCode>General</c:formatCode>
                      <c:ptCount val="2"/>
                      <c:pt idx="0">
                        <c:v>1632</c:v>
                      </c:pt>
                      <c:pt idx="1">
                        <c:v>167</c:v>
                      </c:pt>
                    </c:numCache>
                  </c:numRef>
                </c:val>
              </c15:ser>
            </c15:filteredPieSeries>
          </c:ext>
        </c:extLst>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997419965361"/>
          <c:y val="0.057516339869281"/>
          <c:w val="0.782238827289446"/>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未就业!$G$1:$G$15</c:f>
              <c:strCache>
                <c:ptCount val="14"/>
                <c:pt idx="0">
                  <c:v>科研设计单位</c:v>
                </c:pt>
                <c:pt idx="1">
                  <c:v>部队</c:v>
                </c:pt>
                <c:pt idx="2">
                  <c:v>三资企业（中外合资经营企业、中外合作经营企业、外伤独资经营企业）</c:v>
                </c:pt>
                <c:pt idx="3">
                  <c:v>其他企业</c:v>
                </c:pt>
                <c:pt idx="4">
                  <c:v>高等教育单位</c:v>
                </c:pt>
                <c:pt idx="5">
                  <c:v>农村建制村</c:v>
                </c:pt>
                <c:pt idx="6">
                  <c:v>城镇社区</c:v>
                </c:pt>
                <c:pt idx="7">
                  <c:v>其他</c:v>
                </c:pt>
                <c:pt idx="8">
                  <c:v>民营企业</c:v>
                </c:pt>
                <c:pt idx="9">
                  <c:v>中初教育单位</c:v>
                </c:pt>
                <c:pt idx="10">
                  <c:v>国有企业</c:v>
                </c:pt>
                <c:pt idx="11">
                  <c:v>医疗卫生单位</c:v>
                </c:pt>
                <c:pt idx="12">
                  <c:v>其他事业单位</c:v>
                </c:pt>
                <c:pt idx="13">
                  <c:v>党政机关</c:v>
                </c:pt>
              </c:strCache>
            </c:strRef>
          </c:cat>
          <c:val>
            <c:numRef>
              <c:f>未就业!$I$1:$I$15</c:f>
              <c:numCache>
                <c:formatCode>0.00%</c:formatCode>
                <c:ptCount val="14"/>
                <c:pt idx="0">
                  <c:v>0.0333333333333333</c:v>
                </c:pt>
                <c:pt idx="1">
                  <c:v>0.0416666666666667</c:v>
                </c:pt>
                <c:pt idx="2">
                  <c:v>0.0583333333333333</c:v>
                </c:pt>
                <c:pt idx="3">
                  <c:v>0.0583333333333333</c:v>
                </c:pt>
                <c:pt idx="4">
                  <c:v>0.0666666666666667</c:v>
                </c:pt>
                <c:pt idx="5">
                  <c:v>0.0666666666666667</c:v>
                </c:pt>
                <c:pt idx="6">
                  <c:v>0.0916666666666667</c:v>
                </c:pt>
                <c:pt idx="7">
                  <c:v>0.116666666666667</c:v>
                </c:pt>
                <c:pt idx="8">
                  <c:v>0.133333333333333</c:v>
                </c:pt>
                <c:pt idx="9">
                  <c:v>0.216666666666667</c:v>
                </c:pt>
                <c:pt idx="10">
                  <c:v>0.283333333333333</c:v>
                </c:pt>
                <c:pt idx="11">
                  <c:v>0.283333333333333</c:v>
                </c:pt>
                <c:pt idx="12">
                  <c:v>0.291666666666667</c:v>
                </c:pt>
                <c:pt idx="13">
                  <c:v>0.308333333333333</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未就业!$G$1:$G$15</c15:sqref>
                        </c15:formulaRef>
                      </c:ext>
                    </c:extLst>
                    <c:strCache>
                      <c:ptCount val="14"/>
                      <c:pt idx="0">
                        <c:v>科研设计单位</c:v>
                      </c:pt>
                      <c:pt idx="1">
                        <c:v>部队</c:v>
                      </c:pt>
                      <c:pt idx="2">
                        <c:v>三资企业（中外合资经营企业、中外合作经营企业、外伤独资经营企业）</c:v>
                      </c:pt>
                      <c:pt idx="3">
                        <c:v>其他企业</c:v>
                      </c:pt>
                      <c:pt idx="4">
                        <c:v>高等教育单位</c:v>
                      </c:pt>
                      <c:pt idx="5">
                        <c:v>农村建制村</c:v>
                      </c:pt>
                      <c:pt idx="6">
                        <c:v>城镇社区</c:v>
                      </c:pt>
                      <c:pt idx="7">
                        <c:v>其他</c:v>
                      </c:pt>
                      <c:pt idx="8">
                        <c:v>民营企业</c:v>
                      </c:pt>
                      <c:pt idx="9">
                        <c:v>中初教育单位</c:v>
                      </c:pt>
                      <c:pt idx="10">
                        <c:v>国有企业</c:v>
                      </c:pt>
                      <c:pt idx="11">
                        <c:v>医疗卫生单位</c:v>
                      </c:pt>
                      <c:pt idx="12">
                        <c:v>其他事业单位</c:v>
                      </c:pt>
                      <c:pt idx="13">
                        <c:v>党政机关</c:v>
                      </c:pt>
                    </c:strCache>
                  </c:strRef>
                </c:cat>
                <c:val>
                  <c:numRef>
                    <c:extLst>
                      <c:ext uri="{02D57815-91ED-43cb-92C2-25804820EDAC}">
                        <c15:formulaRef>
                          <c15:sqref>未就业!$H$1:$H$15</c15:sqref>
                        </c15:formulaRef>
                      </c:ext>
                    </c:extLst>
                    <c:numCache>
                      <c:formatCode>General</c:formatCode>
                      <c:ptCount val="14"/>
                      <c:pt idx="0">
                        <c:v>4</c:v>
                      </c:pt>
                      <c:pt idx="1">
                        <c:v>5</c:v>
                      </c:pt>
                      <c:pt idx="2">
                        <c:v>7</c:v>
                      </c:pt>
                      <c:pt idx="3">
                        <c:v>7</c:v>
                      </c:pt>
                      <c:pt idx="4">
                        <c:v>8</c:v>
                      </c:pt>
                      <c:pt idx="5">
                        <c:v>8</c:v>
                      </c:pt>
                      <c:pt idx="6">
                        <c:v>11</c:v>
                      </c:pt>
                      <c:pt idx="7">
                        <c:v>14</c:v>
                      </c:pt>
                      <c:pt idx="8">
                        <c:v>16</c:v>
                      </c:pt>
                      <c:pt idx="9">
                        <c:v>26</c:v>
                      </c:pt>
                      <c:pt idx="10">
                        <c:v>34</c:v>
                      </c:pt>
                      <c:pt idx="11">
                        <c:v>34</c:v>
                      </c:pt>
                      <c:pt idx="12">
                        <c:v>35</c:v>
                      </c:pt>
                      <c:pt idx="13">
                        <c:v>37</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31228713473"/>
          <c:y val="0.057516339869281"/>
          <c:w val="0.73092382053911"/>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未就业!$T$23:$T$30</c:f>
              <c:strCache>
                <c:ptCount val="7"/>
                <c:pt idx="0">
                  <c:v>职业咨询</c:v>
                </c:pt>
                <c:pt idx="1">
                  <c:v>其他方面</c:v>
                </c:pt>
                <c:pt idx="2">
                  <c:v>求职心态的构建</c:v>
                </c:pt>
                <c:pt idx="3">
                  <c:v>职业生涯规划的能力</c:v>
                </c:pt>
                <c:pt idx="4">
                  <c:v>简历、面试等求职技能提升</c:v>
                </c:pt>
                <c:pt idx="5">
                  <c:v>更多实习实践经历</c:v>
                </c:pt>
                <c:pt idx="6">
                  <c:v>专业知识的提升</c:v>
                </c:pt>
              </c:strCache>
            </c:strRef>
          </c:cat>
          <c:val>
            <c:numRef>
              <c:f>未就业!$V$23:$V$30</c:f>
              <c:numCache>
                <c:formatCode>0.00%</c:formatCode>
                <c:ptCount val="7"/>
                <c:pt idx="0">
                  <c:v>0.108333333333333</c:v>
                </c:pt>
                <c:pt idx="1">
                  <c:v>0.15</c:v>
                </c:pt>
                <c:pt idx="2">
                  <c:v>0.208333333333333</c:v>
                </c:pt>
                <c:pt idx="3">
                  <c:v>0.341666666666667</c:v>
                </c:pt>
                <c:pt idx="4">
                  <c:v>0.441666666666667</c:v>
                </c:pt>
                <c:pt idx="5">
                  <c:v>0.525</c:v>
                </c:pt>
                <c:pt idx="6">
                  <c:v>0.575</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未就业!$T$23:$T$30</c15:sqref>
                        </c15:formulaRef>
                      </c:ext>
                    </c:extLst>
                    <c:strCache>
                      <c:ptCount val="7"/>
                      <c:pt idx="0">
                        <c:v>职业咨询</c:v>
                      </c:pt>
                      <c:pt idx="1">
                        <c:v>其他方面</c:v>
                      </c:pt>
                      <c:pt idx="2">
                        <c:v>求职心态的构建</c:v>
                      </c:pt>
                      <c:pt idx="3">
                        <c:v>职业生涯规划的能力</c:v>
                      </c:pt>
                      <c:pt idx="4">
                        <c:v>简历、面试等求职技能提升</c:v>
                      </c:pt>
                      <c:pt idx="5">
                        <c:v>更多实习实践经历</c:v>
                      </c:pt>
                      <c:pt idx="6">
                        <c:v>专业知识的提升</c:v>
                      </c:pt>
                    </c:strCache>
                  </c:strRef>
                </c:cat>
                <c:val>
                  <c:numRef>
                    <c:extLst>
                      <c:ext uri="{02D57815-91ED-43cb-92C2-25804820EDAC}">
                        <c15:formulaRef>
                          <c15:sqref>未就业!$U$23:$U$30</c15:sqref>
                        </c15:formulaRef>
                      </c:ext>
                    </c:extLst>
                    <c:numCache>
                      <c:formatCode>General</c:formatCode>
                      <c:ptCount val="7"/>
                      <c:pt idx="0">
                        <c:v>13</c:v>
                      </c:pt>
                      <c:pt idx="1">
                        <c:v>18</c:v>
                      </c:pt>
                      <c:pt idx="2">
                        <c:v>25</c:v>
                      </c:pt>
                      <c:pt idx="3">
                        <c:v>41</c:v>
                      </c:pt>
                      <c:pt idx="4">
                        <c:v>53</c:v>
                      </c:pt>
                      <c:pt idx="5">
                        <c:v>63</c:v>
                      </c:pt>
                      <c:pt idx="6">
                        <c:v>69</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997419965361"/>
          <c:y val="0.057516339869281"/>
          <c:w val="0.782238827289446"/>
          <c:h val="0.884967320261438"/>
        </c:manualLayout>
      </c:layout>
      <c:barChart>
        <c:barDir val="bar"/>
        <c:grouping val="clustered"/>
        <c:varyColors val="0"/>
        <c:ser>
          <c:idx val="1"/>
          <c:order val="1"/>
          <c:spPr>
            <a:solidFill>
              <a:srgbClr val="005099"/>
            </a:solidFill>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求职行为!$G$1:$G$8</c:f>
              <c:strCache>
                <c:ptCount val="7"/>
                <c:pt idx="0">
                  <c:v>其他</c:v>
                </c:pt>
                <c:pt idx="1">
                  <c:v>政府渠道</c:v>
                </c:pt>
                <c:pt idx="2">
                  <c:v>亲友渠道</c:v>
                </c:pt>
                <c:pt idx="3">
                  <c:v>校园渠道</c:v>
                </c:pt>
                <c:pt idx="4">
                  <c:v>新媒体</c:v>
                </c:pt>
                <c:pt idx="5">
                  <c:v>用人单位自设渠道</c:v>
                </c:pt>
                <c:pt idx="6">
                  <c:v>社会渠道</c:v>
                </c:pt>
              </c:strCache>
            </c:strRef>
          </c:cat>
          <c:val>
            <c:numRef>
              <c:f>求职行为!$I$1:$I$8</c:f>
              <c:numCache>
                <c:formatCode>0.00%</c:formatCode>
                <c:ptCount val="7"/>
                <c:pt idx="0">
                  <c:v>0.108843537414966</c:v>
                </c:pt>
                <c:pt idx="1">
                  <c:v>0.115646258503401</c:v>
                </c:pt>
                <c:pt idx="2">
                  <c:v>0.163265306122449</c:v>
                </c:pt>
                <c:pt idx="3">
                  <c:v>0.258503401360544</c:v>
                </c:pt>
                <c:pt idx="4">
                  <c:v>0.343537414965986</c:v>
                </c:pt>
                <c:pt idx="5">
                  <c:v>0.462585034013605</c:v>
                </c:pt>
                <c:pt idx="6">
                  <c:v>0.595238095238095</c:v>
                </c:pt>
              </c:numCache>
            </c:numRef>
          </c:val>
        </c:ser>
        <c:dLbls>
          <c:showLegendKey val="0"/>
          <c:showVal val="1"/>
          <c:showCatName val="0"/>
          <c:showSerName val="0"/>
          <c:showPercent val="0"/>
          <c:showBubbleSize val="0"/>
        </c:dLbls>
        <c:gapWidth val="182"/>
        <c:axId val="1323049791"/>
        <c:axId val="1"/>
        <c:extLst>
          <c:ext xmlns:c15="http://schemas.microsoft.com/office/drawing/2012/chart" uri="{02D57815-91ED-43cb-92C2-25804820EDAC}">
            <c15:filteredBarSeries>
              <c15: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求职行为!$G$1:$G$8</c15:sqref>
                        </c15:formulaRef>
                      </c:ext>
                    </c:extLst>
                    <c:strCache>
                      <c:ptCount val="7"/>
                      <c:pt idx="0">
                        <c:v>其他</c:v>
                      </c:pt>
                      <c:pt idx="1">
                        <c:v>政府渠道</c:v>
                      </c:pt>
                      <c:pt idx="2">
                        <c:v>亲友渠道</c:v>
                      </c:pt>
                      <c:pt idx="3">
                        <c:v>校园渠道</c:v>
                      </c:pt>
                      <c:pt idx="4">
                        <c:v>新媒体</c:v>
                      </c:pt>
                      <c:pt idx="5">
                        <c:v>用人单位自设渠道</c:v>
                      </c:pt>
                      <c:pt idx="6">
                        <c:v>社会渠道</c:v>
                      </c:pt>
                    </c:strCache>
                  </c:strRef>
                </c:cat>
                <c:val>
                  <c:numRef>
                    <c:extLst>
                      <c:ext uri="{02D57815-91ED-43cb-92C2-25804820EDAC}">
                        <c15:formulaRef>
                          <c15:sqref>求职行为!$H$1:$H$8</c15:sqref>
                        </c15:formulaRef>
                      </c:ext>
                    </c:extLst>
                    <c:numCache>
                      <c:formatCode>General</c:formatCode>
                      <c:ptCount val="7"/>
                      <c:pt idx="0">
                        <c:v>32</c:v>
                      </c:pt>
                      <c:pt idx="1">
                        <c:v>34</c:v>
                      </c:pt>
                      <c:pt idx="2">
                        <c:v>48</c:v>
                      </c:pt>
                      <c:pt idx="3">
                        <c:v>76</c:v>
                      </c:pt>
                      <c:pt idx="4">
                        <c:v>101</c:v>
                      </c:pt>
                      <c:pt idx="5">
                        <c:v>136</c:v>
                      </c:pt>
                      <c:pt idx="6">
                        <c:v>175</c:v>
                      </c:pt>
                    </c:numCache>
                  </c:numRef>
                </c:val>
              </c15:ser>
            </c15:filteredBarSeries>
          </c:ext>
        </c:extLst>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94327941150213"/>
          <c:y val="0.073202614379085"/>
          <c:w val="0.913994149484489"/>
          <c:h val="0.808067585301837"/>
        </c:manualLayout>
      </c:layout>
      <c:barChart>
        <c:barDir val="col"/>
        <c:grouping val="clustered"/>
        <c:varyColors val="0"/>
        <c: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求职行为!$H$31:$H$33</c:f>
              <c:strCache>
                <c:ptCount val="3"/>
                <c:pt idx="0">
                  <c:v>投放简历数</c:v>
                </c:pt>
                <c:pt idx="1">
                  <c:v>收到面试机会数</c:v>
                </c:pt>
                <c:pt idx="2">
                  <c:v>收到offer数</c:v>
                </c:pt>
              </c:strCache>
            </c:strRef>
          </c:cat>
          <c:val>
            <c:numRef>
              <c:f>求职行为!$I$31:$I$33</c:f>
              <c:numCache>
                <c:formatCode>0.00</c:formatCode>
                <c:ptCount val="3"/>
                <c:pt idx="0">
                  <c:v>14.6190476190476</c:v>
                </c:pt>
                <c:pt idx="1">
                  <c:v>4.36054421768707</c:v>
                </c:pt>
                <c:pt idx="2">
                  <c:v>2.98979591836735</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347358240512"/>
          <c:y val="0.186737371689273"/>
          <c:w val="0.933484552418172"/>
          <c:h val="0.753487897346165"/>
        </c:manualLayout>
      </c:layout>
      <c:radarChart>
        <c:radarStyle val="marker"/>
        <c:varyColors val="0"/>
        <c:ser>
          <c:idx val="1"/>
          <c:order val="0"/>
          <c:spPr>
            <a:ln w="28575" cap="rnd" cmpd="sng" algn="ctr">
              <a:solidFill>
                <a:srgbClr val="005099"/>
              </a:solidFill>
              <a:prstDash val="solid"/>
              <a:round/>
            </a:ln>
            <a:effectLst/>
          </c:spPr>
          <c:marker>
            <c:symbol val="circle"/>
            <c:size val="8"/>
            <c:spPr>
              <a:solidFill>
                <a:srgbClr val="005099"/>
              </a:solidFill>
              <a:ln w="9525" cap="flat" cmpd="sng" algn="ctr">
                <a:solidFill>
                  <a:srgbClr val="FFFFFF"/>
                </a:solidFill>
                <a:prstDash val="solid"/>
                <a:round/>
              </a:ln>
            </c:spPr>
          </c:marker>
          <c:dLbls>
            <c:dLbl>
              <c:idx val="0"/>
              <c:layout/>
              <c:tx>
                <c:rich>
                  <a:bodyPr rot="0" spcFirstLastPara="0" vertOverflow="ellipsis" vert="horz" wrap="square" lIns="38100" tIns="19050" rIns="38100" bIns="19050" anchor="ctr" anchorCtr="1"/>
                  <a:lstStyle/>
                  <a:p>
                    <a:fld id="{a10f506e-fe77-4e8a-962d-1a4ba5bb4383}" type="CATEGORYNAME">
                      <a:t>[CATEGORY NAME]</a:t>
                    </a:fld>
                    <a:r>
                      <a:t> </a:t>
                    </a:r>
                    <a:fld id="{b25d6b56-1a5f-4ea0-afd5-5e5a54a826cb}"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0944244604316547"/>
                  <c:y val="0.048760666395774"/>
                </c:manualLayout>
              </c:layout>
              <c:numFmt formatCode="General" sourceLinked="1"/>
              <c:spPr>
                <a:noFill/>
                <a:ln w="25400">
                  <a:noFill/>
                </a:ln>
                <a:effectLst/>
              </c:spPr>
              <c:txPr>
                <a:bodyPr rot="0" spcFirstLastPara="0"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20323741007194"/>
                      <c:h val="0.0617839876882517"/>
                    </c:manualLayout>
                  </c15:layout>
                </c:ext>
              </c:extLst>
            </c:dLbl>
            <c:dLbl>
              <c:idx val="2"/>
              <c:layout>
                <c:manualLayout>
                  <c:x val="0.0555555555555555"/>
                  <c:y val="0.00919540229885057"/>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796912470023981"/>
                  <c:y val="-0.0137931034482759"/>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22257194244604"/>
                      <c:h val="0.117838277123121"/>
                    </c:manualLayout>
                  </c15:layout>
                </c:ext>
              </c:extLst>
            </c:dLbl>
            <c:dLbl>
              <c:idx val="4"/>
              <c:layout>
                <c:manualLayout>
                  <c:x val="0.116107035631337"/>
                  <c:y val="-0.0371048194351569"/>
                </c:manualLayout>
              </c:layout>
              <c:numFmt formatCode="General" sourceLinked="1"/>
              <c:spPr>
                <a:noFill/>
                <a:ln w="25400">
                  <a:noFill/>
                </a:ln>
                <a:effectLst/>
              </c:spPr>
              <c:txPr>
                <a:bodyPr rot="0" spcFirstLastPara="0"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46223021582734"/>
                      <c:h val="0.0690776107273466"/>
                    </c:manualLayout>
                  </c15:layout>
                </c:ext>
              </c:extLst>
            </c:dLbl>
            <c:dLbl>
              <c:idx val="5"/>
              <c:layout>
                <c:manualLayout>
                  <c:x val="0.0897781184501217"/>
                  <c:y val="-0.0381734587118097"/>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0871310825355464"/>
                  <c:y val="-0.00160295891497919"/>
                </c:manualLayout>
              </c:layout>
              <c:tx>
                <c:rich>
                  <a:bodyPr rot="0" spcFirstLastPara="0" vertOverflow="ellipsis" vert="horz" wrap="square" lIns="38100" tIns="19050" rIns="38100" bIns="19050" anchor="ctr" anchorCtr="1">
                    <a:spAutoFit/>
                  </a:bodyPr>
                  <a:lstStyle/>
                  <a:p>
                    <a:fld id="{f70b4b9c-7280-487c-9e76-cd0a6949dc35}" type="CATEGORYNAME">
                      <a:t>[CATEGORY NAME]</a:t>
                    </a:fld>
                    <a:r>
                      <a:t> </a:t>
                    </a:r>
                    <a:fld id="{ce964425-d931-4a26-b5f7-c9a41ccf878a}"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101838568515267"/>
                  <c:y val="-0.040205153144967"/>
                </c:manualLayout>
              </c:layout>
              <c:numFmt formatCode="General" sourceLinked="1"/>
              <c:spPr>
                <a:noFill/>
                <a:ln w="25400">
                  <a:noFill/>
                </a:ln>
                <a:effectLst/>
              </c:spPr>
              <c:txPr>
                <a:bodyPr rot="0" spcFirstLastPara="0"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65287769784173"/>
                      <c:h val="0.0568874441284031"/>
                    </c:manualLayout>
                  </c15:layout>
                </c:ext>
              </c:extLst>
            </c:dLbl>
            <c:dLbl>
              <c:idx val="8"/>
              <c:layout>
                <c:manualLayout>
                  <c:x val="-0.0583333333333334"/>
                  <c:y val="0"/>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9"/>
              <c:layout>
                <c:manualLayout>
                  <c:x val="-0.0876798561151079"/>
                  <c:y val="0.0203169443315725"/>
                </c:manualLayout>
              </c:layout>
              <c:numFmt formatCode="General" sourceLinked="1"/>
              <c:spPr>
                <a:noFill/>
                <a:ln w="25400">
                  <a:noFill/>
                </a:ln>
                <a:effectLst/>
              </c:spPr>
              <c:txPr>
                <a:bodyPr rot="0" spcFirstLastPara="0"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6978417266187"/>
                      <c:h val="0.0495938210893082"/>
                    </c:manualLayout>
                  </c15:layout>
                </c:ext>
              </c:extLst>
            </c:dLbl>
            <c:dLbl>
              <c:idx val="10"/>
              <c:layout>
                <c:manualLayout>
                  <c:x val="-0.0696942446043166"/>
                  <c:y val="0.04876066639577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求职择业影响因素!$P$3:$Z$3</c:f>
              <c:strCache>
                <c:ptCount val="11"/>
                <c:pt idx="0">
                  <c:v>学历层次高</c:v>
                </c:pt>
                <c:pt idx="1">
                  <c:v>专业相关能力强</c:v>
                </c:pt>
                <c:pt idx="2">
                  <c:v>母校声誉高</c:v>
                </c:pt>
                <c:pt idx="3">
                  <c:v>实践/实习经验丰富</c:v>
                </c:pt>
                <c:pt idx="4">
                  <c:v>资格证书、获奖经历多</c:v>
                </c:pt>
                <c:pt idx="5">
                  <c:v>学生干部经历</c:v>
                </c:pt>
                <c:pt idx="6">
                  <c:v>形象气质好</c:v>
                </c:pt>
                <c:pt idx="7">
                  <c:v>掌握充分的就业信息</c:v>
                </c:pt>
                <c:pt idx="8">
                  <c:v>掌握求职技巧</c:v>
                </c:pt>
                <c:pt idx="9">
                  <c:v>师长、亲友推荐</c:v>
                </c:pt>
                <c:pt idx="10">
                  <c:v>人脉关系广</c:v>
                </c:pt>
              </c:strCache>
            </c:strRef>
          </c:cat>
          <c:val>
            <c:numRef>
              <c:f>求职择业影响因素!$P$4:$Z$4</c:f>
              <c:numCache>
                <c:formatCode>0.00</c:formatCode>
                <c:ptCount val="11"/>
                <c:pt idx="0">
                  <c:v>3.93197278911565</c:v>
                </c:pt>
                <c:pt idx="1">
                  <c:v>4.02721088435374</c:v>
                </c:pt>
                <c:pt idx="2">
                  <c:v>3.26190476190476</c:v>
                </c:pt>
                <c:pt idx="3">
                  <c:v>3.93197278911565</c:v>
                </c:pt>
                <c:pt idx="4">
                  <c:v>3.56802721088435</c:v>
                </c:pt>
                <c:pt idx="5">
                  <c:v>3.28231292517007</c:v>
                </c:pt>
                <c:pt idx="6">
                  <c:v>3.82993197278912</c:v>
                </c:pt>
                <c:pt idx="7">
                  <c:v>3.79251700680272</c:v>
                </c:pt>
                <c:pt idx="8">
                  <c:v>3.87755102040816</c:v>
                </c:pt>
                <c:pt idx="9">
                  <c:v>3.27210884353742</c:v>
                </c:pt>
                <c:pt idx="10">
                  <c:v>3.33333333333333</c:v>
                </c:pt>
              </c:numCache>
            </c:numRef>
          </c:val>
        </c:ser>
        <c:dLbls>
          <c:showLegendKey val="0"/>
          <c:showVal val="0"/>
          <c:showCatName val="0"/>
          <c:showSerName val="0"/>
          <c:showPercent val="0"/>
          <c:showBubbleSize val="0"/>
        </c:dLbls>
        <c:axId val="1310353759"/>
        <c:axId val="1"/>
      </c:radarChart>
      <c:catAx>
        <c:axId val="1310353759"/>
        <c:scaling>
          <c:orientation val="minMax"/>
        </c:scaling>
        <c:delete val="0"/>
        <c:axPos val="b"/>
        <c:majorGridlines>
          <c:spPr>
            <a:ln w="9525" cap="flat" cmpd="sng" algn="ctr">
              <a:solidFill>
                <a:schemeClr val="bg1">
                  <a:lumMod val="95000"/>
                </a:schemeClr>
              </a:solidFill>
              <a:prstDash val="solid"/>
              <a:round/>
            </a:ln>
          </c:spPr>
        </c:majorGridlines>
        <c:numFmt formatCode="General" sourceLinked="0"/>
        <c:majorTickMark val="out"/>
        <c:minorTickMark val="none"/>
        <c:tickLblPos val="none"/>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
        <c:crosses val="autoZero"/>
        <c:auto val="0"/>
        <c:lblAlgn val="ctr"/>
        <c:lblOffset val="100"/>
        <c:noMultiLvlLbl val="0"/>
      </c:catAx>
      <c:valAx>
        <c:axId val="1"/>
        <c:scaling>
          <c:orientation val="minMax"/>
          <c:min val="0"/>
        </c:scaling>
        <c:delete val="0"/>
        <c:axPos val="l"/>
        <c:majorGridlines>
          <c:spPr>
            <a:ln w="9525" cap="flat" cmpd="sng" algn="ctr">
              <a:solidFill>
                <a:schemeClr val="bg1">
                  <a:lumMod val="95000"/>
                </a:schemeClr>
              </a:solidFill>
              <a:prstDash val="solid"/>
              <a:round/>
            </a:ln>
          </c:spPr>
        </c:majorGridlines>
        <c:numFmt formatCode="0.00" sourceLinked="1"/>
        <c:majorTickMark val="none"/>
        <c:minorTickMark val="none"/>
        <c:tickLblPos val="none"/>
        <c:spPr>
          <a:ln w="9525" cap="flat" cmpd="sng" algn="ctr">
            <a:solidFill>
              <a:schemeClr val="bg1">
                <a:lumMod val="9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10353759"/>
        <c:crosses val="autoZero"/>
        <c:crossBetween val="between"/>
      </c:valAx>
      <c:spPr>
        <a:noFill/>
        <a:ln w="25400">
          <a:noFill/>
        </a:ln>
      </c:spPr>
    </c:plotArea>
    <c:plotVisOnly val="1"/>
    <c:dispBlanksAs val="gap"/>
    <c:showDLblsOverMax val="0"/>
  </c:chart>
  <c:spPr>
    <a:ln w="9525" cap="flat" cmpd="sng" algn="ctr">
      <a:no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母校评价!$I$1</c:f>
              <c:strCache>
                <c:ptCount val="1"/>
                <c:pt idx="0">
                  <c:v>计数项:您对母校总体满意吗？</c:v>
                </c:pt>
              </c:strCache>
            </c:strRef>
          </c:tx>
          <c:explosion val="0"/>
          <c:dPt>
            <c:idx val="0"/>
            <c:bubble3D val="0"/>
            <c:spPr>
              <a:solidFill>
                <a:srgbClr val="005099"/>
              </a:solidFill>
              <a:ln w="19050">
                <a:solidFill>
                  <a:schemeClr val="lt1"/>
                </a:solidFill>
              </a:ln>
              <a:effectLst/>
            </c:spPr>
          </c:dPt>
          <c:dPt>
            <c:idx val="1"/>
            <c:bubble3D val="0"/>
            <c:spPr>
              <a:solidFill>
                <a:schemeClr val="accent1">
                  <a:lumMod val="60000"/>
                  <a:lumOff val="40000"/>
                </a:schemeClr>
              </a:solidFill>
              <a:ln w="19050">
                <a:solidFill>
                  <a:schemeClr val="lt1"/>
                </a:solidFill>
              </a:ln>
              <a:effectLst/>
            </c:spPr>
          </c:dPt>
          <c:dPt>
            <c:idx val="2"/>
            <c:bubble3D val="0"/>
            <c:spPr>
              <a:solidFill>
                <a:schemeClr val="tx2">
                  <a:lumMod val="40000"/>
                  <a:lumOff val="60000"/>
                </a:schemeClr>
              </a:solidFill>
              <a:ln w="19050">
                <a:solidFill>
                  <a:schemeClr val="lt1"/>
                </a:solidFill>
              </a:ln>
              <a:effectLst/>
            </c:spPr>
          </c:dPt>
          <c:dPt>
            <c:idx val="3"/>
            <c:bubble3D val="0"/>
            <c:spPr>
              <a:solidFill>
                <a:schemeClr val="accent1">
                  <a:lumMod val="20000"/>
                  <a:lumOff val="80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Lbls>
            <c:dLbl>
              <c:idx val="0"/>
              <c:layout>
                <c:manualLayout>
                  <c:x val="-0.0938922042734576"/>
                  <c:y val="-0.117086909749694"/>
                </c:manualLayout>
              </c:layout>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1617498910667"/>
                  <c:y val="-0.022391515748013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52876188010576"/>
                  <c:y val="-0.0410418983350689"/>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8904962281769"/>
                  <c:y val="-0.0022004533223855"/>
                </c:manualLayout>
              </c:layout>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42783105678174"/>
                  <c:y val="-0.0470541748345355"/>
                </c:manualLayout>
              </c:layout>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母校评价!$H$2:$H$6</c:f>
              <c:strCache>
                <c:ptCount val="5"/>
                <c:pt idx="0">
                  <c:v>非常满意</c:v>
                </c:pt>
                <c:pt idx="1">
                  <c:v>满意</c:v>
                </c:pt>
                <c:pt idx="2">
                  <c:v>一般</c:v>
                </c:pt>
                <c:pt idx="3">
                  <c:v>不太满意</c:v>
                </c:pt>
                <c:pt idx="4">
                  <c:v>很不满意</c:v>
                </c:pt>
              </c:strCache>
            </c:strRef>
          </c:cat>
          <c:val>
            <c:numRef>
              <c:f>母校评价!$I$2:$I$6</c:f>
              <c:numCache>
                <c:formatCode>0.00%</c:formatCode>
                <c:ptCount val="5"/>
                <c:pt idx="0">
                  <c:v>0.176029962546816</c:v>
                </c:pt>
                <c:pt idx="1">
                  <c:v>0.52059925093633</c:v>
                </c:pt>
                <c:pt idx="2">
                  <c:v>0.260299625468165</c:v>
                </c:pt>
                <c:pt idx="3">
                  <c:v>0.0355805243445693</c:v>
                </c:pt>
                <c:pt idx="4">
                  <c:v>0.00749063670411985</c:v>
                </c:pt>
              </c:numCache>
            </c:numRef>
          </c:val>
        </c:ser>
        <c:dLbls>
          <c:showLegendKey val="0"/>
          <c:showVal val="0"/>
          <c:showCatName val="0"/>
          <c:showSerName val="0"/>
          <c:showPercent val="0"/>
          <c:showBubbleSize val="0"/>
          <c:showLeaderLines val="0"/>
        </c:dLbls>
        <c:firstSliceAng val="291"/>
        <c:holeSize val="50"/>
      </c:doughnutChart>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母校评价!$I$19</c:f>
              <c:strCache>
                <c:ptCount val="1"/>
                <c:pt idx="0">
                  <c:v>计数项:您愿意向社会推荐您的母校吗？</c:v>
                </c:pt>
              </c:strCache>
            </c:strRef>
          </c:tx>
          <c:explosion val="0"/>
          <c:dPt>
            <c:idx val="0"/>
            <c:bubble3D val="0"/>
            <c:spPr>
              <a:solidFill>
                <a:srgbClr val="005099"/>
              </a:solidFill>
              <a:ln w="19050">
                <a:solidFill>
                  <a:schemeClr val="lt1"/>
                </a:solidFill>
              </a:ln>
              <a:effectLst/>
            </c:spPr>
          </c:dPt>
          <c:dPt>
            <c:idx val="1"/>
            <c:bubble3D val="0"/>
            <c:spPr>
              <a:solidFill>
                <a:schemeClr val="accent1">
                  <a:lumMod val="60000"/>
                  <a:lumOff val="40000"/>
                </a:schemeClr>
              </a:solidFill>
              <a:ln w="19050">
                <a:solidFill>
                  <a:schemeClr val="lt1"/>
                </a:solidFill>
              </a:ln>
              <a:effectLst/>
            </c:spPr>
          </c:dPt>
          <c:dPt>
            <c:idx val="2"/>
            <c:bubble3D val="0"/>
            <c:spPr>
              <a:solidFill>
                <a:schemeClr val="tx2">
                  <a:lumMod val="40000"/>
                  <a:lumOff val="60000"/>
                </a:schemeClr>
              </a:solidFill>
              <a:ln w="19050">
                <a:solidFill>
                  <a:schemeClr val="lt1"/>
                </a:solidFill>
              </a:ln>
              <a:effectLst/>
            </c:spPr>
          </c:dPt>
          <c:dPt>
            <c:idx val="3"/>
            <c:bubble3D val="0"/>
            <c:spPr>
              <a:solidFill>
                <a:schemeClr val="accent1">
                  <a:lumMod val="20000"/>
                  <a:lumOff val="80000"/>
                </a:schemeClr>
              </a:solidFill>
              <a:ln w="19050">
                <a:solidFill>
                  <a:schemeClr val="lt1"/>
                </a:solidFill>
              </a:ln>
              <a:effectLst/>
            </c:spPr>
          </c:dPt>
          <c:dPt>
            <c:idx val="4"/>
            <c:bubble3D val="0"/>
            <c:spPr>
              <a:solidFill>
                <a:schemeClr val="bg1">
                  <a:lumMod val="95000"/>
                </a:schemeClr>
              </a:solidFill>
              <a:ln w="19050">
                <a:solidFill>
                  <a:schemeClr val="lt1"/>
                </a:solidFill>
              </a:ln>
              <a:effectLst/>
            </c:spPr>
          </c:dPt>
          <c:dLbls>
            <c:dLbl>
              <c:idx val="0"/>
              <c:layout>
                <c:manualLayout>
                  <c:x val="-0.0938922042734576"/>
                  <c:y val="-0.117086909749694"/>
                </c:manualLayout>
              </c:layout>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1617498910667"/>
                  <c:y val="-0.022391515748013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52876188010576"/>
                  <c:y val="-0.0410418983350689"/>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8904962281769"/>
                  <c:y val="-0.0022004533223855"/>
                </c:manualLayout>
              </c:layout>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42783105678174"/>
                  <c:y val="-0.0470541748345355"/>
                </c:manualLayout>
              </c:layout>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母校评价!$H$20:$H$24</c:f>
              <c:strCache>
                <c:ptCount val="5"/>
                <c:pt idx="0">
                  <c:v>非常愿意</c:v>
                </c:pt>
                <c:pt idx="1">
                  <c:v>愿意</c:v>
                </c:pt>
                <c:pt idx="2">
                  <c:v>一般</c:v>
                </c:pt>
                <c:pt idx="3">
                  <c:v>不太愿意</c:v>
                </c:pt>
                <c:pt idx="4">
                  <c:v>很不愿意</c:v>
                </c:pt>
              </c:strCache>
            </c:strRef>
          </c:cat>
          <c:val>
            <c:numRef>
              <c:f>母校评价!$I$20:$I$24</c:f>
              <c:numCache>
                <c:formatCode>0.00%</c:formatCode>
                <c:ptCount val="5"/>
                <c:pt idx="0">
                  <c:v>0.183520599250936</c:v>
                </c:pt>
                <c:pt idx="1">
                  <c:v>0.468164794007491</c:v>
                </c:pt>
                <c:pt idx="2">
                  <c:v>0.284644194756554</c:v>
                </c:pt>
                <c:pt idx="3">
                  <c:v>0.0468164794007491</c:v>
                </c:pt>
                <c:pt idx="4">
                  <c:v>0.0168539325842697</c:v>
                </c:pt>
              </c:numCache>
            </c:numRef>
          </c:val>
        </c:ser>
        <c:dLbls>
          <c:showLegendKey val="0"/>
          <c:showVal val="0"/>
          <c:showCatName val="0"/>
          <c:showSerName val="0"/>
          <c:showPercent val="0"/>
          <c:showBubbleSize val="0"/>
          <c:showLeaderLines val="0"/>
        </c:dLbls>
        <c:firstSliceAng val="291"/>
        <c:holeSize val="50"/>
      </c:doughnutChart>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1111111111111"/>
          <c:y val="0.0601851851851852"/>
          <c:w val="0.938888888888889"/>
          <c:h val="0.800972951644603"/>
        </c:manualLayout>
      </c:layout>
      <c:barChart>
        <c:barDir val="col"/>
        <c:grouping val="clustered"/>
        <c:varyColors val="0"/>
        <c:ser>
          <c:idx val="0"/>
          <c:order val="0"/>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母校评价!$D$30:$D$33</c:f>
              <c:strCache>
                <c:ptCount val="4"/>
                <c:pt idx="0">
                  <c:v>教育教学</c:v>
                </c:pt>
                <c:pt idx="1">
                  <c:v>学生工作</c:v>
                </c:pt>
                <c:pt idx="2">
                  <c:v>社团活动</c:v>
                </c:pt>
                <c:pt idx="3">
                  <c:v>生活服务</c:v>
                </c:pt>
              </c:strCache>
            </c:strRef>
          </c:cat>
          <c:val>
            <c:numRef>
              <c:f>母校评价!$E$30:$E$33</c:f>
              <c:numCache>
                <c:formatCode>0.00</c:formatCode>
                <c:ptCount val="4"/>
                <c:pt idx="0">
                  <c:v>3.87453183520599</c:v>
                </c:pt>
                <c:pt idx="1">
                  <c:v>3.62172284644195</c:v>
                </c:pt>
                <c:pt idx="2">
                  <c:v>3.51498127340824</c:v>
                </c:pt>
                <c:pt idx="3">
                  <c:v>3.75093632958801</c:v>
                </c:pt>
              </c:numCache>
            </c:numRef>
          </c:val>
        </c:ser>
        <c:dLbls>
          <c:showLegendKey val="0"/>
          <c:showVal val="0"/>
          <c:showCatName val="0"/>
          <c:showSerName val="0"/>
          <c:showPercent val="0"/>
          <c:showBubbleSize val="0"/>
        </c:dLbls>
        <c:gapWidth val="219"/>
        <c:overlap val="-27"/>
        <c:axId val="1323051455"/>
        <c:axId val="1"/>
      </c:barChart>
      <c:catAx>
        <c:axId val="132305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51455"/>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221566054243"/>
          <c:y val="0.200205378368108"/>
          <c:w val="0.933484552418172"/>
          <c:h val="0.753487897346165"/>
        </c:manualLayout>
      </c:layout>
      <c:radarChart>
        <c:radarStyle val="marker"/>
        <c:varyColors val="0"/>
        <c:ser>
          <c:idx val="1"/>
          <c:order val="0"/>
          <c:tx>
            <c:strRef>
              <c:f>教育教学!$I$61</c:f>
              <c:strCache>
                <c:ptCount val="1"/>
                <c:pt idx="0">
                  <c:v>重要性</c:v>
                </c:pt>
              </c:strCache>
            </c:strRef>
          </c:tx>
          <c:spPr>
            <a:ln w="19050" cap="rnd" cmpd="sng" algn="ctr">
              <a:solidFill>
                <a:srgbClr val="005099"/>
              </a:solidFill>
              <a:prstDash val="dash"/>
              <a:round/>
            </a:ln>
            <a:effectLst/>
          </c:spPr>
          <c:marker>
            <c:symbol val="circle"/>
            <c:size val="8"/>
            <c:spPr>
              <a:solidFill>
                <a:srgbClr val="005099"/>
              </a:solidFill>
              <a:ln w="6350" cap="flat" cmpd="sng" algn="ctr">
                <a:solidFill>
                  <a:srgbClr val="005099"/>
                </a:solidFill>
                <a:prstDash val="solid"/>
                <a:round/>
              </a:ln>
              <a:effectLst/>
            </c:spPr>
          </c:marker>
          <c:dLbls>
            <c:dLbl>
              <c:idx val="1"/>
              <c:layout>
                <c:manualLayout>
                  <c:x val="0.046342135792968"/>
                  <c:y val="0.017957243438206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456816559600286"/>
                  <c:y val="0.0044893378226709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182171601090696"/>
                  <c:y val="-0.0118367356572516"/>
                </c:manualLayout>
              </c:layout>
              <c:tx>
                <c:rich>
                  <a:bodyPr rot="0" spcFirstLastPara="0" vertOverflow="ellipsis" vert="horz" wrap="square" lIns="38100" tIns="19050" rIns="38100" bIns="19050" anchor="ctr" anchorCtr="1"/>
                  <a:lstStyle/>
                  <a:p>
                    <a:fld id="{7592cacc-6085-4f7b-94b5-f46a4b436ad6}" type="CATEGORYNAME">
                      <a:t>[CATEGORY NAME]</a:t>
                    </a:fld>
                    <a:r>
                      <a:t> </a:t>
                    </a:r>
                    <a:fld id="{42b35daa-4e7a-47e4-b7e3-1a3602e2f37b}"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ext>
            </c:extLst>
          </c:dLbls>
          <c:cat>
            <c:strRef>
              <c:f>教育教学!$J$60:$N$60</c:f>
              <c:strCache>
                <c:ptCount val="5"/>
                <c:pt idx="0">
                  <c:v>教学态度</c:v>
                </c:pt>
                <c:pt idx="1">
                  <c:v>教学内容</c:v>
                </c:pt>
                <c:pt idx="2">
                  <c:v>教学方法、方式</c:v>
                </c:pt>
                <c:pt idx="3">
                  <c:v>师生互动</c:v>
                </c:pt>
                <c:pt idx="4">
                  <c:v>专业知识能力</c:v>
                </c:pt>
              </c:strCache>
            </c:strRef>
          </c:cat>
          <c:val>
            <c:numRef>
              <c:f>教育教学!$J$61:$N$61</c:f>
              <c:numCache>
                <c:formatCode>0.00</c:formatCode>
                <c:ptCount val="5"/>
                <c:pt idx="0">
                  <c:v>4.04119850187266</c:v>
                </c:pt>
                <c:pt idx="1">
                  <c:v>3.97378277153558</c:v>
                </c:pt>
                <c:pt idx="2">
                  <c:v>3.96816479400749</c:v>
                </c:pt>
                <c:pt idx="3">
                  <c:v>3.97752808988764</c:v>
                </c:pt>
                <c:pt idx="4">
                  <c:v>3.97752808988764</c:v>
                </c:pt>
              </c:numCache>
            </c:numRef>
          </c:val>
        </c:ser>
        <c:ser>
          <c:idx val="0"/>
          <c:order val="1"/>
          <c:tx>
            <c:strRef>
              <c:f>教育教学!$I$62</c:f>
              <c:strCache>
                <c:ptCount val="1"/>
                <c:pt idx="0">
                  <c:v>满意度</c:v>
                </c:pt>
              </c:strCache>
            </c:strRef>
          </c:tx>
          <c:spPr>
            <a:ln w="19050" cap="rnd" cmpd="sng" algn="ctr">
              <a:solidFill>
                <a:srgbClr val="005099"/>
              </a:solidFill>
              <a:prstDash val="solid"/>
              <a:round/>
            </a:ln>
            <a:effectLst/>
          </c:spPr>
          <c:marker>
            <c:symbol val="diamond"/>
            <c:size val="5"/>
            <c:spPr>
              <a:solidFill>
                <a:srgbClr val="005099"/>
              </a:solidFill>
              <a:ln w="6350" cap="flat" cmpd="sng" algn="ctr">
                <a:solidFill>
                  <a:srgbClr val="005099"/>
                </a:solidFill>
                <a:prstDash val="solid"/>
                <a:round/>
              </a:ln>
              <a:effectLst/>
            </c:spPr>
          </c:marker>
          <c:dLbls>
            <c:dLbl>
              <c:idx val="0"/>
              <c:layout>
                <c:manualLayout>
                  <c:x val="-1.0185067526416e-16"/>
                  <c:y val="0.1436588103254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33333333333333"/>
                  <c:y val="0.0269360269360269"/>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88888888888889"/>
                  <c:y val="-0.1077441077441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72222222222222"/>
                  <c:y val="-0.09427609427609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78130181645447"/>
                  <c:y val="0.0301736447940786"/>
                </c:manualLayout>
              </c:layout>
              <c:tx>
                <c:rich>
                  <a:bodyPr rot="0" spcFirstLastPara="0" vertOverflow="ellipsis" vert="horz" wrap="square" lIns="38100" tIns="19050" rIns="38100" bIns="19050" anchor="ctr" anchorCtr="1"/>
                  <a:lstStyle/>
                  <a:p>
                    <a:fld id="{d8fb02ec-702b-453e-a260-0b1658baaa2c}"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教育教学!$J$60:$N$60</c:f>
              <c:strCache>
                <c:ptCount val="5"/>
                <c:pt idx="0">
                  <c:v>教学态度</c:v>
                </c:pt>
                <c:pt idx="1">
                  <c:v>教学内容</c:v>
                </c:pt>
                <c:pt idx="2">
                  <c:v>教学方法、方式</c:v>
                </c:pt>
                <c:pt idx="3">
                  <c:v>师生互动</c:v>
                </c:pt>
                <c:pt idx="4">
                  <c:v>专业知识能力</c:v>
                </c:pt>
              </c:strCache>
            </c:strRef>
          </c:cat>
          <c:val>
            <c:numRef>
              <c:f>教育教学!$J$62:$N$62</c:f>
              <c:numCache>
                <c:formatCode>0.00</c:formatCode>
                <c:ptCount val="5"/>
                <c:pt idx="0">
                  <c:v>4.03370786516854</c:v>
                </c:pt>
                <c:pt idx="1">
                  <c:v>3.95692883895131</c:v>
                </c:pt>
                <c:pt idx="2">
                  <c:v>3.92134831460674</c:v>
                </c:pt>
                <c:pt idx="3">
                  <c:v>3.9250936329588</c:v>
                </c:pt>
                <c:pt idx="4">
                  <c:v>3.95505617977528</c:v>
                </c:pt>
              </c:numCache>
            </c:numRef>
          </c:val>
        </c:ser>
        <c:dLbls>
          <c:showLegendKey val="0"/>
          <c:showVal val="0"/>
          <c:showCatName val="0"/>
          <c:showSerName val="0"/>
          <c:showPercent val="0"/>
          <c:showBubbleSize val="0"/>
        </c:dLbls>
        <c:axId val="1323056863"/>
        <c:axId val="1"/>
      </c:radarChart>
      <c:catAx>
        <c:axId val="1323056863"/>
        <c:scaling>
          <c:orientation val="minMax"/>
        </c:scaling>
        <c:delete val="0"/>
        <c:axPos val="b"/>
        <c:majorGridlines>
          <c:spPr>
            <a:ln w="6350" cap="flat" cmpd="sng" algn="ctr">
              <a:solidFill>
                <a:schemeClr val="bg1">
                  <a:lumMod val="95000"/>
                </a:schemeClr>
              </a:solidFill>
              <a:prstDash val="solid"/>
              <a:round/>
            </a:ln>
            <a:effectLst/>
          </c:spPr>
        </c:majorGridlines>
        <c:numFmt formatCode="General" sourceLinked="0"/>
        <c:majorTickMark val="out"/>
        <c:minorTickMark val="none"/>
        <c:tickLblPos val="none"/>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0"/>
        <c:lblAlgn val="ctr"/>
        <c:lblOffset val="100"/>
        <c:noMultiLvlLbl val="0"/>
      </c:catAx>
      <c:valAx>
        <c:axId val="1"/>
        <c:scaling>
          <c:orientation val="minMax"/>
          <c:min val="3.7"/>
        </c:scaling>
        <c:delete val="0"/>
        <c:axPos val="l"/>
        <c:majorGridlines>
          <c:spPr>
            <a:ln w="6350" cap="flat" cmpd="sng" algn="ctr">
              <a:solidFill>
                <a:schemeClr val="bg1">
                  <a:lumMod val="95000"/>
                </a:schemeClr>
              </a:solidFill>
              <a:prstDash val="solid"/>
              <a:round/>
            </a:ln>
            <a:effectLst/>
          </c:spPr>
        </c:majorGridlines>
        <c:numFmt formatCode="0.00" sourceLinked="1"/>
        <c:majorTickMark val="none"/>
        <c:minorTickMark val="none"/>
        <c:tickLblPos val="none"/>
        <c:spPr>
          <a:noFill/>
          <a:ln w="6350" cap="flat" cmpd="sng" algn="ctr">
            <a:solidFill>
              <a:schemeClr val="bg1">
                <a:lumMod val="9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56863"/>
        <c:crosses val="autoZero"/>
        <c:crossBetween val="between"/>
      </c:valAx>
      <c:spPr>
        <a:noFill/>
        <a:ln w="25400">
          <a:noFill/>
        </a:ln>
      </c:spPr>
    </c:plotArea>
    <c:legend>
      <c:legendPos val="r"/>
      <c:layout>
        <c:manualLayout>
          <c:xMode val="edge"/>
          <c:yMode val="edge"/>
          <c:x val="0.291229577585733"/>
          <c:y val="0.0235698114820626"/>
          <c:w val="0.421854608708745"/>
          <c:h val="0.0808107822242146"/>
        </c:manualLayout>
      </c:layout>
      <c:overlay val="0"/>
      <c:spPr>
        <a:noFill/>
        <a:ln w="25400">
          <a:noFill/>
        </a:ln>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6350"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2213087483206"/>
          <c:y val="0.146854321890277"/>
          <c:w val="0.452595189050918"/>
          <c:h val="0.798285385371422"/>
        </c:manualLayout>
      </c:layout>
      <c:radarChart>
        <c:radarStyle val="marker"/>
        <c:varyColors val="0"/>
        <c:ser>
          <c:idx val="1"/>
          <c:order val="0"/>
          <c:tx>
            <c:strRef>
              <c:f>教育教学!$Q$61</c:f>
              <c:strCache>
                <c:ptCount val="1"/>
                <c:pt idx="0">
                  <c:v>重要性</c:v>
                </c:pt>
              </c:strCache>
            </c:strRef>
          </c:tx>
          <c:spPr>
            <a:ln w="19050" cap="rnd" cmpd="sng" algn="ctr">
              <a:solidFill>
                <a:srgbClr val="005099"/>
              </a:solidFill>
              <a:prstDash val="dash"/>
              <a:round/>
            </a:ln>
            <a:effectLst/>
          </c:spPr>
          <c:marker>
            <c:symbol val="circle"/>
            <c:size val="8"/>
            <c:spPr>
              <a:solidFill>
                <a:srgbClr val="005099"/>
              </a:solidFill>
              <a:ln w="6350" cap="flat" cmpd="sng" algn="ctr">
                <a:solidFill>
                  <a:srgbClr val="005099"/>
                </a:solidFill>
                <a:prstDash val="solid"/>
                <a:round/>
              </a:ln>
              <a:effectLst/>
            </c:spPr>
          </c:marker>
          <c:dLbls>
            <c:dLbl>
              <c:idx val="0"/>
              <c:layout>
                <c:manualLayout>
                  <c:x val="0.00705363801099989"/>
                  <c:y val="0.127972720649658"/>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0735696295895856"/>
                  <c:y val="0.0307544310974382"/>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0.0715449948051158"/>
                  <c:y val="-0.00404205700865628"/>
                </c:manualLayout>
              </c:layout>
              <c:tx>
                <c:rich>
                  <a:bodyPr rot="0" spcFirstLastPara="0" vertOverflow="ellipsis" vert="horz" wrap="square" lIns="38100" tIns="19050" rIns="38100" bIns="19050" anchor="ctr" anchorCtr="1"/>
                  <a:lstStyle/>
                  <a:p>
                    <a:fld id="{9d1815c7-7651-4f94-a5c3-7c3b5973f3c6}"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0540778914176665"/>
                  <c:y val="-0.106643933874715"/>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0805338474651706"/>
                  <c:y val="0.0265551792508188"/>
                </c:manualLayout>
              </c:layout>
              <c:tx>
                <c:rich>
                  <a:bodyPr rot="0" spcFirstLastPara="0" vertOverflow="ellipsis" vert="horz" wrap="square" lIns="38100" tIns="19050" rIns="38100" bIns="19050" anchor="ctr" anchorCtr="1"/>
                  <a:lstStyle/>
                  <a:p>
                    <a:fld id="{e041f644-a71c-4764-8dcd-9a197d358c60}"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ext>
            </c:extLst>
          </c:dLbls>
          <c:cat>
            <c:strRef>
              <c:f>教育教学!$R$60:$V$60</c:f>
              <c:strCache>
                <c:ptCount val="5"/>
                <c:pt idx="0">
                  <c:v>课程的实践性教学</c:v>
                </c:pt>
                <c:pt idx="1">
                  <c:v>毕业论文/毕业设计</c:v>
                </c:pt>
                <c:pt idx="2">
                  <c:v>专业见习/实习/实训</c:v>
                </c:pt>
                <c:pt idx="3">
                  <c:v>学科竞赛活动</c:v>
                </c:pt>
                <c:pt idx="4">
                  <c:v>实验/社会调查活动</c:v>
                </c:pt>
              </c:strCache>
            </c:strRef>
          </c:cat>
          <c:val>
            <c:numRef>
              <c:f>教育教学!$R$61:$V$61</c:f>
              <c:numCache>
                <c:formatCode>0.00</c:formatCode>
                <c:ptCount val="5"/>
                <c:pt idx="0">
                  <c:v>3.79588014981273</c:v>
                </c:pt>
                <c:pt idx="1">
                  <c:v>3.7940074906367</c:v>
                </c:pt>
                <c:pt idx="2">
                  <c:v>3.76029962546816</c:v>
                </c:pt>
                <c:pt idx="3">
                  <c:v>3.65543071161049</c:v>
                </c:pt>
                <c:pt idx="4">
                  <c:v>3.67415730337079</c:v>
                </c:pt>
              </c:numCache>
            </c:numRef>
          </c:val>
        </c:ser>
        <c:ser>
          <c:idx val="0"/>
          <c:order val="1"/>
          <c:tx>
            <c:strRef>
              <c:f>教育教学!$Q$62</c:f>
              <c:strCache>
                <c:ptCount val="1"/>
                <c:pt idx="0">
                  <c:v>满意度</c:v>
                </c:pt>
              </c:strCache>
            </c:strRef>
          </c:tx>
          <c:spPr>
            <a:ln w="19050" cap="rnd" cmpd="sng" algn="ctr">
              <a:solidFill>
                <a:srgbClr val="005099"/>
              </a:solidFill>
              <a:prstDash val="solid"/>
              <a:round/>
            </a:ln>
            <a:effectLst/>
          </c:spPr>
          <c:marker>
            <c:symbol val="diamond"/>
            <c:size val="5"/>
            <c:spPr>
              <a:solidFill>
                <a:srgbClr val="005099"/>
              </a:solidFill>
              <a:ln w="6350" cap="flat" cmpd="sng" algn="ctr">
                <a:solidFill>
                  <a:srgbClr val="005099"/>
                </a:solidFill>
                <a:prstDash val="solid"/>
                <a:round/>
              </a:ln>
              <a:effectLst/>
            </c:spPr>
          </c:marker>
          <c:dLbls>
            <c:dLbl>
              <c:idx val="0"/>
              <c:layout>
                <c:manualLayout>
                  <c:x val="-0.00470242534066673"/>
                  <c:y val="0.0199519883971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342273618949515"/>
                  <c:y val="0.0098730450151602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271328090807906"/>
                  <c:y val="-0.124806991274007"/>
                </c:manualLayout>
              </c:layout>
              <c:tx>
                <c:rich>
                  <a:bodyPr rot="0" spcFirstLastPara="0" vertOverflow="ellipsis" vert="horz" wrap="square" lIns="38100" tIns="19050" rIns="38100" bIns="19050" anchor="ctr" anchorCtr="1"/>
                  <a:lstStyle/>
                  <a:p>
                    <a:fld id="{d4d069a7-4727-4724-a6c1-44a80515d0d9}" type="CATEGORYNAME">
                      <a:t>[CATEGORY NAME]</a:t>
                    </a:fld>
                    <a:r>
                      <a:t> </a:t>
                    </a:r>
                    <a:fld id="{9148ce2c-a2a1-42d2-94ea-441f56a80d25}"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632848329380087"/>
                  <c:y val="0.00383615864183644"/>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370791792157243"/>
                  <c:y val="-0.00395237533827967"/>
                </c:manualLayout>
              </c:layout>
              <c:tx>
                <c:rich>
                  <a:bodyPr rot="0" spcFirstLastPara="0" vertOverflow="ellipsis" vert="horz" wrap="square" lIns="38100" tIns="19050" rIns="38100" bIns="19050" anchor="ctr" anchorCtr="1"/>
                  <a:lstStyle/>
                  <a:p>
                    <a:fld id="{dfe2db4e-88cf-4adb-85c5-df2cc8089427}" type="CATEGORYNAME">
                      <a:t>[CATEGORY NAME]</a:t>
                    </a:fld>
                    <a:r>
                      <a:t> </a:t>
                    </a:r>
                    <a:fld id="{e8ee3dc6-7530-41cb-8d9a-ef54df01869c}"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教育教学!$R$60:$V$60</c:f>
              <c:strCache>
                <c:ptCount val="5"/>
                <c:pt idx="0">
                  <c:v>课程的实践性教学</c:v>
                </c:pt>
                <c:pt idx="1">
                  <c:v>毕业论文/毕业设计</c:v>
                </c:pt>
                <c:pt idx="2">
                  <c:v>专业见习/实习/实训</c:v>
                </c:pt>
                <c:pt idx="3">
                  <c:v>学科竞赛活动</c:v>
                </c:pt>
                <c:pt idx="4">
                  <c:v>实验/社会调查活动</c:v>
                </c:pt>
              </c:strCache>
            </c:strRef>
          </c:cat>
          <c:val>
            <c:numRef>
              <c:f>教育教学!$R$62:$V$62</c:f>
              <c:numCache>
                <c:formatCode>0.00</c:formatCode>
                <c:ptCount val="5"/>
                <c:pt idx="0">
                  <c:v>3.85393258426966</c:v>
                </c:pt>
                <c:pt idx="1">
                  <c:v>3.91573033707865</c:v>
                </c:pt>
                <c:pt idx="2">
                  <c:v>3.7434456928839</c:v>
                </c:pt>
                <c:pt idx="3">
                  <c:v>3.65730337078652</c:v>
                </c:pt>
                <c:pt idx="4">
                  <c:v>3.69475655430712</c:v>
                </c:pt>
              </c:numCache>
            </c:numRef>
          </c:val>
        </c:ser>
        <c:dLbls>
          <c:showLegendKey val="0"/>
          <c:showVal val="0"/>
          <c:showCatName val="0"/>
          <c:showSerName val="0"/>
          <c:showPercent val="0"/>
          <c:showBubbleSize val="0"/>
        </c:dLbls>
        <c:axId val="1323056863"/>
        <c:axId val="1"/>
      </c:radarChart>
      <c:catAx>
        <c:axId val="1323056863"/>
        <c:scaling>
          <c:orientation val="minMax"/>
        </c:scaling>
        <c:delete val="0"/>
        <c:axPos val="b"/>
        <c:majorGridlines>
          <c:spPr>
            <a:ln w="6350" cap="flat" cmpd="sng" algn="ctr">
              <a:solidFill>
                <a:schemeClr val="bg1">
                  <a:lumMod val="95000"/>
                </a:schemeClr>
              </a:solidFill>
              <a:prstDash val="solid"/>
              <a:round/>
            </a:ln>
            <a:effectLst/>
          </c:spPr>
        </c:majorGridlines>
        <c:numFmt formatCode="General" sourceLinked="0"/>
        <c:majorTickMark val="out"/>
        <c:minorTickMark val="none"/>
        <c:tickLblPos val="none"/>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0"/>
        <c:lblAlgn val="ctr"/>
        <c:lblOffset val="100"/>
        <c:noMultiLvlLbl val="0"/>
      </c:catAx>
      <c:valAx>
        <c:axId val="1"/>
        <c:scaling>
          <c:orientation val="minMax"/>
          <c:min val="3.5"/>
        </c:scaling>
        <c:delete val="0"/>
        <c:axPos val="l"/>
        <c:majorGridlines>
          <c:spPr>
            <a:ln w="6350" cap="flat" cmpd="sng" algn="ctr">
              <a:solidFill>
                <a:schemeClr val="bg1">
                  <a:lumMod val="95000"/>
                </a:schemeClr>
              </a:solidFill>
              <a:prstDash val="solid"/>
              <a:round/>
            </a:ln>
            <a:effectLst/>
          </c:spPr>
        </c:majorGridlines>
        <c:numFmt formatCode="0.00" sourceLinked="1"/>
        <c:majorTickMark val="none"/>
        <c:minorTickMark val="none"/>
        <c:tickLblPos val="none"/>
        <c:spPr>
          <a:noFill/>
          <a:ln w="6350" cap="flat" cmpd="sng" algn="ctr">
            <a:solidFill>
              <a:schemeClr val="bg1">
                <a:lumMod val="9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56863"/>
        <c:crosses val="autoZero"/>
        <c:crossBetween val="between"/>
      </c:valAx>
      <c:spPr>
        <a:noFill/>
        <a:ln w="25400">
          <a:noFill/>
        </a:ln>
      </c:spPr>
    </c:plotArea>
    <c:legend>
      <c:legendPos val="r"/>
      <c:layout>
        <c:manualLayout>
          <c:xMode val="edge"/>
          <c:yMode val="edge"/>
          <c:x val="0.291229577585733"/>
          <c:y val="0.0235698114820626"/>
          <c:w val="0.421854608708745"/>
          <c:h val="0.0808107822242146"/>
        </c:manualLayout>
      </c:layout>
      <c:overlay val="0"/>
      <c:spPr>
        <a:noFill/>
        <a:ln w="25400">
          <a:noFill/>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6350"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856588992366"/>
          <c:y val="0.0402930402930403"/>
          <c:w val="0.768143411007634"/>
          <c:h val="0.919413919413919"/>
        </c:manualLayout>
      </c:layout>
      <c:barChart>
        <c:barDir val="bar"/>
        <c:grouping val="stacked"/>
        <c:varyColors val="0"/>
        <c:ser>
          <c:idx val="0"/>
          <c:order val="0"/>
          <c:tx>
            <c:strRef>
              <c:f>结构!$Z$10</c:f>
              <c:strCache>
                <c:ptCount val="1"/>
                <c:pt idx="0">
                  <c:v>人数</c:v>
                </c:pt>
              </c:strCache>
            </c:strRef>
          </c:tx>
          <c:spPr>
            <a:solidFill>
              <a:srgbClr val="3960A7"/>
            </a:solidFill>
            <a:ln>
              <a:noFill/>
            </a:ln>
            <a:effectLst/>
          </c:spPr>
          <c:invertIfNegative val="0"/>
          <c:dLbls>
            <c:dLbl>
              <c:idx val="0"/>
              <c:layout>
                <c:manualLayout>
                  <c:x val="0.0666666666666667"/>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2222222222222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6111111111111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94444444444444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44444444444444"/>
                  <c:y val="-7.61975126664538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38888888888889"/>
                  <c:y val="-7.61975126664538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58333333333333"/>
                  <c:y val="-3.80987563332269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22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322222222222222"/>
                  <c:y val="0.0041562759767248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37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结构!$Y$11:$Y$20</c:f>
              <c:strCache>
                <c:ptCount val="10"/>
                <c:pt idx="0">
                  <c:v>侗族</c:v>
                </c:pt>
                <c:pt idx="1">
                  <c:v>维吾尔族</c:v>
                </c:pt>
                <c:pt idx="2">
                  <c:v>苗族</c:v>
                </c:pt>
                <c:pt idx="3">
                  <c:v>布依族</c:v>
                </c:pt>
                <c:pt idx="4">
                  <c:v>彝族</c:v>
                </c:pt>
                <c:pt idx="5">
                  <c:v>土家族</c:v>
                </c:pt>
                <c:pt idx="6">
                  <c:v>壮族</c:v>
                </c:pt>
                <c:pt idx="7">
                  <c:v>蒙古族</c:v>
                </c:pt>
                <c:pt idx="8">
                  <c:v>满族</c:v>
                </c:pt>
                <c:pt idx="9">
                  <c:v>回族</c:v>
                </c:pt>
              </c:strCache>
            </c:strRef>
          </c:cat>
          <c:val>
            <c:numRef>
              <c:f>结构!$Z$11:$Z$20</c:f>
              <c:numCache>
                <c:formatCode>General</c:formatCode>
                <c:ptCount val="10"/>
                <c:pt idx="0">
                  <c:v>5</c:v>
                </c:pt>
                <c:pt idx="1">
                  <c:v>6</c:v>
                </c:pt>
                <c:pt idx="2">
                  <c:v>7</c:v>
                </c:pt>
                <c:pt idx="3">
                  <c:v>8</c:v>
                </c:pt>
                <c:pt idx="4">
                  <c:v>8</c:v>
                </c:pt>
                <c:pt idx="5">
                  <c:v>12</c:v>
                </c:pt>
                <c:pt idx="6">
                  <c:v>14</c:v>
                </c:pt>
                <c:pt idx="7">
                  <c:v>20</c:v>
                </c:pt>
                <c:pt idx="8">
                  <c:v>30</c:v>
                </c:pt>
                <c:pt idx="9">
                  <c:v>35</c:v>
                </c:pt>
              </c:numCache>
            </c:numRef>
          </c:val>
        </c:ser>
        <c:dLbls>
          <c:showLegendKey val="0"/>
          <c:showVal val="1"/>
          <c:showCatName val="0"/>
          <c:showSerName val="0"/>
          <c:showPercent val="0"/>
          <c:showBubbleSize val="0"/>
        </c:dLbls>
        <c:gapWidth val="150"/>
        <c:overlap val="100"/>
        <c:axId val="672683784"/>
        <c:axId val="672682800"/>
      </c:barChart>
      <c:catAx>
        <c:axId val="67268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72682800"/>
        <c:crosses val="autoZero"/>
        <c:auto val="1"/>
        <c:lblAlgn val="ctr"/>
        <c:lblOffset val="100"/>
        <c:noMultiLvlLbl val="0"/>
      </c:catAx>
      <c:valAx>
        <c:axId val="67268280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72683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221566054243"/>
          <c:y val="0.200205378368108"/>
          <c:w val="0.933484552418172"/>
          <c:h val="0.753487897346165"/>
        </c:manualLayout>
      </c:layout>
      <c:radarChart>
        <c:radarStyle val="marker"/>
        <c:varyColors val="0"/>
        <c:ser>
          <c:idx val="1"/>
          <c:order val="0"/>
          <c:tx>
            <c:strRef>
              <c:f>教育教学!$I$61</c:f>
              <c:strCache>
                <c:ptCount val="1"/>
                <c:pt idx="0">
                  <c:v>重要性</c:v>
                </c:pt>
              </c:strCache>
            </c:strRef>
          </c:tx>
          <c:spPr>
            <a:ln w="19050" cap="rnd" cmpd="sng" algn="ctr">
              <a:solidFill>
                <a:srgbClr val="005099"/>
              </a:solidFill>
              <a:prstDash val="dash"/>
              <a:round/>
            </a:ln>
            <a:effectLst/>
          </c:spPr>
          <c:marker>
            <c:symbol val="circle"/>
            <c:size val="8"/>
            <c:spPr>
              <a:solidFill>
                <a:srgbClr val="005099"/>
              </a:solidFill>
              <a:ln w="6350" cap="flat" cmpd="sng" algn="ctr">
                <a:solidFill>
                  <a:srgbClr val="005099"/>
                </a:solidFill>
                <a:prstDash val="solid"/>
                <a:round/>
              </a:ln>
              <a:effectLst/>
            </c:spPr>
          </c:marker>
          <c:dLbls>
            <c:dLbl>
              <c:idx val="1"/>
              <c:layout>
                <c:manualLayout>
                  <c:x val="0.046342135792968"/>
                  <c:y val="0.017957243438206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456816559600286"/>
                  <c:y val="0.0044893378226709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182171601090696"/>
                  <c:y val="-0.0118367356572516"/>
                </c:manualLayout>
              </c:layout>
              <c:tx>
                <c:rich>
                  <a:bodyPr rot="0" spcFirstLastPara="0" vertOverflow="ellipsis" vert="horz" wrap="square" lIns="38100" tIns="19050" rIns="38100" bIns="19050" anchor="ctr" anchorCtr="1"/>
                  <a:lstStyle/>
                  <a:p>
                    <a:fld id="{83f4f226-75be-4471-aa1e-8d4202f89e56}" type="CATEGORYNAME">
                      <a:t>[CATEGORY NAME]</a:t>
                    </a:fld>
                    <a:r>
                      <a:t> </a:t>
                    </a:r>
                    <a:fld id="{05b93896-9195-4f41-9c4a-962aebd7c7fe}"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ext>
            </c:extLst>
          </c:dLbls>
          <c:cat>
            <c:strRef>
              <c:f>教育教学!$J$60:$N$60</c:f>
              <c:strCache>
                <c:ptCount val="5"/>
                <c:pt idx="0">
                  <c:v>教学态度</c:v>
                </c:pt>
                <c:pt idx="1">
                  <c:v>教学内容</c:v>
                </c:pt>
                <c:pt idx="2">
                  <c:v>教学方法、方式</c:v>
                </c:pt>
                <c:pt idx="3">
                  <c:v>师生互动</c:v>
                </c:pt>
                <c:pt idx="4">
                  <c:v>专业知识能力</c:v>
                </c:pt>
              </c:strCache>
            </c:strRef>
          </c:cat>
          <c:val>
            <c:numRef>
              <c:f>教育教学!$J$61:$N$61</c:f>
              <c:numCache>
                <c:formatCode>0.00</c:formatCode>
                <c:ptCount val="5"/>
                <c:pt idx="0">
                  <c:v>4.04119850187266</c:v>
                </c:pt>
                <c:pt idx="1">
                  <c:v>3.97378277153558</c:v>
                </c:pt>
                <c:pt idx="2">
                  <c:v>3.96816479400749</c:v>
                </c:pt>
                <c:pt idx="3">
                  <c:v>3.97752808988764</c:v>
                </c:pt>
                <c:pt idx="4">
                  <c:v>3.97752808988764</c:v>
                </c:pt>
              </c:numCache>
            </c:numRef>
          </c:val>
        </c:ser>
        <c:ser>
          <c:idx val="0"/>
          <c:order val="1"/>
          <c:tx>
            <c:strRef>
              <c:f>教育教学!$I$62</c:f>
              <c:strCache>
                <c:ptCount val="1"/>
                <c:pt idx="0">
                  <c:v>满意度</c:v>
                </c:pt>
              </c:strCache>
            </c:strRef>
          </c:tx>
          <c:spPr>
            <a:ln w="19050" cap="rnd" cmpd="sng" algn="ctr">
              <a:solidFill>
                <a:srgbClr val="005099"/>
              </a:solidFill>
              <a:prstDash val="solid"/>
              <a:round/>
            </a:ln>
            <a:effectLst/>
          </c:spPr>
          <c:marker>
            <c:symbol val="diamond"/>
            <c:size val="5"/>
            <c:spPr>
              <a:solidFill>
                <a:srgbClr val="005099"/>
              </a:solidFill>
              <a:ln w="6350" cap="flat" cmpd="sng" algn="ctr">
                <a:solidFill>
                  <a:srgbClr val="005099"/>
                </a:solidFill>
                <a:prstDash val="solid"/>
                <a:round/>
              </a:ln>
              <a:effectLst/>
            </c:spPr>
          </c:marker>
          <c:dLbls>
            <c:dLbl>
              <c:idx val="0"/>
              <c:layout>
                <c:manualLayout>
                  <c:x val="-1.0185067526416e-16"/>
                  <c:y val="0.1436588103254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33333333333333"/>
                  <c:y val="0.0269360269360269"/>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88888888888889"/>
                  <c:y val="-0.10774410774410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72222222222222"/>
                  <c:y val="-0.09427609427609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78130181645447"/>
                  <c:y val="0.0301736447940786"/>
                </c:manualLayout>
              </c:layout>
              <c:tx>
                <c:rich>
                  <a:bodyPr rot="0" spcFirstLastPara="0" vertOverflow="ellipsis" vert="horz" wrap="square" lIns="38100" tIns="19050" rIns="38100" bIns="19050" anchor="ctr" anchorCtr="1"/>
                  <a:lstStyle/>
                  <a:p>
                    <a:fld id="{13563e2a-c414-4895-8408-42307e3c5630}"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教育教学!$J$60:$N$60</c:f>
              <c:strCache>
                <c:ptCount val="5"/>
                <c:pt idx="0">
                  <c:v>教学态度</c:v>
                </c:pt>
                <c:pt idx="1">
                  <c:v>教学内容</c:v>
                </c:pt>
                <c:pt idx="2">
                  <c:v>教学方法、方式</c:v>
                </c:pt>
                <c:pt idx="3">
                  <c:v>师生互动</c:v>
                </c:pt>
                <c:pt idx="4">
                  <c:v>专业知识能力</c:v>
                </c:pt>
              </c:strCache>
            </c:strRef>
          </c:cat>
          <c:val>
            <c:numRef>
              <c:f>教育教学!$J$62:$N$62</c:f>
              <c:numCache>
                <c:formatCode>0.00</c:formatCode>
                <c:ptCount val="5"/>
                <c:pt idx="0">
                  <c:v>4.03370786516854</c:v>
                </c:pt>
                <c:pt idx="1">
                  <c:v>3.95692883895131</c:v>
                </c:pt>
                <c:pt idx="2">
                  <c:v>3.92134831460674</c:v>
                </c:pt>
                <c:pt idx="3">
                  <c:v>3.9250936329588</c:v>
                </c:pt>
                <c:pt idx="4">
                  <c:v>3.95505617977528</c:v>
                </c:pt>
              </c:numCache>
            </c:numRef>
          </c:val>
        </c:ser>
        <c:dLbls>
          <c:showLegendKey val="0"/>
          <c:showVal val="0"/>
          <c:showCatName val="0"/>
          <c:showSerName val="0"/>
          <c:showPercent val="0"/>
          <c:showBubbleSize val="0"/>
        </c:dLbls>
        <c:axId val="1323056863"/>
        <c:axId val="1"/>
      </c:radarChart>
      <c:catAx>
        <c:axId val="1323056863"/>
        <c:scaling>
          <c:orientation val="minMax"/>
        </c:scaling>
        <c:delete val="0"/>
        <c:axPos val="b"/>
        <c:majorGridlines>
          <c:spPr>
            <a:ln w="6350" cap="flat" cmpd="sng" algn="ctr">
              <a:solidFill>
                <a:schemeClr val="bg1">
                  <a:lumMod val="95000"/>
                </a:schemeClr>
              </a:solidFill>
              <a:prstDash val="solid"/>
              <a:round/>
            </a:ln>
            <a:effectLst/>
          </c:spPr>
        </c:majorGridlines>
        <c:numFmt formatCode="General" sourceLinked="0"/>
        <c:majorTickMark val="out"/>
        <c:minorTickMark val="none"/>
        <c:tickLblPos val="none"/>
        <c:txPr>
          <a:bodyPr rot="0" spcFirstLastPara="0" vertOverflow="ellipsis" vert="horz" wrap="square"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crossAx val="1"/>
        <c:crosses val="autoZero"/>
        <c:auto val="0"/>
        <c:lblAlgn val="ctr"/>
        <c:lblOffset val="100"/>
        <c:noMultiLvlLbl val="0"/>
      </c:catAx>
      <c:valAx>
        <c:axId val="1"/>
        <c:scaling>
          <c:orientation val="minMax"/>
          <c:min val="3.7"/>
        </c:scaling>
        <c:delete val="0"/>
        <c:axPos val="l"/>
        <c:majorGridlines>
          <c:spPr>
            <a:ln w="6350" cap="flat" cmpd="sng" algn="ctr">
              <a:solidFill>
                <a:schemeClr val="bg1">
                  <a:lumMod val="95000"/>
                </a:schemeClr>
              </a:solidFill>
              <a:prstDash val="solid"/>
              <a:round/>
            </a:ln>
            <a:effectLst/>
          </c:spPr>
        </c:majorGridlines>
        <c:numFmt formatCode="0.00" sourceLinked="1"/>
        <c:majorTickMark val="none"/>
        <c:minorTickMark val="none"/>
        <c:tickLblPos val="none"/>
        <c:spPr>
          <a:noFill/>
          <a:ln w="6350" cap="flat" cmpd="sng" algn="ctr">
            <a:solidFill>
              <a:schemeClr val="bg1">
                <a:lumMod val="9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crossAx val="1323056863"/>
        <c:crosses val="autoZero"/>
        <c:crossBetween val="between"/>
      </c:valAx>
      <c:spPr>
        <a:noFill/>
        <a:ln w="25400">
          <a:noFill/>
        </a:ln>
      </c:spPr>
    </c:plotArea>
    <c:legend>
      <c:legendPos val="r"/>
      <c:layout>
        <c:manualLayout>
          <c:xMode val="edge"/>
          <c:yMode val="edge"/>
          <c:x val="0.291229577585733"/>
          <c:y val="0.0235698114820626"/>
          <c:w val="0.421854608708745"/>
          <c:h val="0.0808107822242146"/>
        </c:manualLayout>
      </c:layout>
      <c:overlay val="0"/>
      <c:spPr>
        <a:noFill/>
        <a:ln w="25400">
          <a:noFill/>
        </a:ln>
      </c:spPr>
      <c:txPr>
        <a:bodyPr rot="0" spcFirstLastPara="0" vertOverflow="ellipsis" vert="horz" wrap="square" anchor="ctr" anchorCtr="1"/>
        <a:lstStyle/>
        <a:p>
          <a:pPr>
            <a:defRPr lang="zh-CN" sz="900" b="0" i="0" u="none" strike="noStrike" kern="1200" baseline="0">
              <a:solidFill>
                <a:schemeClr val="tx1"/>
              </a:solidFill>
              <a:latin typeface="宋体" panose="02010600030101010101" charset="-122"/>
              <a:ea typeface="宋体" panose="02010600030101010101" charset="-122"/>
              <a:cs typeface="+mn-cs"/>
            </a:defRPr>
          </a:pPr>
        </a:p>
      </c:txPr>
    </c:legend>
    <c:plotVisOnly val="1"/>
    <c:dispBlanksAs val="gap"/>
    <c:showDLblsOverMax val="0"/>
  </c:chart>
  <c:spPr>
    <a:solidFill>
      <a:schemeClr val="bg1"/>
    </a:solidFill>
    <a:ln w="6350" cap="flat" cmpd="sng" algn="ctr">
      <a:noFill/>
      <a:prstDash val="solid"/>
      <a:round/>
    </a:ln>
    <a:effectLst/>
  </c:spPr>
  <c:txPr>
    <a:bodyPr/>
    <a:lstStyle/>
    <a:p>
      <a:pPr>
        <a:defRPr lang="zh-CN" sz="900">
          <a:latin typeface="宋体" panose="02010600030101010101" charset="-122"/>
          <a:ea typeface="宋体" panose="02010600030101010101"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347358240512"/>
          <c:y val="0.186737371689273"/>
          <c:w val="0.933484552418172"/>
          <c:h val="0.753487897346165"/>
        </c:manualLayout>
      </c:layout>
      <c:radarChart>
        <c:radarStyle val="marker"/>
        <c:varyColors val="0"/>
        <c:ser>
          <c:idx val="1"/>
          <c:order val="0"/>
          <c:spPr>
            <a:ln w="28575" cap="rnd" cmpd="sng" algn="ctr">
              <a:solidFill>
                <a:srgbClr val="005099"/>
              </a:solidFill>
              <a:prstDash val="solid"/>
              <a:round/>
            </a:ln>
            <a:effectLst/>
          </c:spPr>
          <c:marker>
            <c:symbol val="circle"/>
            <c:size val="8"/>
            <c:spPr>
              <a:solidFill>
                <a:srgbClr val="005099"/>
              </a:solidFill>
              <a:ln w="9525" cap="flat" cmpd="sng" algn="ctr">
                <a:solidFill>
                  <a:srgbClr val="FFFFFF"/>
                </a:solidFill>
                <a:prstDash val="solid"/>
                <a:round/>
              </a:ln>
            </c:spPr>
          </c:marker>
          <c:dLbls>
            <c:dLbl>
              <c:idx val="2"/>
              <c:layout>
                <c:manualLayout>
                  <c:x val="0.0555555555555555"/>
                  <c:y val="0.00919540229885057"/>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83333333333333"/>
                  <c:y val="-0.0137931034482759"/>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148341003826598"/>
                  <c:y val="0.00616084904395006"/>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126187774443337"/>
                  <c:y val="-0.00662083726892933"/>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722222222222222"/>
                  <c:y val="-0.0137931034482759"/>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0388888888888889"/>
                  <c:y val="-0.0137931034482759"/>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8"/>
              <c:layout>
                <c:manualLayout>
                  <c:x val="-0.0583333333333334"/>
                  <c:y val="0"/>
                </c:manualLayout>
              </c:layout>
              <c:numFmt formatCode="General" sourceLinked="1"/>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能力提升!$K$2:$K$11</c:f>
              <c:strCache>
                <c:ptCount val="10"/>
                <c:pt idx="0">
                  <c:v>专业知识/技能</c:v>
                </c:pt>
                <c:pt idx="1">
                  <c:v>实践操作能力</c:v>
                </c:pt>
                <c:pt idx="2">
                  <c:v>学习能力</c:v>
                </c:pt>
                <c:pt idx="3">
                  <c:v>创新能力</c:v>
                </c:pt>
                <c:pt idx="4">
                  <c:v>组织协调能力</c:v>
                </c:pt>
                <c:pt idx="5">
                  <c:v>管理能力</c:v>
                </c:pt>
                <c:pt idx="6">
                  <c:v>人际沟通能力</c:v>
                </c:pt>
                <c:pt idx="7">
                  <c:v>团队合作能力</c:v>
                </c:pt>
                <c:pt idx="8">
                  <c:v>抗压能力</c:v>
                </c:pt>
                <c:pt idx="9">
                  <c:v>情绪管理能力</c:v>
                </c:pt>
              </c:strCache>
            </c:strRef>
          </c:cat>
          <c:val>
            <c:numRef>
              <c:f>能力提升!$L$2:$L$11</c:f>
              <c:numCache>
                <c:formatCode>0.00</c:formatCode>
                <c:ptCount val="10"/>
                <c:pt idx="0">
                  <c:v>3.86516853932584</c:v>
                </c:pt>
                <c:pt idx="1">
                  <c:v>3.82771535580524</c:v>
                </c:pt>
                <c:pt idx="2">
                  <c:v>3.83895131086142</c:v>
                </c:pt>
                <c:pt idx="3">
                  <c:v>3.6685393258427</c:v>
                </c:pt>
                <c:pt idx="4">
                  <c:v>3.79026217228464</c:v>
                </c:pt>
                <c:pt idx="5">
                  <c:v>3.78464419475655</c:v>
                </c:pt>
                <c:pt idx="6">
                  <c:v>3.89700374531835</c:v>
                </c:pt>
                <c:pt idx="7">
                  <c:v>3.87640449438202</c:v>
                </c:pt>
                <c:pt idx="8">
                  <c:v>3.95505617977528</c:v>
                </c:pt>
                <c:pt idx="9">
                  <c:v>3.92696629213483</c:v>
                </c:pt>
              </c:numCache>
            </c:numRef>
          </c:val>
        </c:ser>
        <c:dLbls>
          <c:showLegendKey val="0"/>
          <c:showVal val="0"/>
          <c:showCatName val="0"/>
          <c:showSerName val="0"/>
          <c:showPercent val="0"/>
          <c:showBubbleSize val="0"/>
        </c:dLbls>
        <c:axId val="1310353759"/>
        <c:axId val="1"/>
      </c:radarChart>
      <c:catAx>
        <c:axId val="1310353759"/>
        <c:scaling>
          <c:orientation val="minMax"/>
        </c:scaling>
        <c:delete val="0"/>
        <c:axPos val="b"/>
        <c:majorGridlines>
          <c:spPr>
            <a:ln w="9525" cap="flat" cmpd="sng" algn="ctr">
              <a:solidFill>
                <a:schemeClr val="bg1">
                  <a:lumMod val="95000"/>
                </a:schemeClr>
              </a:solidFill>
              <a:prstDash val="solid"/>
              <a:round/>
            </a:ln>
          </c:spPr>
        </c:majorGridlines>
        <c:numFmt formatCode="General" sourceLinked="0"/>
        <c:majorTickMark val="out"/>
        <c:minorTickMark val="none"/>
        <c:tickLblPos val="none"/>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
        <c:crosses val="autoZero"/>
        <c:auto val="0"/>
        <c:lblAlgn val="ctr"/>
        <c:lblOffset val="100"/>
        <c:noMultiLvlLbl val="0"/>
      </c:catAx>
      <c:valAx>
        <c:axId val="1"/>
        <c:scaling>
          <c:orientation val="minMax"/>
          <c:min val="0"/>
        </c:scaling>
        <c:delete val="0"/>
        <c:axPos val="l"/>
        <c:majorGridlines>
          <c:spPr>
            <a:ln w="9525" cap="flat" cmpd="sng" algn="ctr">
              <a:solidFill>
                <a:schemeClr val="bg1">
                  <a:lumMod val="95000"/>
                </a:schemeClr>
              </a:solidFill>
              <a:prstDash val="solid"/>
              <a:round/>
            </a:ln>
          </c:spPr>
        </c:majorGridlines>
        <c:numFmt formatCode="0.00" sourceLinked="1"/>
        <c:majorTickMark val="none"/>
        <c:minorTickMark val="none"/>
        <c:tickLblPos val="none"/>
        <c:spPr>
          <a:ln w="9525" cap="flat" cmpd="sng" algn="ctr">
            <a:solidFill>
              <a:schemeClr val="bg1">
                <a:lumMod val="9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10353759"/>
        <c:crosses val="autoZero"/>
        <c:crossBetween val="between"/>
      </c:valAx>
      <c:spPr>
        <a:noFill/>
        <a:ln w="25400">
          <a:noFill/>
        </a:ln>
      </c:spPr>
    </c:plotArea>
    <c:plotVisOnly val="1"/>
    <c:dispBlanksAs val="gap"/>
    <c:showDLblsOverMax val="0"/>
  </c:chart>
  <c:spPr>
    <a:ln w="9525" cap="flat" cmpd="sng" algn="ctr">
      <a:no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4369145662169"/>
          <c:y val="0.131558651415749"/>
          <c:w val="0.39737280067215"/>
          <c:h val="0.748392481844901"/>
        </c:manualLayout>
      </c:layout>
      <c:doughnutChart>
        <c:varyColors val="1"/>
        <c:ser>
          <c:idx val="0"/>
          <c:order val="0"/>
          <c:tx>
            <c:strRef>
              <c:f>就业服务!$R$53</c:f>
              <c:strCache>
                <c:ptCount val="1"/>
                <c:pt idx="0">
                  <c:v>计数项:您对母校就业指导课程/服务的总体满意度如何？</c:v>
                </c:pt>
              </c:strCache>
            </c:strRef>
          </c:tx>
          <c:spPr/>
          <c:explosion val="0"/>
          <c:dPt>
            <c:idx val="0"/>
            <c:bubble3D val="0"/>
            <c:spPr>
              <a:solidFill>
                <a:schemeClr val="accent2">
                  <a:shade val="53000"/>
                </a:schemeClr>
              </a:solidFill>
              <a:ln>
                <a:noFill/>
              </a:ln>
              <a:effectLst/>
            </c:spPr>
          </c:dPt>
          <c:dPt>
            <c:idx val="1"/>
            <c:bubble3D val="0"/>
            <c:spPr>
              <a:solidFill>
                <a:schemeClr val="accent2">
                  <a:shade val="76000"/>
                </a:schemeClr>
              </a:solidFill>
              <a:ln>
                <a:noFill/>
              </a:ln>
              <a:effectLst/>
            </c:spPr>
          </c:dPt>
          <c:dPt>
            <c:idx val="2"/>
            <c:bubble3D val="0"/>
            <c:spPr>
              <a:solidFill>
                <a:schemeClr val="accent2"/>
              </a:solidFill>
              <a:ln>
                <a:noFill/>
              </a:ln>
              <a:effectLst/>
            </c:spPr>
          </c:dPt>
          <c:dPt>
            <c:idx val="3"/>
            <c:bubble3D val="0"/>
            <c:spPr>
              <a:solidFill>
                <a:schemeClr val="accent2">
                  <a:tint val="77000"/>
                </a:schemeClr>
              </a:solidFill>
              <a:ln>
                <a:noFill/>
              </a:ln>
              <a:effectLst/>
            </c:spPr>
          </c:dPt>
          <c:dPt>
            <c:idx val="4"/>
            <c:bubble3D val="0"/>
            <c:spPr>
              <a:solidFill>
                <a:schemeClr val="accent2">
                  <a:tint val="54000"/>
                </a:schemeClr>
              </a:solidFill>
              <a:ln>
                <a:noFill/>
              </a:ln>
              <a:effectLst/>
            </c:spPr>
          </c:dPt>
          <c:dLbls>
            <c:dLbl>
              <c:idx val="0"/>
              <c:layout>
                <c:manualLayout>
                  <c:x val="-0.0938922042734576"/>
                  <c:y val="-0.117086909749694"/>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446876038355108"/>
                      <c:h val="0.0921863610191654"/>
                    </c:manualLayout>
                  </c15:layout>
                </c:ext>
              </c:extLst>
            </c:dLbl>
            <c:dLbl>
              <c:idx val="1"/>
              <c:layout>
                <c:manualLayout>
                  <c:x val="0.11617498910667"/>
                  <c:y val="-0.0223915157480136"/>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52876188010576"/>
                  <c:y val="-0.0410418983350689"/>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8904962281769"/>
                  <c:y val="-0.0022004533223855"/>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42783105678174"/>
                  <c:y val="-0.0470541748345355"/>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303559033187183"/>
                      <c:h val="0.0689635611224093"/>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就业服务!$Q$54:$Q$58</c:f>
              <c:strCache>
                <c:ptCount val="5"/>
                <c:pt idx="0">
                  <c:v>非常满意</c:v>
                </c:pt>
                <c:pt idx="1">
                  <c:v>满意</c:v>
                </c:pt>
                <c:pt idx="2">
                  <c:v>一般</c:v>
                </c:pt>
                <c:pt idx="3">
                  <c:v>很不满意</c:v>
                </c:pt>
                <c:pt idx="4">
                  <c:v>不太满意</c:v>
                </c:pt>
              </c:strCache>
            </c:strRef>
          </c:cat>
          <c:val>
            <c:numRef>
              <c:f>就业服务!$R$54:$R$58</c:f>
              <c:numCache>
                <c:formatCode>0.00%</c:formatCode>
                <c:ptCount val="5"/>
                <c:pt idx="0">
                  <c:v>0.22463768115942</c:v>
                </c:pt>
                <c:pt idx="1">
                  <c:v>0.396135265700483</c:v>
                </c:pt>
                <c:pt idx="2">
                  <c:v>0.333333333333333</c:v>
                </c:pt>
                <c:pt idx="3">
                  <c:v>0.0265700483091787</c:v>
                </c:pt>
                <c:pt idx="4">
                  <c:v>0.0193236714975845</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44020797227"/>
          <c:y val="0.0346829782460095"/>
          <c:w val="0.788054005598208"/>
          <c:h val="0.708234060205695"/>
        </c:manualLayout>
      </c:layout>
      <c:barChart>
        <c:barDir val="col"/>
        <c:grouping val="clustered"/>
        <c:varyColors val="0"/>
        <c:ser>
          <c:idx val="0"/>
          <c:order val="0"/>
          <c:tx>
            <c:strRef>
              <c:f>就业服务!$O$3</c:f>
              <c:strCache>
                <c:ptCount val="1"/>
                <c:pt idx="0">
                  <c:v>参与度</c:v>
                </c:pt>
              </c:strCache>
            </c:strRef>
          </c:tx>
          <c:spPr>
            <a:solidFill>
              <a:srgbClr val="005099"/>
            </a:solidFill>
            <a:ln w="25400">
              <a:noFill/>
            </a:ln>
          </c:spPr>
          <c:invertIfNegative val="0"/>
          <c:dLbls>
            <c:delete val="1"/>
          </c:dLbls>
          <c:cat>
            <c:strRef>
              <c:f>就业服务!$N$4:$N$12</c:f>
              <c:strCache>
                <c:ptCount val="9"/>
                <c:pt idx="0">
                  <c:v>就业技能培训</c:v>
                </c:pt>
                <c:pt idx="1">
                  <c:v>职业选择咨询/辅导</c:v>
                </c:pt>
                <c:pt idx="2">
                  <c:v>求职心理调适</c:v>
                </c:pt>
                <c:pt idx="3">
                  <c:v>就业信息提供与发布</c:v>
                </c:pt>
                <c:pt idx="4">
                  <c:v>校园招聘活动</c:v>
                </c:pt>
                <c:pt idx="5">
                  <c:v>线上双选会</c:v>
                </c:pt>
                <c:pt idx="6">
                  <c:v>就业手续办理</c:v>
                </c:pt>
                <c:pt idx="7">
                  <c:v>就业困难群体帮扶</c:v>
                </c:pt>
                <c:pt idx="8">
                  <c:v>就业政策宣传与讲解</c:v>
                </c:pt>
              </c:strCache>
            </c:strRef>
          </c:cat>
          <c:val>
            <c:numRef>
              <c:f>就业服务!$O$4:$O$12</c:f>
              <c:numCache>
                <c:formatCode>0.00%</c:formatCode>
                <c:ptCount val="9"/>
                <c:pt idx="0">
                  <c:v>0.48792270531401</c:v>
                </c:pt>
                <c:pt idx="1">
                  <c:v>0.478260869565217</c:v>
                </c:pt>
                <c:pt idx="2">
                  <c:v>0.396135265700483</c:v>
                </c:pt>
                <c:pt idx="3">
                  <c:v>0.632850241545894</c:v>
                </c:pt>
                <c:pt idx="4">
                  <c:v>0.565217391304348</c:v>
                </c:pt>
                <c:pt idx="5">
                  <c:v>0.463768115942029</c:v>
                </c:pt>
                <c:pt idx="6">
                  <c:v>0.5</c:v>
                </c:pt>
                <c:pt idx="7">
                  <c:v>0.330917874396135</c:v>
                </c:pt>
                <c:pt idx="8">
                  <c:v>0.480676328502415</c:v>
                </c:pt>
              </c:numCache>
            </c:numRef>
          </c:val>
        </c:ser>
        <c:dLbls>
          <c:showLegendKey val="0"/>
          <c:showVal val="0"/>
          <c:showCatName val="0"/>
          <c:showSerName val="0"/>
          <c:showPercent val="0"/>
          <c:showBubbleSize val="0"/>
        </c:dLbls>
        <c:gapWidth val="219"/>
        <c:overlap val="-27"/>
        <c:axId val="1323041055"/>
        <c:axId val="1"/>
      </c:barChart>
      <c:lineChart>
        <c:grouping val="standard"/>
        <c:varyColors val="0"/>
        <c:ser>
          <c:idx val="1"/>
          <c:order val="1"/>
          <c:tx>
            <c:strRef>
              <c:f>就业服务!$P$3</c:f>
              <c:strCache>
                <c:ptCount val="1"/>
                <c:pt idx="0">
                  <c:v>有效性</c:v>
                </c:pt>
              </c:strCache>
            </c:strRef>
          </c:tx>
          <c:spPr>
            <a:ln w="28575" cap="rnd" cmpd="sng" algn="ctr">
              <a:solidFill>
                <a:schemeClr val="accent1">
                  <a:lumMod val="60000"/>
                  <a:lumOff val="40000"/>
                </a:schemeClr>
              </a:solidFill>
              <a:prstDash val="sysDash"/>
              <a:round/>
            </a:ln>
            <a:effectLst/>
          </c:spPr>
          <c:marker>
            <c:symbol val="none"/>
          </c:marker>
          <c:dLbls>
            <c:delete val="1"/>
          </c:dLbls>
          <c:cat>
            <c:strRef>
              <c:f>就业服务!$N$4:$N$12</c:f>
              <c:strCache>
                <c:ptCount val="9"/>
                <c:pt idx="0">
                  <c:v>就业技能培训</c:v>
                </c:pt>
                <c:pt idx="1">
                  <c:v>职业选择咨询/辅导</c:v>
                </c:pt>
                <c:pt idx="2">
                  <c:v>求职心理调适</c:v>
                </c:pt>
                <c:pt idx="3">
                  <c:v>就业信息提供与发布</c:v>
                </c:pt>
                <c:pt idx="4">
                  <c:v>校园招聘活动</c:v>
                </c:pt>
                <c:pt idx="5">
                  <c:v>线上双选会</c:v>
                </c:pt>
                <c:pt idx="6">
                  <c:v>就业手续办理</c:v>
                </c:pt>
                <c:pt idx="7">
                  <c:v>就业困难群体帮扶</c:v>
                </c:pt>
                <c:pt idx="8">
                  <c:v>就业政策宣传与讲解</c:v>
                </c:pt>
              </c:strCache>
            </c:strRef>
          </c:cat>
          <c:val>
            <c:numRef>
              <c:f>就业服务!$P$4:$P$12</c:f>
              <c:numCache>
                <c:formatCode>0.00</c:formatCode>
                <c:ptCount val="9"/>
                <c:pt idx="0">
                  <c:v>3.53381642512077</c:v>
                </c:pt>
                <c:pt idx="1">
                  <c:v>3.5024154589372</c:v>
                </c:pt>
                <c:pt idx="2">
                  <c:v>3.5</c:v>
                </c:pt>
                <c:pt idx="3">
                  <c:v>3.60144927536232</c:v>
                </c:pt>
                <c:pt idx="4">
                  <c:v>3.52173913043478</c:v>
                </c:pt>
                <c:pt idx="5">
                  <c:v>3.47826086956522</c:v>
                </c:pt>
                <c:pt idx="6">
                  <c:v>3.57487922705314</c:v>
                </c:pt>
                <c:pt idx="7">
                  <c:v>3.43236714975845</c:v>
                </c:pt>
                <c:pt idx="8">
                  <c:v>3.54347826086957</c:v>
                </c:pt>
              </c:numCache>
            </c:numRef>
          </c:val>
          <c:smooth val="0"/>
        </c:ser>
        <c:dLbls>
          <c:showLegendKey val="0"/>
          <c:showVal val="0"/>
          <c:showCatName val="0"/>
          <c:showSerName val="0"/>
          <c:showPercent val="0"/>
          <c:showBubbleSize val="0"/>
        </c:dLbls>
        <c:marker val="0"/>
        <c:smooth val="0"/>
        <c:axId val="3"/>
        <c:axId val="4"/>
      </c:lineChart>
      <c:catAx>
        <c:axId val="132304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eaVert"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ln w="6350"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1323041055"/>
        <c:crosses val="autoZero"/>
        <c:crossBetween val="between"/>
      </c:valAx>
      <c:catAx>
        <c:axId val="3"/>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4"/>
        <c:crosses val="autoZero"/>
        <c:auto val="1"/>
        <c:lblAlgn val="ctr"/>
        <c:lblOffset val="100"/>
        <c:noMultiLvlLbl val="0"/>
      </c:catAx>
      <c:valAx>
        <c:axId val="4"/>
        <c:scaling>
          <c:orientation val="minMax"/>
        </c:scaling>
        <c:delete val="0"/>
        <c:axPos val="r"/>
        <c:numFmt formatCode="0.00" sourceLinked="1"/>
        <c:majorTickMark val="out"/>
        <c:minorTickMark val="none"/>
        <c:tickLblPos val="nextTo"/>
        <c:spPr>
          <a:solidFill>
            <a:schemeClr val="bg1"/>
          </a:solid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3"/>
        <c:crosses val="max"/>
        <c:crossBetween val="between"/>
      </c:valAx>
      <c:dTable>
        <c:showHorzBorder val="0"/>
        <c:showVertBorder val="0"/>
        <c:showOutline val="0"/>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Table>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源数据透视表!$G$1</c:f>
              <c:strCache>
                <c:ptCount val="1"/>
                <c:pt idx="0">
                  <c:v>计数项:贵单位的单位性质？</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源数据透视表!$F$2:$F$8</c:f>
              <c:strCache>
                <c:ptCount val="7"/>
                <c:pt idx="0">
                  <c:v>其他事业单位</c:v>
                </c:pt>
                <c:pt idx="1">
                  <c:v>科研设计单位</c:v>
                </c:pt>
                <c:pt idx="2">
                  <c:v>其他教学单位</c:v>
                </c:pt>
                <c:pt idx="3">
                  <c:v>国有企业</c:v>
                </c:pt>
                <c:pt idx="4">
                  <c:v>其他企业</c:v>
                </c:pt>
                <c:pt idx="5">
                  <c:v>三资企业</c:v>
                </c:pt>
                <c:pt idx="6">
                  <c:v>民营企业</c:v>
                </c:pt>
              </c:strCache>
            </c:strRef>
          </c:cat>
          <c:val>
            <c:numRef>
              <c:f>源数据透视表!$G$2:$G$8</c:f>
              <c:numCache>
                <c:formatCode>0.00%</c:formatCode>
                <c:ptCount val="7"/>
                <c:pt idx="0">
                  <c:v>0.00680272108843537</c:v>
                </c:pt>
                <c:pt idx="1">
                  <c:v>0.00680272108843537</c:v>
                </c:pt>
                <c:pt idx="2">
                  <c:v>0.0136054421768707</c:v>
                </c:pt>
                <c:pt idx="3">
                  <c:v>0.0204081632653061</c:v>
                </c:pt>
                <c:pt idx="4">
                  <c:v>0.0748299319727891</c:v>
                </c:pt>
                <c:pt idx="5">
                  <c:v>0.0884353741496599</c:v>
                </c:pt>
                <c:pt idx="6">
                  <c:v>0.789115646258503</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源数据透视表!$R$1</c:f>
              <c:strCache>
                <c:ptCount val="1"/>
                <c:pt idx="0">
                  <c:v>计数项:贵单位的规模？</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源数据透视表!$Q$2:$Q$6</c:f>
              <c:strCache>
                <c:ptCount val="5"/>
                <c:pt idx="0">
                  <c:v>中国500强（非世界500强）</c:v>
                </c:pt>
                <c:pt idx="1">
                  <c:v>世界500强</c:v>
                </c:pt>
                <c:pt idx="2">
                  <c:v>非500强大型企业</c:v>
                </c:pt>
                <c:pt idx="3">
                  <c:v>中型企业</c:v>
                </c:pt>
                <c:pt idx="4">
                  <c:v>小微型企业</c:v>
                </c:pt>
              </c:strCache>
            </c:strRef>
          </c:cat>
          <c:val>
            <c:numRef>
              <c:f>源数据透视表!$R$2:$R$6</c:f>
              <c:numCache>
                <c:formatCode>0.00%</c:formatCode>
                <c:ptCount val="5"/>
                <c:pt idx="0">
                  <c:v>0.0272108843537415</c:v>
                </c:pt>
                <c:pt idx="1">
                  <c:v>0.0408163265306122</c:v>
                </c:pt>
                <c:pt idx="2">
                  <c:v>0.149659863945578</c:v>
                </c:pt>
                <c:pt idx="3">
                  <c:v>0.272108843537415</c:v>
                </c:pt>
                <c:pt idx="4">
                  <c:v>0.510204081632653</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源数据透视表!$G$18</c:f>
              <c:strCache>
                <c:ptCount val="1"/>
                <c:pt idx="0">
                  <c:v>计数项:贵单位的行业类别是？</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源数据透视表!$F$19:$F$32</c:f>
              <c:strCache>
                <c:ptCount val="14"/>
                <c:pt idx="0">
                  <c:v>公共管理、社会保障和社会组织</c:v>
                </c:pt>
                <c:pt idx="1">
                  <c:v>居民服务、修理和其他服务业</c:v>
                </c:pt>
                <c:pt idx="2">
                  <c:v>金融业</c:v>
                </c:pt>
                <c:pt idx="3">
                  <c:v>住宿和餐饮业</c:v>
                </c:pt>
                <c:pt idx="4">
                  <c:v>建筑业</c:v>
                </c:pt>
                <c:pt idx="5">
                  <c:v>科学研究和技术服务业</c:v>
                </c:pt>
                <c:pt idx="6">
                  <c:v>租赁和商业服务业</c:v>
                </c:pt>
                <c:pt idx="7">
                  <c:v>房地产业</c:v>
                </c:pt>
                <c:pt idx="8">
                  <c:v>教育</c:v>
                </c:pt>
                <c:pt idx="9">
                  <c:v>文化、体育和娱乐业</c:v>
                </c:pt>
                <c:pt idx="10">
                  <c:v>交通运输、仓储和邮政业</c:v>
                </c:pt>
                <c:pt idx="11">
                  <c:v>批发和零售业</c:v>
                </c:pt>
                <c:pt idx="12">
                  <c:v>制造业</c:v>
                </c:pt>
                <c:pt idx="13">
                  <c:v>信息传输、软件和信息技术服务业</c:v>
                </c:pt>
              </c:strCache>
            </c:strRef>
          </c:cat>
          <c:val>
            <c:numRef>
              <c:f>源数据透视表!$G$19:$G$32</c:f>
              <c:numCache>
                <c:formatCode>0.00%</c:formatCode>
                <c:ptCount val="14"/>
                <c:pt idx="0">
                  <c:v>0.00680272108843537</c:v>
                </c:pt>
                <c:pt idx="1">
                  <c:v>0.0136054421768707</c:v>
                </c:pt>
                <c:pt idx="2">
                  <c:v>0.0272108843537415</c:v>
                </c:pt>
                <c:pt idx="3">
                  <c:v>0.0408163265306122</c:v>
                </c:pt>
                <c:pt idx="4">
                  <c:v>0.0408163265306122</c:v>
                </c:pt>
                <c:pt idx="5">
                  <c:v>0.0476190476190476</c:v>
                </c:pt>
                <c:pt idx="6">
                  <c:v>0.0476190476190476</c:v>
                </c:pt>
                <c:pt idx="7">
                  <c:v>0.054421768707483</c:v>
                </c:pt>
                <c:pt idx="8">
                  <c:v>0.0612244897959184</c:v>
                </c:pt>
                <c:pt idx="9">
                  <c:v>0.0680272108843537</c:v>
                </c:pt>
                <c:pt idx="10">
                  <c:v>0.0680272108843537</c:v>
                </c:pt>
                <c:pt idx="11">
                  <c:v>0.0952380952380952</c:v>
                </c:pt>
                <c:pt idx="12">
                  <c:v>0.204081632653061</c:v>
                </c:pt>
                <c:pt idx="13">
                  <c:v>0.224489795918367</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080" b="0" i="0" u="none" strike="noStrike" kern="1200" spc="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title>
    <c:autoTitleDeleted val="0"/>
    <c:plotArea>
      <c:layout>
        <c:manualLayout>
          <c:layoutTarget val="inner"/>
          <c:xMode val="edge"/>
          <c:yMode val="edge"/>
          <c:x val="0.130136482939633"/>
          <c:y val="0.0189351851851852"/>
          <c:w val="0.786530183727034"/>
          <c:h val="0.949235564304462"/>
        </c:manualLayout>
      </c:layout>
      <c:barChart>
        <c:barDir val="bar"/>
        <c:grouping val="clustered"/>
        <c:varyColors val="0"/>
        <c:ser>
          <c:idx val="1"/>
          <c:order val="1"/>
          <c:tx>
            <c:strRef>
              <c:f>用人单位所在地域!$I$18</c:f>
              <c:strCache>
                <c:ptCount val="1"/>
                <c:pt idx="0">
                  <c:v/>
                </c:pt>
              </c:strCache>
            </c:strRef>
          </c:tx>
          <c:spPr>
            <a:solidFill>
              <a:srgbClr val="005099"/>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用人单位所在地域!$G$19:$G$31</c:f>
              <c:strCache>
                <c:ptCount val="13"/>
                <c:pt idx="0">
                  <c:v>重庆</c:v>
                </c:pt>
                <c:pt idx="1">
                  <c:v>湖南</c:v>
                </c:pt>
                <c:pt idx="2">
                  <c:v>甘肃</c:v>
                </c:pt>
                <c:pt idx="3">
                  <c:v>新疆</c:v>
                </c:pt>
                <c:pt idx="4">
                  <c:v>河北</c:v>
                </c:pt>
                <c:pt idx="5">
                  <c:v>江苏</c:v>
                </c:pt>
                <c:pt idx="6">
                  <c:v>山东</c:v>
                </c:pt>
                <c:pt idx="7">
                  <c:v>辽宁</c:v>
                </c:pt>
                <c:pt idx="8">
                  <c:v>上海</c:v>
                </c:pt>
                <c:pt idx="9">
                  <c:v>浙江</c:v>
                </c:pt>
                <c:pt idx="10">
                  <c:v>广东</c:v>
                </c:pt>
                <c:pt idx="11">
                  <c:v>北京</c:v>
                </c:pt>
                <c:pt idx="12">
                  <c:v>天津</c:v>
                </c:pt>
              </c:strCache>
            </c:strRef>
          </c:cat>
          <c:val>
            <c:numRef>
              <c:f>用人单位所在地域!$I$19:$I$31</c:f>
              <c:numCache>
                <c:formatCode>0.00%</c:formatCode>
                <c:ptCount val="13"/>
                <c:pt idx="0">
                  <c:v>0.00680272108843537</c:v>
                </c:pt>
                <c:pt idx="1">
                  <c:v>0.00680272108843537</c:v>
                </c:pt>
                <c:pt idx="2">
                  <c:v>0.00680272108843537</c:v>
                </c:pt>
                <c:pt idx="3">
                  <c:v>0.00680272108843537</c:v>
                </c:pt>
                <c:pt idx="4">
                  <c:v>0.0136054421768707</c:v>
                </c:pt>
                <c:pt idx="5">
                  <c:v>0.0204081632653061</c:v>
                </c:pt>
                <c:pt idx="6">
                  <c:v>0.0204081632653061</c:v>
                </c:pt>
                <c:pt idx="7">
                  <c:v>0.0204081632653061</c:v>
                </c:pt>
                <c:pt idx="8">
                  <c:v>0.0272108843537415</c:v>
                </c:pt>
                <c:pt idx="9">
                  <c:v>0.0408163265306122</c:v>
                </c:pt>
                <c:pt idx="10">
                  <c:v>0.0612244897959184</c:v>
                </c:pt>
                <c:pt idx="11">
                  <c:v>0.122448979591837</c:v>
                </c:pt>
                <c:pt idx="12">
                  <c:v>0.646258503401361</c:v>
                </c:pt>
              </c:numCache>
            </c:numRef>
          </c:val>
        </c:ser>
        <c:dLbls>
          <c:showLegendKey val="0"/>
          <c:showVal val="1"/>
          <c:showCatName val="0"/>
          <c:showSerName val="0"/>
          <c:showPercent val="0"/>
          <c:showBubbleSize val="0"/>
        </c:dLbls>
        <c:gapWidth val="182"/>
        <c:axId val="957860296"/>
        <c:axId val="957860624"/>
        <c:extLst>
          <c:ext xmlns:c15="http://schemas.microsoft.com/office/drawing/2012/chart" uri="{02D57815-91ED-43cb-92C2-25804820EDAC}">
            <c15:filteredBarSeries>
              <c15:ser>
                <c:idx val="0"/>
                <c:order val="0"/>
                <c:tx>
                  <c:strRef>
                    <c:extLst>
                      <c:ext uri="{02D57815-91ED-43cb-92C2-25804820EDAC}">
                        <c15:formulaRef>
                          <c15:sqref>用人单位所在地域!$H$18</c15:sqref>
                        </c15:formulaRef>
                      </c:ext>
                    </c:extLst>
                    <c:strCache>
                      <c:ptCount val="1"/>
                      <c:pt idx="0">
                        <c:v>计数项:贵单所在省市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用人单位所在地域!$G$19:$G$31</c15:sqref>
                        </c15:formulaRef>
                      </c:ext>
                    </c:extLst>
                    <c:strCache>
                      <c:ptCount val="13"/>
                      <c:pt idx="0">
                        <c:v>重庆</c:v>
                      </c:pt>
                      <c:pt idx="1">
                        <c:v>湖南</c:v>
                      </c:pt>
                      <c:pt idx="2">
                        <c:v>甘肃</c:v>
                      </c:pt>
                      <c:pt idx="3">
                        <c:v>新疆</c:v>
                      </c:pt>
                      <c:pt idx="4">
                        <c:v>河北</c:v>
                      </c:pt>
                      <c:pt idx="5">
                        <c:v>江苏</c:v>
                      </c:pt>
                      <c:pt idx="6">
                        <c:v>山东</c:v>
                      </c:pt>
                      <c:pt idx="7">
                        <c:v>辽宁</c:v>
                      </c:pt>
                      <c:pt idx="8">
                        <c:v>上海</c:v>
                      </c:pt>
                      <c:pt idx="9">
                        <c:v>浙江</c:v>
                      </c:pt>
                      <c:pt idx="10">
                        <c:v>广东</c:v>
                      </c:pt>
                      <c:pt idx="11">
                        <c:v>北京</c:v>
                      </c:pt>
                      <c:pt idx="12">
                        <c:v>天津</c:v>
                      </c:pt>
                    </c:strCache>
                  </c:strRef>
                </c:cat>
                <c:val>
                  <c:numRef>
                    <c:extLst>
                      <c:ext uri="{02D57815-91ED-43cb-92C2-25804820EDAC}">
                        <c15:formulaRef>
                          <c15:sqref>用人单位所在地域!$H$19:$H$31</c15:sqref>
                        </c15:formulaRef>
                      </c:ext>
                    </c:extLst>
                    <c:numCache>
                      <c:formatCode>General</c:formatCode>
                      <c:ptCount val="13"/>
                      <c:pt idx="0">
                        <c:v>1</c:v>
                      </c:pt>
                      <c:pt idx="1">
                        <c:v>1</c:v>
                      </c:pt>
                      <c:pt idx="2">
                        <c:v>1</c:v>
                      </c:pt>
                      <c:pt idx="3">
                        <c:v>1</c:v>
                      </c:pt>
                      <c:pt idx="4">
                        <c:v>2</c:v>
                      </c:pt>
                      <c:pt idx="5">
                        <c:v>3</c:v>
                      </c:pt>
                      <c:pt idx="6">
                        <c:v>3</c:v>
                      </c:pt>
                      <c:pt idx="7">
                        <c:v>3</c:v>
                      </c:pt>
                      <c:pt idx="8">
                        <c:v>4</c:v>
                      </c:pt>
                      <c:pt idx="9">
                        <c:v>6</c:v>
                      </c:pt>
                      <c:pt idx="10">
                        <c:v>9</c:v>
                      </c:pt>
                      <c:pt idx="11">
                        <c:v>18</c:v>
                      </c:pt>
                      <c:pt idx="12">
                        <c:v>95</c:v>
                      </c:pt>
                    </c:numCache>
                  </c:numRef>
                </c:val>
              </c15:ser>
            </c15:filteredBarSeries>
          </c:ext>
        </c:extLst>
      </c:barChart>
      <c:catAx>
        <c:axId val="957860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957860624"/>
        <c:crosses val="autoZero"/>
        <c:auto val="1"/>
        <c:lblAlgn val="ctr"/>
        <c:lblOffset val="100"/>
        <c:noMultiLvlLbl val="0"/>
      </c:catAx>
      <c:valAx>
        <c:axId val="957860624"/>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957860296"/>
        <c:crosses val="autoZero"/>
        <c:crossBetween val="between"/>
      </c:valA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7990900881"/>
          <c:y val="0.057516339869281"/>
          <c:w val="0.753694812116172"/>
          <c:h val="0.884967320261438"/>
        </c:manualLayout>
      </c:layout>
      <c:barChart>
        <c:barDir val="bar"/>
        <c:grouping val="clustered"/>
        <c:varyColors val="0"/>
        <c:ser>
          <c:idx val="0"/>
          <c:order val="0"/>
          <c:tx>
            <c:strRef>
              <c:f>源数据透视表!$S$19</c:f>
              <c:strCache>
                <c:ptCount val="1"/>
                <c:pt idx="0">
                  <c:v>计数项:贵单位在2021年招聘应届毕业生的规模有变化吗？</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源数据透视表!$R$20:$R$23</c:f>
              <c:strCache>
                <c:ptCount val="4"/>
                <c:pt idx="0">
                  <c:v>小幅缩减</c:v>
                </c:pt>
                <c:pt idx="1">
                  <c:v>与往年持平</c:v>
                </c:pt>
                <c:pt idx="2">
                  <c:v>小幅增加</c:v>
                </c:pt>
                <c:pt idx="3">
                  <c:v>大幅增加</c:v>
                </c:pt>
              </c:strCache>
            </c:strRef>
          </c:cat>
          <c:val>
            <c:numRef>
              <c:f>源数据透视表!$S$20:$S$23</c:f>
              <c:numCache>
                <c:formatCode>0.00%</c:formatCode>
                <c:ptCount val="4"/>
                <c:pt idx="0">
                  <c:v>0.0272108843537415</c:v>
                </c:pt>
                <c:pt idx="1">
                  <c:v>0.224489795918367</c:v>
                </c:pt>
                <c:pt idx="2">
                  <c:v>0.319727891156463</c:v>
                </c:pt>
                <c:pt idx="3">
                  <c:v>0.428571428571429</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85828108822642"/>
          <c:y val="0.0508097000336428"/>
          <c:w val="0.702361440627782"/>
          <c:h val="0.792718973622237"/>
        </c:manualLayout>
      </c:layout>
      <c:barChart>
        <c:barDir val="bar"/>
        <c:grouping val="stacked"/>
        <c:varyColors val="0"/>
        <c:ser>
          <c:idx val="0"/>
          <c:order val="0"/>
          <c:tx>
            <c:strRef>
              <c:f>源数据透视表!$C$39</c:f>
              <c:strCache>
                <c:ptCount val="1"/>
                <c:pt idx="0">
                  <c:v>第一年</c:v>
                </c:pt>
              </c:strCache>
            </c:strRef>
          </c:tx>
          <c:spPr>
            <a:solidFill>
              <a:schemeClr val="accent2">
                <a:shade val="58000"/>
              </a:schemeClr>
            </a:solidFill>
            <a:ln>
              <a:noFill/>
            </a:ln>
            <a:effectLst/>
          </c:spPr>
          <c:invertIfNegative val="0"/>
          <c:dLbls>
            <c:dLbl>
              <c:idx val="2"/>
              <c:layout>
                <c:manualLayout>
                  <c:x val="0.0027777777777777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源数据透视表!$B$40:$B$42</c:f>
              <c:strCache>
                <c:ptCount val="3"/>
                <c:pt idx="0">
                  <c:v>通过其他方式招收毕业生</c:v>
                </c:pt>
                <c:pt idx="1">
                  <c:v>入校举行校园招聘会</c:v>
                </c:pt>
                <c:pt idx="2">
                  <c:v>在就业信息网发布就业信息</c:v>
                </c:pt>
              </c:strCache>
            </c:strRef>
          </c:cat>
          <c:val>
            <c:numRef>
              <c:f>源数据透视表!$C$40:$C$42</c:f>
              <c:numCache>
                <c:formatCode>0.00%</c:formatCode>
                <c:ptCount val="3"/>
                <c:pt idx="0">
                  <c:v>0.294117647058824</c:v>
                </c:pt>
                <c:pt idx="1">
                  <c:v>0.468085106382979</c:v>
                </c:pt>
                <c:pt idx="2">
                  <c:v>0.48</c:v>
                </c:pt>
              </c:numCache>
            </c:numRef>
          </c:val>
        </c:ser>
        <c:ser>
          <c:idx val="1"/>
          <c:order val="1"/>
          <c:tx>
            <c:strRef>
              <c:f>源数据透视表!$D$39</c:f>
              <c:strCache>
                <c:ptCount val="1"/>
                <c:pt idx="0">
                  <c:v>连续两年</c:v>
                </c:pt>
              </c:strCache>
            </c:strRef>
          </c:tx>
          <c:spPr>
            <a:solidFill>
              <a:schemeClr val="accent2">
                <a:shade val="86000"/>
              </a:schemeClr>
            </a:solidFill>
            <a:ln>
              <a:noFill/>
            </a:ln>
            <a:effectLst/>
          </c:spPr>
          <c:invertIfNegative val="0"/>
          <c:dLbls>
            <c:dLbl>
              <c:idx val="2"/>
              <c:layout>
                <c:manualLayout>
                  <c:x val="0.011111111111111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源数据透视表!$B$40:$B$42</c:f>
              <c:strCache>
                <c:ptCount val="3"/>
                <c:pt idx="0">
                  <c:v>通过其他方式招收毕业生</c:v>
                </c:pt>
                <c:pt idx="1">
                  <c:v>入校举行校园招聘会</c:v>
                </c:pt>
                <c:pt idx="2">
                  <c:v>在就业信息网发布就业信息</c:v>
                </c:pt>
              </c:strCache>
            </c:strRef>
          </c:cat>
          <c:val>
            <c:numRef>
              <c:f>源数据透视表!$D$40:$D$42</c:f>
              <c:numCache>
                <c:formatCode>0.00%</c:formatCode>
                <c:ptCount val="3"/>
                <c:pt idx="0">
                  <c:v>0.0980392156862745</c:v>
                </c:pt>
                <c:pt idx="1">
                  <c:v>0.127659574468085</c:v>
                </c:pt>
                <c:pt idx="2">
                  <c:v>0.14</c:v>
                </c:pt>
              </c:numCache>
            </c:numRef>
          </c:val>
        </c:ser>
        <c:ser>
          <c:idx val="2"/>
          <c:order val="2"/>
          <c:tx>
            <c:strRef>
              <c:f>源数据透视表!$E$39</c:f>
              <c:strCache>
                <c:ptCount val="1"/>
                <c:pt idx="0">
                  <c:v>连续三年及以上</c:v>
                </c:pt>
              </c:strCache>
            </c:strRef>
          </c:tx>
          <c:spPr>
            <a:solidFill>
              <a:schemeClr val="accent2">
                <a:tint val="86000"/>
              </a:schemeClr>
            </a:solidFill>
            <a:ln>
              <a:noFill/>
            </a:ln>
            <a:effectLst/>
          </c:spPr>
          <c:invertIfNegative val="0"/>
          <c:dLbls>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源数据透视表!$B$40:$B$42</c:f>
              <c:strCache>
                <c:ptCount val="3"/>
                <c:pt idx="0">
                  <c:v>通过其他方式招收毕业生</c:v>
                </c:pt>
                <c:pt idx="1">
                  <c:v>入校举行校园招聘会</c:v>
                </c:pt>
                <c:pt idx="2">
                  <c:v>在就业信息网发布就业信息</c:v>
                </c:pt>
              </c:strCache>
            </c:strRef>
          </c:cat>
          <c:val>
            <c:numRef>
              <c:f>源数据透视表!$E$40:$E$42</c:f>
              <c:numCache>
                <c:formatCode>0.00%</c:formatCode>
                <c:ptCount val="3"/>
                <c:pt idx="0">
                  <c:v>0.333333333333333</c:v>
                </c:pt>
                <c:pt idx="1">
                  <c:v>0.106382978723404</c:v>
                </c:pt>
                <c:pt idx="2">
                  <c:v>0.2</c:v>
                </c:pt>
              </c:numCache>
            </c:numRef>
          </c:val>
        </c:ser>
        <c:ser>
          <c:idx val="3"/>
          <c:order val="3"/>
          <c:tx>
            <c:strRef>
              <c:f>源数据透视表!$F$39</c:f>
              <c:strCache>
                <c:ptCount val="1"/>
                <c:pt idx="0">
                  <c:v>有过，但未连续</c:v>
                </c:pt>
              </c:strCache>
            </c:strRef>
          </c:tx>
          <c:spPr>
            <a:solidFill>
              <a:schemeClr val="accent2">
                <a:tint val="58000"/>
              </a:schemeClr>
            </a:solidFill>
            <a:ln>
              <a:noFill/>
            </a:ln>
            <a:effectLst/>
          </c:spPr>
          <c:invertIfNegative val="0"/>
          <c:dLbls>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源数据透视表!$B$40:$B$42</c:f>
              <c:strCache>
                <c:ptCount val="3"/>
                <c:pt idx="0">
                  <c:v>通过其他方式招收毕业生</c:v>
                </c:pt>
                <c:pt idx="1">
                  <c:v>入校举行校园招聘会</c:v>
                </c:pt>
                <c:pt idx="2">
                  <c:v>在就业信息网发布就业信息</c:v>
                </c:pt>
              </c:strCache>
            </c:strRef>
          </c:cat>
          <c:val>
            <c:numRef>
              <c:f>源数据透视表!$F$40:$F$42</c:f>
              <c:numCache>
                <c:formatCode>0.00%</c:formatCode>
                <c:ptCount val="3"/>
                <c:pt idx="0">
                  <c:v>0.274509803921569</c:v>
                </c:pt>
                <c:pt idx="1">
                  <c:v>0.297872340425532</c:v>
                </c:pt>
                <c:pt idx="2">
                  <c:v>0.18</c:v>
                </c:pt>
              </c:numCache>
            </c:numRef>
          </c:val>
        </c:ser>
        <c:dLbls>
          <c:showLegendKey val="0"/>
          <c:showVal val="0"/>
          <c:showCatName val="0"/>
          <c:showSerName val="0"/>
          <c:showPercent val="0"/>
          <c:showBubbleSize val="0"/>
        </c:dLbls>
        <c:gapWidth val="150"/>
        <c:overlap val="100"/>
        <c:axId val="548392272"/>
        <c:axId val="1"/>
      </c:barChart>
      <c:catAx>
        <c:axId val="54839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548392272"/>
        <c:crosses val="autoZero"/>
        <c:crossBetween val="between"/>
      </c:valAx>
      <c:spPr>
        <a:noFill/>
        <a:ln w="25400">
          <a:noFill/>
        </a:ln>
        <a:effectLst/>
      </c:spPr>
    </c:plotArea>
    <c:legend>
      <c:legendPos val="b"/>
      <c:layout/>
      <c:overlay val="0"/>
      <c:spPr>
        <a:noFill/>
        <a:ln w="25400">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056396632278"/>
          <c:y val="0.14076990376203"/>
          <c:w val="0.546153846153846"/>
          <c:h val="0.949832775919732"/>
        </c:manualLayout>
      </c:layout>
      <c:doughnutChart>
        <c:varyColors val="1"/>
        <c:ser>
          <c:idx val="0"/>
          <c:order val="0"/>
          <c:tx>
            <c:strRef>
              <c:f>结构!$Z$1</c:f>
              <c:strCache>
                <c:ptCount val="1"/>
                <c:pt idx="0">
                  <c:v>计数项:姓名</c:v>
                </c:pt>
              </c:strCache>
            </c:strRef>
          </c:tx>
          <c:spPr>
            <a:solidFill>
              <a:srgbClr val="FF3300"/>
            </a:solidFill>
            <a:ln w="19050">
              <a:noFill/>
            </a:ln>
          </c:spPr>
          <c:explosion val="0"/>
          <c:dPt>
            <c:idx val="0"/>
            <c:bubble3D val="0"/>
            <c:spPr>
              <a:solidFill>
                <a:srgbClr val="3960A7"/>
              </a:solidFill>
              <a:ln w="19050">
                <a:solidFill>
                  <a:srgbClr val="3960A7"/>
                </a:solidFill>
              </a:ln>
              <a:effectLst/>
            </c:spPr>
          </c:dPt>
          <c:dPt>
            <c:idx val="1"/>
            <c:bubble3D val="0"/>
            <c:spPr>
              <a:solidFill>
                <a:srgbClr val="C6D4EC"/>
              </a:solidFill>
              <a:ln w="19050">
                <a:solidFill>
                  <a:srgbClr val="C6D4EC"/>
                </a:solidFill>
              </a:ln>
              <a:effectLst/>
            </c:spPr>
          </c:dPt>
          <c:dLbls>
            <c:delete val="1"/>
          </c:dLbls>
          <c:cat>
            <c:strRef>
              <c:f>结构!$Y$2:$Y$3</c:f>
              <c:strCache>
                <c:ptCount val="2"/>
                <c:pt idx="0">
                  <c:v>市内生源</c:v>
                </c:pt>
                <c:pt idx="1">
                  <c:v>市外生源</c:v>
                </c:pt>
              </c:strCache>
            </c:strRef>
          </c:cat>
          <c:val>
            <c:numRef>
              <c:f>结构!$Z$2:$Z$3</c:f>
              <c:numCache>
                <c:formatCode>General</c:formatCode>
                <c:ptCount val="2"/>
                <c:pt idx="0">
                  <c:v>550</c:v>
                </c:pt>
                <c:pt idx="1">
                  <c:v>1249</c:v>
                </c:pt>
              </c:numCache>
            </c:numRef>
          </c:val>
        </c:ser>
        <c:ser>
          <c:idx val="1"/>
          <c:order val="1"/>
          <c:tx>
            <c:strRef>
              <c:f>结构!$AA$1</c:f>
              <c:strCache>
                <c:ptCount val="1"/>
                <c:pt idx="0">
                  <c:v>计数项:姓名2</c:v>
                </c:pt>
              </c:strCache>
            </c:strRef>
          </c:tx>
          <c:spPr>
            <a:ln w="0">
              <a:noFill/>
            </a:ln>
          </c:spPr>
          <c:explosion val="0"/>
          <c:dPt>
            <c:idx val="0"/>
            <c:bubble3D val="0"/>
            <c:spPr>
              <a:solidFill>
                <a:srgbClr val="3960A7"/>
              </a:solidFill>
              <a:ln w="0">
                <a:solidFill>
                  <a:srgbClr val="3960A7"/>
                </a:solidFill>
              </a:ln>
              <a:effectLst/>
            </c:spPr>
          </c:dPt>
          <c:dPt>
            <c:idx val="1"/>
            <c:bubble3D val="0"/>
            <c:spPr>
              <a:solidFill>
                <a:srgbClr val="C6D4EC"/>
              </a:solidFill>
              <a:ln w="19050">
                <a:solidFill>
                  <a:srgbClr val="C6D4EC"/>
                </a:solidFill>
              </a:ln>
              <a:effectLst/>
            </c:spPr>
          </c:dPt>
          <c:dLbls>
            <c:dLbl>
              <c:idx val="0"/>
              <c:layout>
                <c:manualLayout>
                  <c:x val="0.0921899793419358"/>
                  <c:y val="-0.121054413652839"/>
                </c:manualLayout>
              </c:layout>
              <c:tx>
                <c:rich>
                  <a:bodyPr rot="0" spcFirstLastPara="1" vertOverflow="ellipsis" vert="horz" wrap="square" lIns="38100" tIns="19050" rIns="38100" bIns="19050" anchor="ctr" anchorCtr="1"/>
                  <a:lstStyle/>
                  <a:p>
                    <a:fld id="{71712184-4517-4eba-b389-5a1f22f2b459}" type="CATEGORYNAME">
                      <a:t>[CATEGORY NAME]</a:t>
                    </a:fld>
                    <a:r>
                      <a:t> </a:t>
                    </a:r>
                    <a:fld id="{adc8b48b-7919-4ddc-822b-ee7d3f5b595a}"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16554145085476"/>
                      <c:h val="0.19653861449137"/>
                    </c:manualLayout>
                  </c15:layout>
                </c:ext>
              </c:extLst>
            </c:dLbl>
            <c:dLbl>
              <c:idx val="1"/>
              <c:layout>
                <c:manualLayout>
                  <c:x val="-0.147791795155834"/>
                  <c:y val="0.101245980616059"/>
                </c:manualLayout>
              </c:layout>
              <c:tx>
                <c:rich>
                  <a:bodyPr rot="0" spcFirstLastPara="1" vertOverflow="ellipsis" vert="horz" wrap="square" lIns="38100" tIns="19050" rIns="38100" bIns="19050" anchor="ctr" anchorCtr="1"/>
                  <a:lstStyle/>
                  <a:p>
                    <a:fld id="{34aa8737-2adb-4ecc-83eb-b5a30cb3be06}" type="CATEGORYNAME">
                      <a:t>[CATEGORY NAME]</a:t>
                    </a:fld>
                    <a:r>
                      <a:t> </a:t>
                    </a:r>
                    <a:fld id="{f19a90b5-8962-4c21-b707-f0c5446f0310}"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2057060562449"/>
                      <c:h val="0.146908939014202"/>
                    </c:manualLayout>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结构!$Y$2:$Y$3</c:f>
              <c:strCache>
                <c:ptCount val="2"/>
                <c:pt idx="0">
                  <c:v>市内生源</c:v>
                </c:pt>
                <c:pt idx="1">
                  <c:v>市外生源</c:v>
                </c:pt>
              </c:strCache>
            </c:strRef>
          </c:cat>
          <c:val>
            <c:numRef>
              <c:f>结构!$AA$2:$AA$3</c:f>
              <c:numCache>
                <c:formatCode>0.00%</c:formatCode>
                <c:ptCount val="2"/>
                <c:pt idx="0">
                  <c:v>0.305725403001668</c:v>
                </c:pt>
                <c:pt idx="1">
                  <c:v>0.694274596998332</c:v>
                </c:pt>
              </c:numCache>
            </c:numRef>
          </c:val>
        </c:ser>
        <c:dLbls>
          <c:showLegendKey val="0"/>
          <c:showVal val="1"/>
          <c:showCatName val="0"/>
          <c:showSerName val="0"/>
          <c:showPercent val="0"/>
          <c:showBubbleSize val="0"/>
          <c:showLeaderLines val="1"/>
        </c:dLbls>
        <c:firstSliceAng val="0"/>
        <c:holeSize val="5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源数据透视表!$Z$1</c:f>
              <c:strCache>
                <c:ptCount val="1"/>
                <c:pt idx="0">
                  <c:v>计数项:贵单位招聘毕业生时对专业对口关注程度是？</c:v>
                </c:pt>
              </c:strCache>
            </c:strRef>
          </c:tx>
          <c:spPr/>
          <c:explosion val="0"/>
          <c:dPt>
            <c:idx val="0"/>
            <c:bubble3D val="0"/>
            <c:spPr>
              <a:solidFill>
                <a:schemeClr val="accent2">
                  <a:shade val="53000"/>
                </a:schemeClr>
              </a:solidFill>
              <a:ln>
                <a:noFill/>
              </a:ln>
              <a:effectLst/>
            </c:spPr>
          </c:dPt>
          <c:dPt>
            <c:idx val="1"/>
            <c:bubble3D val="0"/>
            <c:spPr>
              <a:solidFill>
                <a:schemeClr val="accent2">
                  <a:shade val="76000"/>
                </a:schemeClr>
              </a:solidFill>
              <a:ln>
                <a:noFill/>
              </a:ln>
              <a:effectLst/>
            </c:spPr>
          </c:dPt>
          <c:dPt>
            <c:idx val="2"/>
            <c:bubble3D val="0"/>
            <c:spPr>
              <a:solidFill>
                <a:schemeClr val="accent2"/>
              </a:solidFill>
              <a:ln>
                <a:noFill/>
              </a:ln>
              <a:effectLst/>
            </c:spPr>
          </c:dPt>
          <c:dPt>
            <c:idx val="3"/>
            <c:bubble3D val="0"/>
            <c:spPr>
              <a:solidFill>
                <a:schemeClr val="accent2">
                  <a:tint val="77000"/>
                </a:schemeClr>
              </a:solidFill>
              <a:ln>
                <a:noFill/>
              </a:ln>
              <a:effectLst/>
            </c:spPr>
          </c:dPt>
          <c:dPt>
            <c:idx val="4"/>
            <c:bubble3D val="0"/>
            <c:spPr>
              <a:solidFill>
                <a:schemeClr val="accent2">
                  <a:tint val="54000"/>
                </a:schemeClr>
              </a:solidFill>
              <a:ln>
                <a:noFill/>
              </a:ln>
              <a:effectLst/>
            </c:spPr>
          </c:dPt>
          <c:dLbls>
            <c:dLbl>
              <c:idx val="0"/>
              <c:layout>
                <c:manualLayout>
                  <c:x val="-0.0917731551553025"/>
                  <c:y val="-0.11667826511544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07821509050444"/>
                  <c:y val="-0.0921964876094342"/>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1602249832436"/>
                  <c:y val="0.0518288662193087"/>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26371687752216"/>
                  <c:y val="0.0502586263938103"/>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dLbl>
              <c:idx val="4"/>
              <c:layout>
                <c:manualLayout>
                  <c:x val="-0.107950488570843"/>
                  <c:y val="-0.0157754114407099"/>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18000396979763"/>
                      <c:h val="0.0629599497330421"/>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源数据透视表!$Y$2:$Y$6</c:f>
              <c:strCache>
                <c:ptCount val="5"/>
                <c:pt idx="0">
                  <c:v>非常关注</c:v>
                </c:pt>
                <c:pt idx="1">
                  <c:v>比较关注</c:v>
                </c:pt>
                <c:pt idx="2">
                  <c:v>关注</c:v>
                </c:pt>
                <c:pt idx="3">
                  <c:v>不太关注</c:v>
                </c:pt>
                <c:pt idx="4">
                  <c:v>不关注</c:v>
                </c:pt>
              </c:strCache>
            </c:strRef>
          </c:cat>
          <c:val>
            <c:numRef>
              <c:f>源数据透视表!$Z$2:$Z$6</c:f>
              <c:numCache>
                <c:formatCode>0.00%</c:formatCode>
                <c:ptCount val="5"/>
                <c:pt idx="0">
                  <c:v>0.19047619047619</c:v>
                </c:pt>
                <c:pt idx="1">
                  <c:v>0.306122448979592</c:v>
                </c:pt>
                <c:pt idx="2">
                  <c:v>0.217687074829932</c:v>
                </c:pt>
                <c:pt idx="3">
                  <c:v>0.231292517006803</c:v>
                </c:pt>
                <c:pt idx="4">
                  <c:v>0.054421768707483</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招聘困难及用人选择影响因素!$F$16</c:f>
              <c:strCache>
                <c:ptCount val="1"/>
                <c:pt idx="0">
                  <c:v>计数项:贵单位在2021年校园招聘过程中遇到了哪些困难？</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招聘困难及用人选择影响因素!$E$17:$E$23</c:f>
              <c:strCache>
                <c:ptCount val="7"/>
                <c:pt idx="0">
                  <c:v>其他</c:v>
                </c:pt>
                <c:pt idx="1">
                  <c:v>年前已谈好的候选人拒绝入职</c:v>
                </c:pt>
                <c:pt idx="2">
                  <c:v>和往常一样</c:v>
                </c:pt>
                <c:pt idx="3">
                  <c:v>求职人员期望薪资与能力不符</c:v>
                </c:pt>
                <c:pt idx="4">
                  <c:v>求职人员面试的到约率极低</c:v>
                </c:pt>
                <c:pt idx="5">
                  <c:v>符合岗位要求的应聘者减少</c:v>
                </c:pt>
                <c:pt idx="6">
                  <c:v>求职人员减少</c:v>
                </c:pt>
              </c:strCache>
            </c:strRef>
          </c:cat>
          <c:val>
            <c:numRef>
              <c:f>招聘困难及用人选择影响因素!$F$17:$F$23</c:f>
              <c:numCache>
                <c:formatCode>0.00%</c:formatCode>
                <c:ptCount val="7"/>
                <c:pt idx="0">
                  <c:v>0.0677290836653386</c:v>
                </c:pt>
                <c:pt idx="1">
                  <c:v>0.0677290836653386</c:v>
                </c:pt>
                <c:pt idx="2">
                  <c:v>0.0677290836653386</c:v>
                </c:pt>
                <c:pt idx="3">
                  <c:v>0.155378486055777</c:v>
                </c:pt>
                <c:pt idx="4">
                  <c:v>0.175298804780877</c:v>
                </c:pt>
                <c:pt idx="5">
                  <c:v>0.195219123505976</c:v>
                </c:pt>
                <c:pt idx="6">
                  <c:v>0.270916334661355</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源数据透视表!$Z$35</c:f>
              <c:strCache>
                <c:ptCount val="1"/>
                <c:pt idx="0">
                  <c:v>计数项:贵单位对我校毕业生的总体评价是？</c:v>
                </c:pt>
              </c:strCache>
            </c:strRef>
          </c:tx>
          <c:spPr/>
          <c:explosion val="0"/>
          <c:dPt>
            <c:idx val="0"/>
            <c:bubble3D val="0"/>
            <c:spPr>
              <a:solidFill>
                <a:schemeClr val="accent2">
                  <a:shade val="65000"/>
                </a:schemeClr>
              </a:solidFill>
              <a:ln>
                <a:noFill/>
              </a:ln>
              <a:effectLst/>
            </c:spPr>
          </c:dPt>
          <c:dPt>
            <c:idx val="1"/>
            <c:bubble3D val="0"/>
            <c:spPr>
              <a:solidFill>
                <a:schemeClr val="accent2"/>
              </a:solidFill>
              <a:ln>
                <a:noFill/>
              </a:ln>
              <a:effectLst/>
            </c:spPr>
          </c:dPt>
          <c:dPt>
            <c:idx val="2"/>
            <c:bubble3D val="0"/>
            <c:spPr>
              <a:solidFill>
                <a:schemeClr val="accent2">
                  <a:tint val="65000"/>
                </a:schemeClr>
              </a:solidFill>
              <a:ln>
                <a:noFill/>
              </a:ln>
              <a:effectLst/>
            </c:spPr>
          </c:dPt>
          <c:dLbls>
            <c:dLbl>
              <c:idx val="0"/>
              <c:layout>
                <c:manualLayout>
                  <c:x val="0.113893104131092"/>
                  <c:y val="-0.153324843124964"/>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17296587061346"/>
                  <c:y val="0.159957227502602"/>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319525009907"/>
                  <c:y val="0.0808058890656894"/>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源数据透视表!$Y$36:$Y$38</c:f>
              <c:strCache>
                <c:ptCount val="3"/>
                <c:pt idx="0">
                  <c:v>非常满意</c:v>
                </c:pt>
                <c:pt idx="1">
                  <c:v>比较满意</c:v>
                </c:pt>
                <c:pt idx="2">
                  <c:v>满意</c:v>
                </c:pt>
              </c:strCache>
            </c:strRef>
          </c:cat>
          <c:val>
            <c:numRef>
              <c:f>源数据透视表!$Z$36:$Z$38</c:f>
              <c:numCache>
                <c:formatCode>0.00%</c:formatCode>
                <c:ptCount val="3"/>
                <c:pt idx="0">
                  <c:v>0.509803921568627</c:v>
                </c:pt>
                <c:pt idx="1">
                  <c:v>0.176470588235294</c:v>
                </c:pt>
                <c:pt idx="2">
                  <c:v>0.313725490196078</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42511346444781"/>
          <c:y val="0.057516339869281"/>
          <c:w val="0.925152179351257"/>
          <c:h val="0.850779325661215"/>
        </c:manualLayout>
      </c:layout>
      <c:barChart>
        <c:barDir val="col"/>
        <c:grouping val="clustered"/>
        <c:varyColors val="0"/>
        <c:ser>
          <c:idx val="0"/>
          <c:order val="0"/>
          <c:tx>
            <c:strRef>
              <c:f>源数据透视表!$Z$49</c:f>
              <c:strCache>
                <c:ptCount val="1"/>
                <c:pt idx="0">
                  <c:v>计数项:根据贵单位情况，您认为应届毕业生需要多久才能适应工作岗位？</c:v>
                </c:pt>
              </c:strCache>
            </c:strRef>
          </c:tx>
          <c:spPr>
            <a:solidFill>
              <a:srgbClr val="005099"/>
            </a:solidFill>
            <a:ln w="25400">
              <a:noFill/>
            </a:ln>
          </c:spPr>
          <c:invertIfNegative val="0"/>
          <c:dLbls>
            <c:spPr>
              <a:noFill/>
              <a:ln w="25400">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源数据透视表!$Y$50:$Y$52</c:f>
              <c:strCache>
                <c:ptCount val="3"/>
                <c:pt idx="0">
                  <c:v>3个月以内</c:v>
                </c:pt>
                <c:pt idx="1">
                  <c:v>3-6个月</c:v>
                </c:pt>
                <c:pt idx="2">
                  <c:v>6个月-1年</c:v>
                </c:pt>
              </c:strCache>
            </c:strRef>
          </c:cat>
          <c:val>
            <c:numRef>
              <c:f>源数据透视表!$Z$50:$Z$52</c:f>
              <c:numCache>
                <c:formatCode>0.00%</c:formatCode>
                <c:ptCount val="3"/>
                <c:pt idx="0">
                  <c:v>0.549019607843137</c:v>
                </c:pt>
                <c:pt idx="1">
                  <c:v>0.431372549019608</c:v>
                </c:pt>
                <c:pt idx="2">
                  <c:v>0.0196078431372549</c:v>
                </c:pt>
              </c:numCache>
            </c:numRef>
          </c:val>
        </c:ser>
        <c:dLbls>
          <c:showLegendKey val="0"/>
          <c:showVal val="1"/>
          <c:showCatName val="0"/>
          <c:showSerName val="0"/>
          <c:showPercent val="0"/>
          <c:showBubbleSize val="0"/>
        </c:dLbls>
        <c:gapWidth val="182"/>
        <c:axId val="1323049791"/>
        <c:axId val="1"/>
      </c:barChart>
      <c:catAx>
        <c:axId val="132304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323049791"/>
        <c:crosses val="autoZero"/>
        <c:crossBetween val="between"/>
      </c:valAx>
      <c:spPr>
        <a:noFill/>
        <a:ln w="25400">
          <a:noFill/>
        </a:ln>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301554136939"/>
          <c:y val="0.0705917146438678"/>
          <c:w val="0.550924955112612"/>
          <c:h val="0.872446649602546"/>
        </c:manualLayout>
      </c:layout>
      <c:radarChart>
        <c:radarStyle val="marker"/>
        <c:varyColors val="0"/>
        <c:ser>
          <c:idx val="1"/>
          <c:order val="0"/>
          <c:spPr>
            <a:ln w="28575" cap="rnd" cmpd="sng" algn="ctr">
              <a:solidFill>
                <a:srgbClr val="1D5981"/>
              </a:solidFill>
              <a:prstDash val="solid"/>
              <a:round/>
            </a:ln>
            <a:effectLst/>
          </c:spPr>
          <c:marker>
            <c:symbol val="circle"/>
            <c:size val="8"/>
            <c:spPr>
              <a:solidFill>
                <a:srgbClr val="1D5981"/>
              </a:solidFill>
              <a:ln w="9525" cap="flat" cmpd="sng" algn="ctr">
                <a:solidFill>
                  <a:srgbClr val="FFFFFF"/>
                </a:solidFill>
                <a:prstDash val="solid"/>
                <a:round/>
              </a:ln>
            </c:spPr>
          </c:marker>
          <c:dLbls>
            <c:dLbl>
              <c:idx val="0"/>
              <c:layout>
                <c:manualLayout>
                  <c:x val="0.00285952096103566"/>
                  <c:y val="0.00381315538608198"/>
                </c:manualLayout>
              </c:layout>
              <c:tx>
                <c:rich>
                  <a:bodyPr rot="0" spcFirstLastPara="0" vertOverflow="ellipsis" vert="horz" wrap="square" lIns="38100" tIns="19050" rIns="38100" bIns="19050" anchor="ctr" anchorCtr="1"/>
                  <a:lstStyle/>
                  <a:p>
                    <a:fld id="{4a62901d-dbba-4c29-a558-7a00a980da27}" type="CATEGORYNAME">
                      <a:t>[CATEGORY NAME]</a:t>
                    </a:fld>
                    <a:r>
                      <a:t> </a:t>
                    </a:r>
                    <a:fld id="{c181e00e-cbb8-424e-9d80-f4540ee6758d}"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12039489525644"/>
                  <c:y val="0.0228789323164919"/>
                </c:manualLayout>
              </c:layout>
              <c:tx>
                <c:rich>
                  <a:bodyPr rot="0" spcFirstLastPara="0" vertOverflow="ellipsis" vert="horz" wrap="square" lIns="38100" tIns="19050" rIns="38100" bIns="19050" anchor="ctr" anchorCtr="1"/>
                  <a:lstStyle/>
                  <a:p>
                    <a:fld id="{c85fc28f-217f-4f9c-9bff-4b5f158f16a2}" type="CATEGORYNAME">
                      <a:t>[CATEGORY NAME]</a:t>
                    </a:fld>
                    <a:r>
                      <a:t> </a:t>
                    </a:r>
                    <a:fld id="{07069a08-6a30-4be2-bfb0-c16ddd5d087e}"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90922224897664"/>
                  <c:y val="0.0343183984747378"/>
                </c:manualLayout>
              </c:layout>
              <c:tx>
                <c:rich>
                  <a:bodyPr rot="0" spcFirstLastPara="0" vertOverflow="ellipsis" vert="horz" wrap="square" lIns="38100" tIns="19050" rIns="38100" bIns="19050" anchor="ctr" anchorCtr="1"/>
                  <a:lstStyle/>
                  <a:p>
                    <a:fld id="{17deed49-dc37-479c-85c3-da0e2e6f378a}" type="CATEGORYNAME">
                      <a:t>[CATEGORY NAME]</a:t>
                    </a:fld>
                    <a:r>
                      <a:t> </a:t>
                    </a:r>
                    <a:fld id="{e9375412-7741-4b97-82cb-82ec73247ec3}"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320250421382133"/>
                      <c:h val="0.0617923331556863"/>
                    </c:manualLayout>
                  </c15:layout>
                </c:ext>
              </c:extLst>
            </c:dLbl>
            <c:dLbl>
              <c:idx val="3"/>
              <c:layout>
                <c:manualLayout>
                  <c:x val="0.0594396233820158"/>
                  <c:y val="0.0290487378305548"/>
                </c:manualLayout>
              </c:layout>
              <c:tx>
                <c:rich>
                  <a:bodyPr rot="0" spcFirstLastPara="0" vertOverflow="ellipsis" vert="horz" wrap="square" lIns="38100" tIns="19050" rIns="38100" bIns="19050" anchor="ctr" anchorCtr="1"/>
                  <a:lstStyle/>
                  <a:p>
                    <a:fld id="{5bea7151-221c-4ca6-ac4f-7cefdf627b67}" type="CATEGORYNAME">
                      <a:t>[CATEGORY NAME]</a:t>
                    </a:fld>
                    <a:r>
                      <a:t> </a:t>
                    </a:r>
                    <a:fld id="{80010c92-e3ef-4f6f-82fc-bc1148335478}"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778030680790473"/>
                  <c:y val="0.0190657769304098"/>
                </c:manualLayout>
              </c:layout>
              <c:tx>
                <c:rich>
                  <a:bodyPr rot="0" spcFirstLastPara="0" vertOverflow="ellipsis" vert="horz" wrap="square" lIns="38100" tIns="19050" rIns="38100" bIns="19050" anchor="ctr" anchorCtr="1"/>
                  <a:lstStyle/>
                  <a:p>
                    <a:fld id="{f3d1ab7d-65c2-4798-a353-ba5869853e8f}" type="CATEGORYNAME">
                      <a:t>[CATEGORY NAME]</a:t>
                    </a:fld>
                    <a:r>
                      <a:t> </a:t>
                    </a:r>
                    <a:fld id="{d07f98eb-e1e4-479f-92c5-d01dcd261b8a}"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5522523325326"/>
                      <c:h val="0.0644615419259437"/>
                    </c:manualLayout>
                  </c15:layout>
                </c:ext>
              </c:extLst>
            </c:dLbl>
            <c:dLbl>
              <c:idx val="5"/>
              <c:layout>
                <c:manualLayout>
                  <c:x val="0.0359616708157085"/>
                  <c:y val="0"/>
                </c:manualLayout>
              </c:layout>
              <c:tx>
                <c:rich>
                  <a:bodyPr rot="0" spcFirstLastPara="0" vertOverflow="ellipsis" vert="horz" wrap="square" lIns="38100" tIns="19050" rIns="38100" bIns="19050" anchor="ctr" anchorCtr="1"/>
                  <a:lstStyle/>
                  <a:p>
                    <a:fld id="{5d8f8aa3-2559-425f-9da3-548c35554fab}" type="CATEGORYNAME">
                      <a:t>[CATEGORY NAME]</a:t>
                    </a:fld>
                    <a:r>
                      <a:t> </a:t>
                    </a:r>
                    <a:fld id="{514d215b-bd09-4fd4-82d7-88d5a5bf6c6e}"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0505582720772953"/>
                  <c:y val="-0.0254175330085646"/>
                </c:manualLayout>
              </c:layout>
              <c:tx>
                <c:rich>
                  <a:bodyPr rot="0" spcFirstLastPara="0" vertOverflow="ellipsis" vert="horz" wrap="square" lIns="38100" tIns="19050" rIns="38100" bIns="19050" anchor="ctr" anchorCtr="1"/>
                  <a:lstStyle/>
                  <a:p>
                    <a:fld id="{22abc8ff-286f-487b-b8de-f6a9a4f5c996}" type="CATEGORYNAME">
                      <a:t>[CATEGORY NAME]</a:t>
                    </a:fld>
                    <a:r>
                      <a:t> </a:t>
                    </a:r>
                    <a:fld id="{7391184c-897d-4ead-88cf-2b0101a8836e}"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0344572086206536"/>
                  <c:y val="-0.0393955998588832"/>
                </c:manualLayout>
              </c:layout>
              <c:tx>
                <c:rich>
                  <a:bodyPr rot="0" spcFirstLastPara="0" vertOverflow="ellipsis" vert="horz" wrap="square" lIns="38100" tIns="19050" rIns="38100" bIns="19050" anchor="ctr" anchorCtr="1"/>
                  <a:lstStyle/>
                  <a:p>
                    <a:fld id="{d5721c0e-cd2f-4688-87d7-18c68954cfa2}" type="CATEGORYNAME">
                      <a:t>[CATEGORY NAME]</a:t>
                    </a:fld>
                    <a:r>
                      <a:t> </a:t>
                    </a:r>
                    <a:fld id="{ef6ab111-5a40-4c2d-90f0-88db0d32331f}"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8"/>
              <c:layout>
                <c:manualLayout>
                  <c:x val="0.0668125309282162"/>
                  <c:y val="-0.0548304722157585"/>
                </c:manualLayout>
              </c:layout>
              <c:tx>
                <c:rich>
                  <a:bodyPr rot="0" spcFirstLastPara="0" vertOverflow="ellipsis" vert="horz" wrap="square" lIns="38100" tIns="19050" rIns="38100" bIns="19050" anchor="ctr" anchorCtr="1"/>
                  <a:lstStyle/>
                  <a:p>
                    <a:fld id="{64602fe1-5c43-489f-b7ca-61cc9823fdb9}" type="CATEGORYNAME">
                      <a:t>[CATEGORY NAME]</a:t>
                    </a:fld>
                    <a:r>
                      <a:t> </a:t>
                    </a:r>
                    <a:fld id="{489b56ca-47ff-44dc-9ce4-733c90c239aa}"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9"/>
              <c:layout>
                <c:manualLayout>
                  <c:x val="0.0541720149175911"/>
                  <c:y val="-0.0488324088182971"/>
                </c:manualLayout>
              </c:layout>
              <c:tx>
                <c:rich>
                  <a:bodyPr rot="0" spcFirstLastPara="0" vertOverflow="ellipsis" vert="horz" wrap="square" lIns="38100" tIns="19050" rIns="38100" bIns="19050" anchor="ctr" anchorCtr="1"/>
                  <a:lstStyle/>
                  <a:p>
                    <a:fld id="{276082a5-5bd5-4220-941e-2b655fad87b7}" type="CATEGORYNAME">
                      <a:t>[CATEGORY NAME]</a:t>
                    </a:fld>
                    <a:r>
                      <a:t> </a:t>
                    </a:r>
                    <a:fld id="{c832f3be-61b2-4ab2-aba3-efb554a38738}"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0"/>
              <c:layout>
                <c:manualLayout>
                  <c:x val="0.00240789790512882"/>
                  <c:y val="-0.0419447092469018"/>
                </c:manualLayout>
              </c:layout>
              <c:tx>
                <c:rich>
                  <a:bodyPr rot="0" spcFirstLastPara="0" vertOverflow="ellipsis" vert="horz" wrap="square" lIns="38100" tIns="19050" rIns="38100" bIns="19050" anchor="ctr" anchorCtr="1"/>
                  <a:lstStyle/>
                  <a:p>
                    <a:fld id="{715df07e-284e-440a-b1cb-645d119f1af2}" type="CATEGORYNAME">
                      <a:t>[CATEGORY NAME]</a:t>
                    </a:fld>
                    <a:r>
                      <a:t> </a:t>
                    </a:r>
                    <a:fld id="{9c24fc5d-52a2-4efc-9ecd-8bb9a7348e49}"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1"/>
              <c:layout>
                <c:manualLayout>
                  <c:x val="-0.0144473874307729"/>
                  <c:y val="-0.03813155386082"/>
                </c:manualLayout>
              </c:layout>
              <c:tx>
                <c:rich>
                  <a:bodyPr rot="0" spcFirstLastPara="0" vertOverflow="ellipsis" vert="horz" wrap="square" lIns="38100" tIns="19050" rIns="38100" bIns="19050" anchor="ctr" anchorCtr="1"/>
                  <a:lstStyle/>
                  <a:p>
                    <a:fld id="{66ed9a2b-2f6b-4a56-b880-55d8d929ae06}" type="CATEGORYNAME">
                      <a:t>[CATEGORY NAME]</a:t>
                    </a:fld>
                    <a:r>
                      <a:t> </a:t>
                    </a:r>
                    <a:fld id="{25375588-e854-4ea7-92cf-6e6366d756bb}"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12"/>
              <c:layout>
                <c:manualLayout>
                  <c:x val="-0.0732859843278078"/>
                  <c:y val="-0.047386112007686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1526607271852"/>
                      <c:h val="0.0541660223835224"/>
                    </c:manualLayout>
                  </c15:layout>
                </c:ext>
              </c:extLst>
            </c:dLbl>
            <c:dLbl>
              <c:idx val="13"/>
              <c:layout>
                <c:manualLayout>
                  <c:x val="-0.0371674491392801"/>
                  <c:y val="-0.0435729847494555"/>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4"/>
              <c:layout>
                <c:manualLayout>
                  <c:x val="-0.0753914730078437"/>
                  <c:y val="-0.025053331631925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5973994702625"/>
                      <c:h val="0.0694186439278503"/>
                    </c:manualLayout>
                  </c15:layout>
                </c:ext>
              </c:extLst>
            </c:dLbl>
            <c:dLbl>
              <c:idx val="15"/>
              <c:layout>
                <c:manualLayout>
                  <c:x val="-0.0273865414710485"/>
                  <c:y val="-0.0072621641249092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6"/>
              <c:layout>
                <c:manualLayout>
                  <c:x val="-0.0332550860719875"/>
                  <c:y val="0.00363108206245461"/>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7"/>
              <c:layout>
                <c:manualLayout>
                  <c:x val="-0.0350581403065046"/>
                  <c:y val="0.039577700547202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0767778154868"/>
                      <c:h val="0.0508512794337314"/>
                    </c:manualLayout>
                  </c15:layout>
                </c:ext>
              </c:extLst>
            </c:dLbl>
            <c:dLbl>
              <c:idx val="18"/>
              <c:layout>
                <c:manualLayout>
                  <c:x val="-0.0430359937402192"/>
                  <c:y val="0.0290486564996369"/>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9"/>
              <c:layout>
                <c:manualLayout>
                  <c:x val="0.00226607840646454"/>
                  <c:y val="0.046475758690316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ext>
            </c:extLst>
          </c:dLbls>
          <c:cat>
            <c:strRef>
              <c:f>用人单位对毕业生的各项能力评价!$K$1:$K$20</c:f>
              <c:strCache>
                <c:ptCount val="20"/>
                <c:pt idx="0">
                  <c:v>英语水平</c:v>
                </c:pt>
                <c:pt idx="1">
                  <c:v>专业技能</c:v>
                </c:pt>
                <c:pt idx="2">
                  <c:v>专业软件使用能力</c:v>
                </c:pt>
                <c:pt idx="3">
                  <c:v>实践操作能力</c:v>
                </c:pt>
                <c:pt idx="4">
                  <c:v>办公软件使用能力</c:v>
                </c:pt>
                <c:pt idx="5">
                  <c:v>创新能力</c:v>
                </c:pt>
                <c:pt idx="6">
                  <c:v>应用分析能力</c:v>
                </c:pt>
                <c:pt idx="7">
                  <c:v>管理能力</c:v>
                </c:pt>
                <c:pt idx="8">
                  <c:v>组织协调能力</c:v>
                </c:pt>
                <c:pt idx="9">
                  <c:v>自信心</c:v>
                </c:pt>
                <c:pt idx="10">
                  <c:v>抗压能力</c:v>
                </c:pt>
                <c:pt idx="11">
                  <c:v>情绪管理能力</c:v>
                </c:pt>
                <c:pt idx="12">
                  <c:v>团队合作能力</c:v>
                </c:pt>
                <c:pt idx="13">
                  <c:v>专业知识</c:v>
                </c:pt>
                <c:pt idx="14">
                  <c:v>爱岗敬业精神</c:v>
                </c:pt>
                <c:pt idx="15">
                  <c:v>进取心</c:v>
                </c:pt>
                <c:pt idx="16">
                  <c:v>职业道德</c:v>
                </c:pt>
                <c:pt idx="17">
                  <c:v>责任心</c:v>
                </c:pt>
                <c:pt idx="18">
                  <c:v>学习能力</c:v>
                </c:pt>
                <c:pt idx="19">
                  <c:v>人际沟通能力</c:v>
                </c:pt>
              </c:strCache>
            </c:strRef>
          </c:cat>
          <c:val>
            <c:numRef>
              <c:f>用人单位对毕业生的各项能力评价!$L$1:$L$20</c:f>
              <c:numCache>
                <c:formatCode>0.00</c:formatCode>
                <c:ptCount val="20"/>
                <c:pt idx="0">
                  <c:v>4.17647058823529</c:v>
                </c:pt>
                <c:pt idx="1">
                  <c:v>4.25490196078431</c:v>
                </c:pt>
                <c:pt idx="2">
                  <c:v>4.27450980392157</c:v>
                </c:pt>
                <c:pt idx="3">
                  <c:v>4.29411764705882</c:v>
                </c:pt>
                <c:pt idx="4">
                  <c:v>4.29411764705882</c:v>
                </c:pt>
                <c:pt idx="5">
                  <c:v>4.32</c:v>
                </c:pt>
                <c:pt idx="6">
                  <c:v>4.33333333333333</c:v>
                </c:pt>
                <c:pt idx="7">
                  <c:v>4.33333333333333</c:v>
                </c:pt>
                <c:pt idx="8">
                  <c:v>4.35294117647059</c:v>
                </c:pt>
                <c:pt idx="9">
                  <c:v>4.35294117647059</c:v>
                </c:pt>
                <c:pt idx="10">
                  <c:v>4.35294117647059</c:v>
                </c:pt>
                <c:pt idx="11">
                  <c:v>4.35294117647059</c:v>
                </c:pt>
                <c:pt idx="12">
                  <c:v>4.37254901960784</c:v>
                </c:pt>
                <c:pt idx="13">
                  <c:v>4.3921568627451</c:v>
                </c:pt>
                <c:pt idx="14">
                  <c:v>4.3921568627451</c:v>
                </c:pt>
                <c:pt idx="15">
                  <c:v>4.3921568627451</c:v>
                </c:pt>
                <c:pt idx="16">
                  <c:v>4.41176470588235</c:v>
                </c:pt>
                <c:pt idx="17">
                  <c:v>4.41176470588235</c:v>
                </c:pt>
                <c:pt idx="18">
                  <c:v>4.41176470588235</c:v>
                </c:pt>
                <c:pt idx="19">
                  <c:v>4.43137254901961</c:v>
                </c:pt>
              </c:numCache>
            </c:numRef>
          </c:val>
        </c:ser>
        <c:dLbls>
          <c:showLegendKey val="0"/>
          <c:showVal val="1"/>
          <c:showCatName val="0"/>
          <c:showSerName val="0"/>
          <c:showPercent val="0"/>
          <c:showBubbleSize val="0"/>
        </c:dLbls>
        <c:axId val="571963824"/>
        <c:axId val="1"/>
      </c:radarChart>
      <c:catAx>
        <c:axId val="571963824"/>
        <c:scaling>
          <c:orientation val="minMax"/>
        </c:scaling>
        <c:delete val="0"/>
        <c:axPos val="b"/>
        <c:majorGridlines>
          <c:spPr>
            <a:ln w="9525" cap="flat" cmpd="sng" algn="ctr">
              <a:solidFill>
                <a:schemeClr val="bg1">
                  <a:lumMod val="95000"/>
                </a:schemeClr>
              </a:solidFill>
              <a:prstDash val="solid"/>
              <a:round/>
            </a:ln>
          </c:spPr>
        </c:majorGridlines>
        <c:numFmt formatCode="General" sourceLinked="0"/>
        <c:majorTickMark val="out"/>
        <c:minorTickMark val="none"/>
        <c:tickLblPos val="none"/>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0"/>
        <c:lblAlgn val="ctr"/>
        <c:lblOffset val="100"/>
        <c:noMultiLvlLbl val="0"/>
      </c:catAx>
      <c:valAx>
        <c:axId val="1"/>
        <c:scaling>
          <c:orientation val="minMax"/>
          <c:max val="4.5"/>
          <c:min val="4"/>
        </c:scaling>
        <c:delete val="0"/>
        <c:axPos val="l"/>
        <c:majorGridlines>
          <c:spPr>
            <a:ln w="9525" cap="flat" cmpd="sng" algn="ctr">
              <a:solidFill>
                <a:schemeClr val="bg1">
                  <a:lumMod val="95000"/>
                </a:schemeClr>
              </a:solidFill>
              <a:prstDash val="solid"/>
              <a:round/>
            </a:ln>
          </c:spPr>
        </c:majorGridlines>
        <c:numFmt formatCode="0.00" sourceLinked="1"/>
        <c:majorTickMark val="none"/>
        <c:minorTickMark val="none"/>
        <c:tickLblPos val="none"/>
        <c:spPr>
          <a:ln w="9525" cap="flat" cmpd="sng" algn="ctr">
            <a:solidFill>
              <a:schemeClr val="bg1">
                <a:lumMod val="9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571963824"/>
        <c:crosses val="autoZero"/>
        <c:crossBetween val="between"/>
      </c:valAx>
      <c:spPr>
        <a:noFill/>
        <a:ln w="25400">
          <a:noFill/>
        </a:ln>
      </c:spPr>
    </c:plotArea>
    <c:plotVisOnly val="1"/>
    <c:dispBlanksAs val="gap"/>
    <c:showDLblsOverMax val="0"/>
  </c:chart>
  <c:spPr>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源数据透视表!$Z$21</c:f>
              <c:strCache>
                <c:ptCount val="1"/>
                <c:pt idx="0">
                  <c:v>计数项:贵单位对我校就业服务工作的满意度如何？</c:v>
                </c:pt>
              </c:strCache>
            </c:strRef>
          </c:tx>
          <c:spPr/>
          <c:explosion val="0"/>
          <c:dPt>
            <c:idx val="0"/>
            <c:bubble3D val="0"/>
            <c:spPr>
              <a:solidFill>
                <a:schemeClr val="accent2">
                  <a:shade val="58000"/>
                </a:schemeClr>
              </a:solidFill>
              <a:ln>
                <a:noFill/>
              </a:ln>
              <a:effectLst/>
            </c:spPr>
          </c:dPt>
          <c:dPt>
            <c:idx val="1"/>
            <c:bubble3D val="0"/>
            <c:spPr>
              <a:solidFill>
                <a:schemeClr val="accent2">
                  <a:shade val="86000"/>
                </a:schemeClr>
              </a:solidFill>
              <a:ln>
                <a:noFill/>
              </a:ln>
              <a:effectLst/>
            </c:spPr>
          </c:dPt>
          <c:dPt>
            <c:idx val="2"/>
            <c:bubble3D val="0"/>
            <c:spPr>
              <a:solidFill>
                <a:schemeClr val="accent2">
                  <a:tint val="86000"/>
                </a:schemeClr>
              </a:solidFill>
              <a:ln>
                <a:noFill/>
              </a:ln>
              <a:effectLst/>
            </c:spPr>
          </c:dPt>
          <c:dPt>
            <c:idx val="3"/>
            <c:bubble3D val="0"/>
            <c:spPr>
              <a:solidFill>
                <a:schemeClr val="accent2">
                  <a:tint val="58000"/>
                </a:schemeClr>
              </a:solidFill>
              <a:ln>
                <a:noFill/>
              </a:ln>
              <a:effectLst/>
            </c:spPr>
          </c:dPt>
          <c:dLbls>
            <c:dLbl>
              <c:idx val="0"/>
              <c:layout>
                <c:manualLayout>
                  <c:x val="0.0833364411304232"/>
                  <c:y val="-0.153324843124964"/>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733956609057332"/>
                  <c:y val="0.141946262086492"/>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2319525009907"/>
                  <c:y val="0.080805889065689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65849295981703"/>
                  <c:y val="-0.0342090160718321"/>
                </c:manualLayout>
              </c:layout>
              <c:numFmt formatCode="General" sourceLinked="1"/>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dk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63776423393123"/>
                      <c:h val="0.0753416174319672"/>
                    </c:manualLayout>
                  </c15:layout>
                </c:ext>
              </c:extLst>
            </c:dLbl>
            <c:spPr>
              <a:noFill/>
              <a:ln w="25400">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源数据透视表!$Y$22:$Y$25</c:f>
              <c:strCache>
                <c:ptCount val="4"/>
                <c:pt idx="0">
                  <c:v>非常满意</c:v>
                </c:pt>
                <c:pt idx="1">
                  <c:v>比较满意</c:v>
                </c:pt>
                <c:pt idx="2">
                  <c:v>满意</c:v>
                </c:pt>
                <c:pt idx="3">
                  <c:v>不太满意</c:v>
                </c:pt>
              </c:strCache>
            </c:strRef>
          </c:cat>
          <c:val>
            <c:numRef>
              <c:f>源数据透视表!$Z$22:$Z$25</c:f>
              <c:numCache>
                <c:formatCode>0.00%</c:formatCode>
                <c:ptCount val="4"/>
                <c:pt idx="0">
                  <c:v>0.530612244897959</c:v>
                </c:pt>
                <c:pt idx="1">
                  <c:v>0.115646258503401</c:v>
                </c:pt>
                <c:pt idx="2">
                  <c:v>0.333333333333333</c:v>
                </c:pt>
                <c:pt idx="3">
                  <c:v>0.0204081632653061</c:v>
                </c:pt>
              </c:numCache>
            </c:numRef>
          </c:val>
        </c:ser>
        <c:dLbls>
          <c:showLegendKey val="0"/>
          <c:showVal val="0"/>
          <c:showCatName val="0"/>
          <c:showSerName val="0"/>
          <c:showPercent val="0"/>
          <c:showBubbleSize val="0"/>
          <c:showLeaderLines val="0"/>
        </c:dLbls>
        <c:firstSliceAng val="291"/>
        <c:holeSize val="50"/>
      </c:doughnut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316478344716"/>
          <c:y val="0.132077873963568"/>
          <c:w val="0.556387164917547"/>
          <c:h val="0.855283525605811"/>
        </c:manualLayout>
      </c:layout>
      <c:radarChart>
        <c:radarStyle val="marker"/>
        <c:varyColors val="0"/>
        <c:ser>
          <c:idx val="0"/>
          <c:order val="0"/>
          <c:tx>
            <c:strRef>
              <c:f>服务评价!$A$2</c:f>
              <c:strCache>
                <c:ptCount val="1"/>
                <c:pt idx="0">
                  <c:v>重要性</c:v>
                </c:pt>
              </c:strCache>
            </c:strRef>
          </c:tx>
          <c:spPr>
            <a:ln w="41275" cap="rnd" cmpd="sng" algn="ctr">
              <a:solidFill>
                <a:srgbClr val="297CB5"/>
              </a:solidFill>
              <a:prstDash val="sysDash"/>
              <a:round/>
            </a:ln>
          </c:spPr>
          <c:marker>
            <c:symbol val="circle"/>
            <c:size val="7"/>
            <c:spPr>
              <a:solidFill>
                <a:srgbClr val="297CB5"/>
              </a:solidFill>
              <a:ln w="9525" cap="flat" cmpd="sng" algn="ctr">
                <a:solidFill>
                  <a:schemeClr val="bg1"/>
                </a:solidFill>
                <a:prstDash val="solid"/>
                <a:round/>
              </a:ln>
            </c:spPr>
          </c:marker>
          <c:dLbls>
            <c:dLbl>
              <c:idx val="0"/>
              <c:layout>
                <c:manualLayout>
                  <c:x val="0.002210433244916"/>
                  <c:y val="0.0209492897357296"/>
                </c:manualLayout>
              </c:layout>
              <c:tx>
                <c:rich>
                  <a:bodyPr rot="0" spcFirstLastPara="0" vertOverflow="ellipsis" vert="horz" wrap="square" lIns="38100" tIns="19050" rIns="38100" bIns="19050" anchor="ctr" anchorCtr="1"/>
                  <a:lstStyle/>
                  <a:p>
                    <a:fld id="{ffcf3a36-56f3-493a-b77f-68aaeaaffa8b}"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95755968169761"/>
                  <c:y val="0.082836315440689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28381962864721"/>
                  <c:y val="0.003313452617627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73651635720601"/>
                  <c:y val="-0.0194886898679651"/>
                </c:manualLayout>
              </c:layout>
              <c:tx>
                <c:rich>
                  <a:bodyPr rot="0" spcFirstLastPara="0" vertOverflow="ellipsis" vert="horz" wrap="square" lIns="38100" tIns="19050" rIns="38100" bIns="19050" anchor="ctr" anchorCtr="1"/>
                  <a:lstStyle/>
                  <a:p>
                    <a:fld id="{7b64b3f2-7c4d-4428-b543-980d1242f83d}"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6525198938992"/>
                  <c:y val="-0.0335391997756007"/>
                </c:manualLayout>
              </c:layout>
              <c:tx>
                <c:rich>
                  <a:bodyPr rot="0" spcFirstLastPara="0" vertOverflow="ellipsis" vert="horz" wrap="square" lIns="38100" tIns="19050" rIns="38100" bIns="19050" anchor="ctr" anchorCtr="1"/>
                  <a:lstStyle/>
                  <a:p>
                    <a:fld id="{456658f8-7d7a-4f35-9085-ba4806748e71}"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707338638373121"/>
                  <c:y val="-0.0222708921880948"/>
                </c:manualLayout>
              </c:layout>
              <c:tx>
                <c:rich>
                  <a:bodyPr rot="0" spcFirstLastPara="0" vertOverflow="ellipsis" vert="horz" wrap="square" lIns="38100" tIns="19050" rIns="38100" bIns="19050" anchor="ctr" anchorCtr="1"/>
                  <a:lstStyle/>
                  <a:p>
                    <a:fld id="{e538514e-eec5-4cf9-9a78-0a30afdcba83}"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19982316534041"/>
                  <c:y val="0.00622858688465468"/>
                </c:manualLayout>
              </c:layout>
              <c:tx>
                <c:rich>
                  <a:bodyPr rot="0" spcFirstLastPara="0" vertOverflow="ellipsis" vert="horz" wrap="square" lIns="38100" tIns="19050" rIns="38100" bIns="19050" anchor="ctr" anchorCtr="1"/>
                  <a:lstStyle/>
                  <a:p>
                    <a:fld id="{655e6f0f-896d-44ad-a5a3-71188259282f}"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75773651635721"/>
                  <c:y val="0.02187268337641"/>
                </c:manualLayout>
              </c:layout>
              <c:tx>
                <c:rich>
                  <a:bodyPr rot="0" spcFirstLastPara="0" vertOverflow="ellipsis" vert="horz" wrap="square" lIns="38100" tIns="19050" rIns="38100" bIns="19050" anchor="ctr" anchorCtr="1"/>
                  <a:lstStyle/>
                  <a:p>
                    <a:fld id="{3ae996a4-1d07-4120-87fc-8d4283577a07}"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服务评价!$B$1:$I$1</c:f>
              <c:strCache>
                <c:ptCount val="8"/>
                <c:pt idx="0">
                  <c:v>招聘会场地安排</c:v>
                </c:pt>
                <c:pt idx="1">
                  <c:v>招聘会服务态度</c:v>
                </c:pt>
                <c:pt idx="2">
                  <c:v>就业信息平台建设:4分</c:v>
                </c:pt>
                <c:pt idx="3">
                  <c:v>招聘信息发布渠道多样性</c:v>
                </c:pt>
                <c:pt idx="4">
                  <c:v>毕业生就业手续办理</c:v>
                </c:pt>
                <c:pt idx="5">
                  <c:v>毕业生求职准备</c:v>
                </c:pt>
                <c:pt idx="6">
                  <c:v>毕业生面试表现</c:v>
                </c:pt>
                <c:pt idx="7">
                  <c:v>毕业生职业规划意识</c:v>
                </c:pt>
              </c:strCache>
            </c:strRef>
          </c:cat>
          <c:val>
            <c:numRef>
              <c:f>服务评价!$B$2:$I$2</c:f>
              <c:numCache>
                <c:formatCode>0.00</c:formatCode>
                <c:ptCount val="8"/>
                <c:pt idx="0">
                  <c:v>4.51612903225806</c:v>
                </c:pt>
                <c:pt idx="1">
                  <c:v>4.61290322580645</c:v>
                </c:pt>
                <c:pt idx="2">
                  <c:v>4.23333333333333</c:v>
                </c:pt>
                <c:pt idx="3">
                  <c:v>4.2258064516129</c:v>
                </c:pt>
                <c:pt idx="4">
                  <c:v>4.48275862068965</c:v>
                </c:pt>
                <c:pt idx="5">
                  <c:v>4.16666666666667</c:v>
                </c:pt>
                <c:pt idx="6">
                  <c:v>4.16666666666667</c:v>
                </c:pt>
                <c:pt idx="7">
                  <c:v>3.83870967741935</c:v>
                </c:pt>
              </c:numCache>
            </c:numRef>
          </c:val>
        </c:ser>
        <c:ser>
          <c:idx val="2"/>
          <c:order val="1"/>
          <c:tx>
            <c:strRef>
              <c:f>服务评价!$A$3</c:f>
              <c:strCache>
                <c:ptCount val="1"/>
                <c:pt idx="0">
                  <c:v>满意度</c:v>
                </c:pt>
              </c:strCache>
            </c:strRef>
          </c:tx>
          <c:dLbls>
            <c:dLbl>
              <c:idx val="0"/>
              <c:layout>
                <c:manualLayout>
                  <c:x val="0.015473032714412"/>
                  <c:y val="0.127226463104326"/>
                </c:manualLayout>
              </c:layout>
              <c:tx>
                <c:rich>
                  <a:bodyPr rot="0" spcFirstLastPara="0" vertOverflow="ellipsis" vert="horz" wrap="square" lIns="38100" tIns="19050" rIns="38100" bIns="19050" anchor="ctr" anchorCtr="1"/>
                  <a:lstStyle/>
                  <a:p>
                    <a:fld id="{cbac1627-5d7f-4a29-9ee0-7ce31276753f}" type="CATEGORYNAME">
                      <a:t>[CATEGORY NAME]</a:t>
                    </a:fld>
                    <a:r>
                      <a:t> </a:t>
                    </a:r>
                    <a:fld id="{9dc1748b-2c9b-442e-9846-d85f93c02fb3}"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508399646330681"/>
                  <c:y val="0.0063613231552162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729442970822281"/>
                  <c:y val="-0.0731552162849873"/>
                </c:manualLayout>
              </c:layout>
              <c:tx>
                <c:rich>
                  <a:bodyPr rot="0" spcFirstLastPara="0" vertOverflow="ellipsis" vert="horz" wrap="square" lIns="38100" tIns="19050" rIns="38100" bIns="19050" anchor="ctr" anchorCtr="1"/>
                  <a:lstStyle/>
                  <a:p>
                    <a:fld id="{a32d1c1c-aa3c-4d6f-94e9-381435b00a0b}" type="CATEGORYNAME">
                      <a:t>[CATEGORY NAME]</a:t>
                    </a:fld>
                    <a:r>
                      <a:t> </a:t>
                    </a:r>
                    <a:fld id="{65fb089c-6459-4c2f-9bb9-eaa265cb115a}"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
                  <c:y val="-0.133587786259542"/>
                </c:manualLayout>
              </c:layout>
              <c:tx>
                <c:rich>
                  <a:bodyPr rot="0" spcFirstLastPara="0" vertOverflow="ellipsis" vert="horz" wrap="square" lIns="38100" tIns="19050" rIns="38100" bIns="19050" anchor="ctr" anchorCtr="1"/>
                  <a:lstStyle/>
                  <a:p>
                    <a:fld id="{91d803ae-361e-40c8-b460-4941dc6178fd}" type="CATEGORYNAME">
                      <a:t>[CATEGORY NAME]</a:t>
                    </a:fld>
                    <a:r>
                      <a:t> </a:t>
                    </a:r>
                    <a:fld id="{a471a8fd-86f8-4738-8a91-4d9e2f014c16}"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685234305923961"/>
                  <c:y val="-0.0699745547073792"/>
                </c:manualLayout>
              </c:layout>
              <c:tx>
                <c:rich>
                  <a:bodyPr rot="0" spcFirstLastPara="0" vertOverflow="ellipsis" vert="horz" wrap="square" lIns="38100" tIns="19050" rIns="38100" bIns="19050" anchor="ctr" anchorCtr="1"/>
                  <a:lstStyle/>
                  <a:p>
                    <a:fld id="{4bb769f3-b039-4fdf-823d-b1c295870754}" type="CATEGORYNAME">
                      <a:t>[CATEGORY NAME]</a:t>
                    </a:fld>
                    <a:r>
                      <a:t> </a:t>
                    </a:r>
                    <a:fld id="{b910354b-4221-4a1e-89d5-cd49a01b91a3}"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106100795755968"/>
                  <c:y val="0.00636132315521628"/>
                </c:manualLayout>
              </c:layout>
              <c:tx>
                <c:rich>
                  <a:bodyPr rot="0" spcFirstLastPara="0" vertOverflow="ellipsis" vert="horz" wrap="square" lIns="38100" tIns="19050" rIns="38100" bIns="19050" anchor="ctr" anchorCtr="1"/>
                  <a:lstStyle/>
                  <a:p>
                    <a:fld id="{f5fa29f9-2d40-456e-8b2a-20dcb05b6f54}" type="CATEGORYNAME">
                      <a:t>[CATEGORY NAME]</a:t>
                    </a:fld>
                    <a:r>
                      <a:t> </a:t>
                    </a:r>
                    <a:fld id="{5ee24513-3b15-4d51-973e-fa6c5a3b87f2}"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072944297082228"/>
                  <c:y val="0.0858778625954199"/>
                </c:manualLayout>
              </c:layout>
              <c:tx>
                <c:rich>
                  <a:bodyPr rot="0" spcFirstLastPara="0" vertOverflow="ellipsis" vert="horz" wrap="square" lIns="38100" tIns="19050" rIns="38100" bIns="19050" anchor="ctr" anchorCtr="1"/>
                  <a:lstStyle/>
                  <a:p>
                    <a:fld id="{18260694-e307-412d-bac4-c805aa76fcaa}" type="CATEGORYNAME">
                      <a:t>[CATEGORY NAME]</a:t>
                    </a:fld>
                    <a:r>
                      <a:t> </a:t>
                    </a:r>
                    <a:fld id="{9cb52747-7e09-4304-bf6f-bb8c313f2c46}" type="VALUE">
                      <a:t>[VALUE]</a:t>
                    </a:fld>
                    <a:endParaRPr lang="zh-CN" altLang="en-US"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ext>
            </c:extLst>
          </c:dLbls>
          <c:cat>
            <c:strRef>
              <c:f>服务评价!$B$1:$I$1</c:f>
              <c:strCache>
                <c:ptCount val="8"/>
                <c:pt idx="0">
                  <c:v>招聘会场地安排</c:v>
                </c:pt>
                <c:pt idx="1">
                  <c:v>招聘会服务态度</c:v>
                </c:pt>
                <c:pt idx="2">
                  <c:v>就业信息平台建设:4分</c:v>
                </c:pt>
                <c:pt idx="3">
                  <c:v>招聘信息发布渠道多样性</c:v>
                </c:pt>
                <c:pt idx="4">
                  <c:v>毕业生就业手续办理</c:v>
                </c:pt>
                <c:pt idx="5">
                  <c:v>毕业生求职准备</c:v>
                </c:pt>
                <c:pt idx="6">
                  <c:v>毕业生面试表现</c:v>
                </c:pt>
                <c:pt idx="7">
                  <c:v>毕业生职业规划意识</c:v>
                </c:pt>
              </c:strCache>
            </c:strRef>
          </c:cat>
          <c:val>
            <c:numRef>
              <c:f>服务评价!$B$3:$I$3</c:f>
              <c:numCache>
                <c:formatCode>0.00</c:formatCode>
                <c:ptCount val="8"/>
                <c:pt idx="0">
                  <c:v>4.45161290322581</c:v>
                </c:pt>
                <c:pt idx="1">
                  <c:v>4.51612903225806</c:v>
                </c:pt>
                <c:pt idx="2">
                  <c:v>4.2258064516129</c:v>
                </c:pt>
                <c:pt idx="3">
                  <c:v>4.13333333333333</c:v>
                </c:pt>
                <c:pt idx="4">
                  <c:v>4.38709677419355</c:v>
                </c:pt>
                <c:pt idx="5">
                  <c:v>3.96774193548387</c:v>
                </c:pt>
                <c:pt idx="6">
                  <c:v>4.09677419354839</c:v>
                </c:pt>
                <c:pt idx="7">
                  <c:v>3.7741935483871</c:v>
                </c:pt>
              </c:numCache>
            </c:numRef>
          </c:val>
        </c:ser>
        <c:dLbls>
          <c:showLegendKey val="0"/>
          <c:showVal val="1"/>
          <c:showCatName val="0"/>
          <c:showSerName val="0"/>
          <c:showPercent val="0"/>
          <c:showBubbleSize val="0"/>
        </c:dLbls>
        <c:axId val="473211248"/>
        <c:axId val="1"/>
      </c:radarChart>
      <c:catAx>
        <c:axId val="473211248"/>
        <c:scaling>
          <c:orientation val="minMax"/>
        </c:scaling>
        <c:delete val="0"/>
        <c:axPos val="b"/>
        <c:majorGridlines>
          <c:spPr>
            <a:ln w="9525" cap="flat" cmpd="sng" algn="ctr">
              <a:solidFill>
                <a:schemeClr val="bg1">
                  <a:lumMod val="95000"/>
                </a:schemeClr>
              </a:solidFill>
              <a:prstDash val="solid"/>
              <a:round/>
            </a:ln>
          </c:spPr>
        </c:majorGridlines>
        <c:numFmt formatCode="General" sourceLinked="0"/>
        <c:majorTickMark val="out"/>
        <c:minorTickMark val="none"/>
        <c:tickLblPos val="none"/>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
        <c:crosses val="autoZero"/>
        <c:auto val="0"/>
        <c:lblAlgn val="ctr"/>
        <c:lblOffset val="100"/>
        <c:noMultiLvlLbl val="0"/>
      </c:catAx>
      <c:valAx>
        <c:axId val="1"/>
        <c:scaling>
          <c:orientation val="minMax"/>
          <c:max val="4.9"/>
          <c:min val="3.2"/>
        </c:scaling>
        <c:delete val="0"/>
        <c:axPos val="l"/>
        <c:majorGridlines>
          <c:spPr>
            <a:ln w="9525" cap="flat" cmpd="sng" algn="ctr">
              <a:solidFill>
                <a:schemeClr val="bg1">
                  <a:lumMod val="95000"/>
                </a:schemeClr>
              </a:solidFill>
              <a:prstDash val="solid"/>
              <a:round/>
            </a:ln>
          </c:spPr>
        </c:majorGridlines>
        <c:numFmt formatCode="0.00" sourceLinked="1"/>
        <c:majorTickMark val="none"/>
        <c:minorTickMark val="none"/>
        <c:tickLblPos val="none"/>
        <c:spPr>
          <a:ln w="9525" cap="flat" cmpd="sng" algn="ctr">
            <a:solidFill>
              <a:schemeClr val="bg1">
                <a:lumMod val="95000"/>
              </a:scheme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473211248"/>
        <c:crosses val="autoZero"/>
        <c:crossBetween val="between"/>
      </c:valAx>
      <c:spPr>
        <a:noFill/>
        <a:ln w="25400">
          <a:noFill/>
        </a:ln>
      </c:spPr>
    </c:plotArea>
    <c:legend>
      <c:legendPos val="t"/>
      <c:layout/>
      <c:overlay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ln w="9525" cap="flat" cmpd="sng" algn="ctr">
      <a:noFill/>
      <a:prstDash val="solid"/>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毕业生规模</c:v>
                </c:pt>
              </c:strCache>
            </c:strRef>
          </c:tx>
          <c:spPr>
            <a:solidFill>
              <a:srgbClr val="005099"/>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2019届</c:v>
                </c:pt>
                <c:pt idx="1">
                  <c:v>2020届</c:v>
                </c:pt>
                <c:pt idx="2">
                  <c:v>2021届</c:v>
                </c:pt>
              </c:strCache>
            </c:strRef>
          </c:cat>
          <c:val>
            <c:numRef>
              <c:f>Sheet1!$B$2:$D$2</c:f>
              <c:numCache>
                <c:formatCode>General</c:formatCode>
                <c:ptCount val="3"/>
                <c:pt idx="0">
                  <c:v>1432</c:v>
                </c:pt>
                <c:pt idx="1">
                  <c:v>1655</c:v>
                </c:pt>
                <c:pt idx="2">
                  <c:v>1799</c:v>
                </c:pt>
              </c:numCache>
            </c:numRef>
          </c:val>
        </c:ser>
        <c:dLbls>
          <c:showLegendKey val="0"/>
          <c:showVal val="0"/>
          <c:showCatName val="0"/>
          <c:showSerName val="0"/>
          <c:showPercent val="0"/>
          <c:showBubbleSize val="0"/>
        </c:dLbls>
        <c:gapWidth val="219"/>
        <c:overlap val="-27"/>
        <c:axId val="694654936"/>
        <c:axId val="694656248"/>
      </c:barChart>
      <c:lineChart>
        <c:grouping val="standard"/>
        <c:varyColors val="0"/>
        <c:ser>
          <c:idx val="1"/>
          <c:order val="1"/>
          <c:tx>
            <c:strRef>
              <c:f>Sheet1!$A$3</c:f>
              <c:strCache>
                <c:ptCount val="1"/>
                <c:pt idx="0">
                  <c:v>本科毕业去向落实率</c:v>
                </c:pt>
              </c:strCache>
            </c:strRef>
          </c:tx>
          <c:spPr>
            <a:ln w="28575" cap="rnd">
              <a:solidFill>
                <a:srgbClr val="ABD7FF"/>
              </a:solidFill>
              <a:round/>
            </a:ln>
            <a:effectLst/>
          </c:spPr>
          <c:marker>
            <c:symbol val="none"/>
          </c:marker>
          <c:dLbls>
            <c:dLbl>
              <c:idx val="0"/>
              <c:layout>
                <c:manualLayout>
                  <c:x val="-0.0583333333333334"/>
                  <c:y val="0.05555555555555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11111111111111"/>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83333333333333"/>
                  <c:y val="0.05092592592592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2019届</c:v>
                </c:pt>
                <c:pt idx="1">
                  <c:v>2020届</c:v>
                </c:pt>
                <c:pt idx="2">
                  <c:v>2021届</c:v>
                </c:pt>
              </c:strCache>
            </c:strRef>
          </c:cat>
          <c:val>
            <c:numRef>
              <c:f>Sheet1!$B$3:$D$3</c:f>
              <c:numCache>
                <c:formatCode>0.00%</c:formatCode>
                <c:ptCount val="3"/>
                <c:pt idx="0">
                  <c:v>0.752</c:v>
                </c:pt>
                <c:pt idx="1">
                  <c:v>0.754</c:v>
                </c:pt>
                <c:pt idx="2">
                  <c:v>0.8093</c:v>
                </c:pt>
              </c:numCache>
            </c:numRef>
          </c:val>
          <c:smooth val="0"/>
        </c:ser>
        <c:dLbls>
          <c:showLegendKey val="0"/>
          <c:showVal val="0"/>
          <c:showCatName val="0"/>
          <c:showSerName val="0"/>
          <c:showPercent val="0"/>
          <c:showBubbleSize val="0"/>
        </c:dLbls>
        <c:marker val="0"/>
        <c:smooth val="0"/>
        <c:axId val="545992104"/>
        <c:axId val="688908920"/>
      </c:lineChart>
      <c:catAx>
        <c:axId val="69465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94656248"/>
        <c:crosses val="autoZero"/>
        <c:auto val="1"/>
        <c:lblAlgn val="ctr"/>
        <c:lblOffset val="100"/>
        <c:noMultiLvlLbl val="0"/>
      </c:catAx>
      <c:valAx>
        <c:axId val="694656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694654936"/>
        <c:crosses val="autoZero"/>
        <c:crossBetween val="between"/>
      </c:valAx>
      <c:catAx>
        <c:axId val="54599210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88908920"/>
        <c:crosses val="autoZero"/>
        <c:auto val="1"/>
        <c:lblAlgn val="ctr"/>
        <c:lblOffset val="100"/>
        <c:noMultiLvlLbl val="0"/>
      </c:catAx>
      <c:valAx>
        <c:axId val="688908920"/>
        <c:scaling>
          <c:orientation val="minMax"/>
          <c:min val="0.5"/>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545992104"/>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Sheet1!$A$17</c:f>
              <c:strCache>
                <c:ptCount val="1"/>
                <c:pt idx="0">
                  <c:v>毕业生人数</c:v>
                </c:pt>
              </c:strCache>
            </c:strRef>
          </c:tx>
          <c:spPr>
            <a:solidFill>
              <a:srgbClr val="005099"/>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Sheet1!$B$16:$D$16</c:f>
              <c:strCache>
                <c:ptCount val="3"/>
                <c:pt idx="0">
                  <c:v>2019届</c:v>
                </c:pt>
                <c:pt idx="1">
                  <c:v>2020届</c:v>
                </c:pt>
                <c:pt idx="2">
                  <c:v>2021届</c:v>
                </c:pt>
              </c:strCache>
            </c:strRef>
          </c:cat>
          <c:val>
            <c:numRef>
              <c:f>Sheet1!$B$17:$D$17</c:f>
              <c:numCache>
                <c:formatCode>General</c:formatCode>
                <c:ptCount val="3"/>
                <c:pt idx="0">
                  <c:v>1432</c:v>
                </c:pt>
                <c:pt idx="1">
                  <c:v>1655</c:v>
                </c:pt>
                <c:pt idx="2">
                  <c:v>1799</c:v>
                </c:pt>
              </c:numCache>
            </c:numRef>
          </c:val>
        </c:ser>
        <c:ser>
          <c:idx val="1"/>
          <c:order val="1"/>
          <c:tx>
            <c:strRef>
              <c:f>Sheet1!$A$18</c:f>
              <c:strCache>
                <c:ptCount val="1"/>
                <c:pt idx="0">
                  <c:v>升学人数</c:v>
                </c:pt>
              </c:strCache>
            </c:strRef>
          </c:tx>
          <c:spPr>
            <a:solidFill>
              <a:srgbClr val="ABD7FF"/>
            </a:solidFill>
            <a:ln>
              <a:noFill/>
            </a:ln>
            <a:effectLst/>
          </c:spPr>
          <c:invertIfNegative val="0"/>
          <c:dLbls>
            <c:dLbl>
              <c:idx val="0"/>
              <c:layout>
                <c:manualLayout>
                  <c:x val="-0.002445884798826"/>
                  <c:y val="-0.027777777777777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96814066163571e-17"/>
                  <c:y val="-0.032407407407407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23148148148148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Sheet1!$B$16:$D$16</c:f>
              <c:strCache>
                <c:ptCount val="3"/>
                <c:pt idx="0">
                  <c:v>2019届</c:v>
                </c:pt>
                <c:pt idx="1">
                  <c:v>2020届</c:v>
                </c:pt>
                <c:pt idx="2">
                  <c:v>2021届</c:v>
                </c:pt>
              </c:strCache>
            </c:strRef>
          </c:cat>
          <c:val>
            <c:numRef>
              <c:f>Sheet1!$B$18:$D$18</c:f>
              <c:numCache>
                <c:formatCode>General</c:formatCode>
                <c:ptCount val="3"/>
                <c:pt idx="0">
                  <c:v>36</c:v>
                </c:pt>
                <c:pt idx="1">
                  <c:v>39</c:v>
                </c:pt>
                <c:pt idx="2">
                  <c:v>37</c:v>
                </c:pt>
              </c:numCache>
            </c:numRef>
          </c:val>
        </c:ser>
        <c:dLbls>
          <c:showLegendKey val="0"/>
          <c:showVal val="0"/>
          <c:showCatName val="0"/>
          <c:showSerName val="0"/>
          <c:showPercent val="0"/>
          <c:showBubbleSize val="0"/>
        </c:dLbls>
        <c:gapWidth val="219"/>
        <c:overlap val="100"/>
        <c:axId val="690483816"/>
        <c:axId val="690478240"/>
      </c:barChart>
      <c:lineChart>
        <c:grouping val="standard"/>
        <c:varyColors val="0"/>
        <c:ser>
          <c:idx val="2"/>
          <c:order val="2"/>
          <c:tx>
            <c:strRef>
              <c:f>Sheet1!$A$19</c:f>
              <c:strCache>
                <c:ptCount val="1"/>
                <c:pt idx="0">
                  <c:v>升学率</c:v>
                </c:pt>
              </c:strCache>
            </c:strRef>
          </c:tx>
          <c:spPr>
            <a:ln w="28575" cap="rnd">
              <a:solidFill>
                <a:srgbClr val="C9E5FF"/>
              </a:solidFill>
              <a:round/>
            </a:ln>
            <a:effectLst/>
          </c:spPr>
          <c:marker>
            <c:symbol val="none"/>
          </c:marker>
          <c:dLbls>
            <c:dLbl>
              <c:idx val="0"/>
              <c:layout>
                <c:manualLayout>
                  <c:x val="-0.0562553503729974"/>
                  <c:y val="-0.05555555555555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9176959765195"/>
                  <c:y val="0.0416666666666666"/>
                </c:manualLayout>
              </c:layout>
              <c:numFmt formatCode="General" sourceLinked="1"/>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6882719823895"/>
                  <c:y val="-0.037037037037037"/>
                </c:manualLayout>
              </c:layout>
              <c:numFmt formatCode="General" sourceLinked="1"/>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Sheet1!$B$16:$D$16</c:f>
              <c:strCache>
                <c:ptCount val="3"/>
                <c:pt idx="0">
                  <c:v>2019届</c:v>
                </c:pt>
                <c:pt idx="1">
                  <c:v>2020届</c:v>
                </c:pt>
                <c:pt idx="2">
                  <c:v>2021届</c:v>
                </c:pt>
              </c:strCache>
            </c:strRef>
          </c:cat>
          <c:val>
            <c:numRef>
              <c:f>Sheet1!$B$19:$D$19</c:f>
              <c:numCache>
                <c:formatCode>0.00%</c:formatCode>
                <c:ptCount val="3"/>
                <c:pt idx="0">
                  <c:v>0.0251396648044693</c:v>
                </c:pt>
                <c:pt idx="1">
                  <c:v>0.0235649546827795</c:v>
                </c:pt>
                <c:pt idx="2">
                  <c:v>0.0205669816564758</c:v>
                </c:pt>
              </c:numCache>
            </c:numRef>
          </c:val>
          <c:smooth val="0"/>
        </c:ser>
        <c:dLbls>
          <c:showLegendKey val="0"/>
          <c:showVal val="0"/>
          <c:showCatName val="0"/>
          <c:showSerName val="0"/>
          <c:showPercent val="0"/>
          <c:showBubbleSize val="0"/>
        </c:dLbls>
        <c:marker val="0"/>
        <c:smooth val="0"/>
        <c:axId val="690483160"/>
        <c:axId val="690479552"/>
      </c:lineChart>
      <c:catAx>
        <c:axId val="69048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90478240"/>
        <c:crosses val="autoZero"/>
        <c:auto val="1"/>
        <c:lblAlgn val="ctr"/>
        <c:lblOffset val="100"/>
        <c:noMultiLvlLbl val="0"/>
      </c:catAx>
      <c:valAx>
        <c:axId val="69047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690483816"/>
        <c:crosses val="autoZero"/>
        <c:crossBetween val="between"/>
      </c:valAx>
      <c:catAx>
        <c:axId val="69048316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690479552"/>
        <c:crosses val="autoZero"/>
        <c:auto val="1"/>
        <c:lblAlgn val="ctr"/>
        <c:lblOffset val="100"/>
        <c:noMultiLvlLbl val="0"/>
      </c:catAx>
      <c:valAx>
        <c:axId val="69047955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69048316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6366141732284"/>
          <c:y val="0.166504670787119"/>
          <c:w val="0.850468728899276"/>
          <c:h val="0.613826188393117"/>
        </c:manualLayout>
      </c:layout>
      <c:areaChart>
        <c:grouping val="standard"/>
        <c:varyColors val="0"/>
        <c:ser>
          <c:idx val="10"/>
          <c:order val="0"/>
          <c:tx>
            <c:strRef>
              <c:f>系列</c:f>
              <c:strCache>
                <c:ptCount val="1"/>
                <c:pt idx="0">
                  <c:v>系列</c:v>
                </c:pt>
              </c:strCache>
            </c:strRef>
          </c:tx>
          <c:spPr>
            <a:solidFill>
              <a:schemeClr val="bg1">
                <a:lumMod val="95000"/>
              </a:schemeClr>
            </a:solidFill>
            <a:ln w="25400">
              <a:no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er>
        <c:ser>
          <c:idx val="11"/>
          <c:order val="1"/>
          <c:tx>
            <c:strRef>
              <c:f>就业满意度</c:f>
              <c:strCache>
                <c:ptCount val="1"/>
                <c:pt idx="0">
                  <c:v>就业满意度</c:v>
                </c:pt>
              </c:strCache>
            </c:strRef>
          </c:tx>
          <c:spPr>
            <a:solidFill>
              <a:srgbClr val="F8766D"/>
            </a:solidFill>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er>
        <c:ser>
          <c:idx val="12"/>
          <c:order val="2"/>
          <c:tx>
            <c:strRef>
              <c:f>专业相关度</c:f>
              <c:strCache>
                <c:ptCount val="1"/>
                <c:pt idx="0">
                  <c:v>专业相关度</c:v>
                </c:pt>
              </c:strCache>
            </c:strRef>
          </c:tx>
          <c:spPr>
            <a:solidFill>
              <a:srgbClr val="7CAE00"/>
            </a:solidFill>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{#N/A,#N/A,#N/A,#N/A,0.52,0.47,0.666699999999999,#N/A,#N/A,#N/A,#N/A,#N/A,#N/A,#N/A,#N/A}</c:f>
              <c:numCache>
                <c:formatCode>General</c:formatCode>
                <c:ptCount val="15"/>
                <c:pt idx="0">
                  <c:v>#N/A</c:v>
                </c:pt>
                <c:pt idx="1">
                  <c:v>#N/A</c:v>
                </c:pt>
                <c:pt idx="2">
                  <c:v>#N/A</c:v>
                </c:pt>
                <c:pt idx="3">
                  <c:v>#N/A</c:v>
                </c:pt>
                <c:pt idx="4">
                  <c:v>0.52</c:v>
                </c:pt>
                <c:pt idx="5">
                  <c:v>0.47</c:v>
                </c:pt>
                <c:pt idx="6">
                  <c:v>0.666699999999999</c:v>
                </c:pt>
                <c:pt idx="7">
                  <c:v>#N/A</c:v>
                </c:pt>
                <c:pt idx="8">
                  <c:v>#N/A</c:v>
                </c:pt>
                <c:pt idx="9">
                  <c:v>#N/A</c:v>
                </c:pt>
                <c:pt idx="10">
                  <c:v>#N/A</c:v>
                </c:pt>
                <c:pt idx="11">
                  <c:v>#N/A</c:v>
                </c:pt>
                <c:pt idx="12">
                  <c:v>#N/A</c:v>
                </c:pt>
                <c:pt idx="13">
                  <c:v>#N/A</c:v>
                </c:pt>
                <c:pt idx="14">
                  <c:v>#N/A</c:v>
                </c:pt>
              </c:numCache>
            </c:numRef>
          </c:val>
        </c:ser>
        <c:ser>
          <c:idx val="13"/>
          <c:order val="3"/>
          <c:tx>
            <c:strRef>
              <c:f>职业期待吻合度</c:f>
              <c:strCache>
                <c:ptCount val="1"/>
                <c:pt idx="0">
                  <c:v>职业期待吻合度</c:v>
                </c:pt>
              </c:strCache>
            </c:strRef>
          </c:tx>
          <c:spPr>
            <a:solidFill>
              <a:srgbClr val="00BFC4"/>
            </a:solidFill>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er>
        <c:ser>
          <c:idx val="14"/>
          <c:order val="4"/>
          <c:tx>
            <c:strRef>
              <c:f>离职率</c:f>
              <c:strCache>
                <c:ptCount val="1"/>
                <c:pt idx="0">
                  <c:v>离职率</c:v>
                </c:pt>
              </c:strCache>
            </c:strRef>
          </c:tx>
          <c:spPr>
            <a:solidFill>
              <a:srgbClr val="C77CFF"/>
            </a:solidFill>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er>
        <c:ser>
          <c:idx val="15"/>
          <c:order val="5"/>
          <c:tx>
            <c:strRef>
              <c:f>系列</c:f>
              <c:strCache>
                <c:ptCount val="1"/>
                <c:pt idx="0">
                  <c:v>系列</c:v>
                </c:pt>
              </c:strCache>
            </c:strRef>
          </c:tx>
          <c:spPr>
            <a:ln>
              <a:no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er>
        <c:ser>
          <c:idx val="16"/>
          <c:order val="6"/>
          <c:tx>
            <c:strRef>
              <c:f>就业满意度</c:f>
              <c:strCache>
                <c:ptCount val="1"/>
                <c:pt idx="0">
                  <c:v>就业满意度</c:v>
                </c:pt>
              </c:strCache>
            </c:strRef>
          </c:tx>
          <c:spPr>
            <a:ln w="15875">
              <a:solidFill>
                <a:srgbClr val="000000"/>
              </a:solid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er>
        <c:ser>
          <c:idx val="17"/>
          <c:order val="7"/>
          <c:tx>
            <c:strRef>
              <c:f>专业相关度</c:f>
              <c:strCache>
                <c:ptCount val="1"/>
                <c:pt idx="0">
                  <c:v>专业相关度</c:v>
                </c:pt>
              </c:strCache>
            </c:strRef>
          </c:tx>
          <c:spPr>
            <a:ln w="15875">
              <a:solidFill>
                <a:srgbClr val="000000"/>
              </a:solid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{#N/A,#N/A,#N/A,#N/A,0.52,0.47,0.666699999999999,#N/A,#N/A,#N/A,#N/A,#N/A,#N/A,#N/A,#N/A}</c:f>
              <c:numCache>
                <c:formatCode>General</c:formatCode>
                <c:ptCount val="15"/>
                <c:pt idx="0">
                  <c:v>#N/A</c:v>
                </c:pt>
                <c:pt idx="1">
                  <c:v>#N/A</c:v>
                </c:pt>
                <c:pt idx="2">
                  <c:v>#N/A</c:v>
                </c:pt>
                <c:pt idx="3">
                  <c:v>#N/A</c:v>
                </c:pt>
                <c:pt idx="4">
                  <c:v>0.52</c:v>
                </c:pt>
                <c:pt idx="5">
                  <c:v>0.47</c:v>
                </c:pt>
                <c:pt idx="6">
                  <c:v>0.666699999999999</c:v>
                </c:pt>
                <c:pt idx="7">
                  <c:v>#N/A</c:v>
                </c:pt>
                <c:pt idx="8">
                  <c:v>#N/A</c:v>
                </c:pt>
                <c:pt idx="9">
                  <c:v>#N/A</c:v>
                </c:pt>
                <c:pt idx="10">
                  <c:v>#N/A</c:v>
                </c:pt>
                <c:pt idx="11">
                  <c:v>#N/A</c:v>
                </c:pt>
                <c:pt idx="12">
                  <c:v>#N/A</c:v>
                </c:pt>
                <c:pt idx="13">
                  <c:v>#N/A</c:v>
                </c:pt>
                <c:pt idx="14">
                  <c:v>#N/A</c:v>
                </c:pt>
              </c:numCache>
            </c:numRef>
          </c:val>
        </c:ser>
        <c:ser>
          <c:idx val="18"/>
          <c:order val="8"/>
          <c:tx>
            <c:strRef>
              <c:f>职业期待吻合度</c:f>
              <c:strCache>
                <c:ptCount val="1"/>
                <c:pt idx="0">
                  <c:v>职业期待吻合度</c:v>
                </c:pt>
              </c:strCache>
            </c:strRef>
          </c:tx>
          <c:spPr>
            <a:ln w="15875">
              <a:solidFill>
                <a:srgbClr val="000000"/>
              </a:solid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er>
        <c:ser>
          <c:idx val="19"/>
          <c:order val="9"/>
          <c:tx>
            <c:strRef>
              <c:f>离职率</c:f>
              <c:strCache>
                <c:ptCount val="1"/>
                <c:pt idx="0">
                  <c:v>离职率</c:v>
                </c:pt>
              </c:strCache>
            </c:strRef>
          </c:tx>
          <c:spPr>
            <a:ln w="15875">
              <a:solidFill>
                <a:srgbClr val="000000"/>
              </a:solidFill>
            </a:ln>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er>
        <c:ser>
          <c:idx val="20"/>
          <c:order val="10"/>
          <c:tx>
            <c:strRef>
              <c:f>系列</c:f>
              <c:strCache>
                <c:ptCount val="1"/>
                <c:pt idx="0">
                  <c:v>系列</c:v>
                </c:pt>
              </c:strCache>
            </c:strRef>
          </c:tx>
          <c:spPr>
            <a:solidFill>
              <a:schemeClr val="bg1">
                <a:lumMod val="95000"/>
              </a:schemeClr>
            </a:solidFill>
            <a:ln w="25400">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er>
        <c:ser>
          <c:idx val="21"/>
          <c:order val="11"/>
          <c:tx>
            <c:strRef>
              <c:f>就业满意度</c:f>
              <c:strCache>
                <c:ptCount val="1"/>
                <c:pt idx="0">
                  <c:v>就业满意度</c:v>
                </c:pt>
              </c:strCache>
            </c:strRef>
          </c:tx>
          <c:spPr>
            <a:solidFill>
              <a:srgbClr val="F8766D"/>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er>
        <c:ser>
          <c:idx val="22"/>
          <c:order val="12"/>
          <c:tx>
            <c:strRef>
              <c:f>专业相关度</c:f>
              <c:strCache>
                <c:ptCount val="1"/>
                <c:pt idx="0">
                  <c:v>专业相关度</c:v>
                </c:pt>
              </c:strCache>
            </c:strRef>
          </c:tx>
          <c:spPr>
            <a:solidFill>
              <a:srgbClr val="7CAE00"/>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{#N/A,#N/A,#N/A,#N/A,0.52,0.47,0.666699999999999,#N/A,#N/A,#N/A,#N/A,#N/A,#N/A,#N/A,#N/A}</c:f>
              <c:numCache>
                <c:formatCode>General</c:formatCode>
                <c:ptCount val="15"/>
                <c:pt idx="0">
                  <c:v>#N/A</c:v>
                </c:pt>
                <c:pt idx="1">
                  <c:v>#N/A</c:v>
                </c:pt>
                <c:pt idx="2">
                  <c:v>#N/A</c:v>
                </c:pt>
                <c:pt idx="3">
                  <c:v>#N/A</c:v>
                </c:pt>
                <c:pt idx="4">
                  <c:v>0.52</c:v>
                </c:pt>
                <c:pt idx="5">
                  <c:v>0.47</c:v>
                </c:pt>
                <c:pt idx="6">
                  <c:v>0.666699999999999</c:v>
                </c:pt>
                <c:pt idx="7">
                  <c:v>#N/A</c:v>
                </c:pt>
                <c:pt idx="8">
                  <c:v>#N/A</c:v>
                </c:pt>
                <c:pt idx="9">
                  <c:v>#N/A</c:v>
                </c:pt>
                <c:pt idx="10">
                  <c:v>#N/A</c:v>
                </c:pt>
                <c:pt idx="11">
                  <c:v>#N/A</c:v>
                </c:pt>
                <c:pt idx="12">
                  <c:v>#N/A</c:v>
                </c:pt>
                <c:pt idx="13">
                  <c:v>#N/A</c:v>
                </c:pt>
                <c:pt idx="14">
                  <c:v>#N/A</c:v>
                </c:pt>
              </c:numCache>
            </c:numRef>
          </c:val>
        </c:ser>
        <c:ser>
          <c:idx val="23"/>
          <c:order val="13"/>
          <c:tx>
            <c:strRef>
              <c:f>职业期待吻合度</c:f>
              <c:strCache>
                <c:ptCount val="1"/>
                <c:pt idx="0">
                  <c:v>职业期待吻合度</c:v>
                </c:pt>
              </c:strCache>
            </c:strRef>
          </c:tx>
          <c:spPr>
            <a:solidFill>
              <a:srgbClr val="00BFC4"/>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er>
        <c:ser>
          <c:idx val="24"/>
          <c:order val="14"/>
          <c:tx>
            <c:strRef>
              <c:f>离职率</c:f>
              <c:strCache>
                <c:ptCount val="1"/>
                <c:pt idx="0">
                  <c:v>离职率</c:v>
                </c:pt>
              </c:strCache>
            </c:strRef>
          </c:tx>
          <c:spPr>
            <a:solidFill>
              <a:srgbClr val="C77CFF"/>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er>
        <c:ser>
          <c:idx val="25"/>
          <c:order val="15"/>
          <c:tx>
            <c:strRef>
              <c:f>系列</c:f>
              <c:strCache>
                <c:ptCount val="1"/>
                <c:pt idx="0">
                  <c:v>系列</c:v>
                </c:pt>
              </c:strCache>
            </c:strRef>
          </c:tx>
          <c:spPr>
            <a:ln w="28575" cap="rnd">
              <a:noFill/>
              <a:round/>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er>
        <c:ser>
          <c:idx val="26"/>
          <c:order val="16"/>
          <c:tx>
            <c:strRef>
              <c:f>就业满意度</c:f>
              <c:strCache>
                <c:ptCount val="1"/>
                <c:pt idx="0">
                  <c:v>就业满意度</c:v>
                </c:pt>
              </c:strCache>
            </c:strRef>
          </c:tx>
          <c:spPr>
            <a:ln w="15875" cap="rnd">
              <a:solidFill>
                <a:srgbClr val="000000"/>
              </a:solidFill>
              <a:round/>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er>
        <c:ser>
          <c:idx val="27"/>
          <c:order val="17"/>
          <c:tx>
            <c:strRef>
              <c:f>专业相关度</c:f>
              <c:strCache>
                <c:ptCount val="1"/>
                <c:pt idx="0">
                  <c:v>专业相关度</c:v>
                </c:pt>
              </c:strCache>
            </c:strRef>
          </c:tx>
          <c:spPr>
            <a:ln w="15875" cap="rnd">
              <a:solidFill>
                <a:srgbClr val="000000"/>
              </a:solidFill>
              <a:round/>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{#N/A,#N/A,#N/A,#N/A,0.52,0.47,0.666699999999999,#N/A,#N/A,#N/A,#N/A,#N/A,#N/A,#N/A,#N/A}</c:f>
              <c:numCache>
                <c:formatCode>General</c:formatCode>
                <c:ptCount val="15"/>
                <c:pt idx="0">
                  <c:v>#N/A</c:v>
                </c:pt>
                <c:pt idx="1">
                  <c:v>#N/A</c:v>
                </c:pt>
                <c:pt idx="2">
                  <c:v>#N/A</c:v>
                </c:pt>
                <c:pt idx="3">
                  <c:v>#N/A</c:v>
                </c:pt>
                <c:pt idx="4">
                  <c:v>0.52</c:v>
                </c:pt>
                <c:pt idx="5">
                  <c:v>0.47</c:v>
                </c:pt>
                <c:pt idx="6">
                  <c:v>0.666699999999999</c:v>
                </c:pt>
                <c:pt idx="7">
                  <c:v>#N/A</c:v>
                </c:pt>
                <c:pt idx="8">
                  <c:v>#N/A</c:v>
                </c:pt>
                <c:pt idx="9">
                  <c:v>#N/A</c:v>
                </c:pt>
                <c:pt idx="10">
                  <c:v>#N/A</c:v>
                </c:pt>
                <c:pt idx="11">
                  <c:v>#N/A</c:v>
                </c:pt>
                <c:pt idx="12">
                  <c:v>#N/A</c:v>
                </c:pt>
                <c:pt idx="13">
                  <c:v>#N/A</c:v>
                </c:pt>
                <c:pt idx="14">
                  <c:v>#N/A</c:v>
                </c:pt>
              </c:numCache>
            </c:numRef>
          </c:val>
        </c:ser>
        <c:ser>
          <c:idx val="28"/>
          <c:order val="18"/>
          <c:tx>
            <c:strRef>
              <c:f>职业期待吻合度</c:f>
              <c:strCache>
                <c:ptCount val="1"/>
                <c:pt idx="0">
                  <c:v>职业期待吻合度</c:v>
                </c:pt>
              </c:strCache>
            </c:strRef>
          </c:tx>
          <c:spPr>
            <a:ln w="15875" cap="rnd">
              <a:solidFill>
                <a:srgbClr val="000000"/>
              </a:solidFill>
              <a:round/>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er>
        <c:ser>
          <c:idx val="29"/>
          <c:order val="19"/>
          <c:tx>
            <c:strRef>
              <c:f>离职率</c:f>
              <c:strCache>
                <c:ptCount val="1"/>
                <c:pt idx="0">
                  <c:v>离职率</c:v>
                </c:pt>
              </c:strCache>
            </c:strRef>
          </c:tx>
          <c:spPr>
            <a:ln w="15875" cap="rnd">
              <a:solidFill>
                <a:srgbClr val="000000"/>
              </a:solidFill>
              <a:round/>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er>
        <c:ser>
          <c:idx val="0"/>
          <c:order val="20"/>
          <c:tx>
            <c:strRef>
              <c:f>系列</c:f>
              <c:strCache>
                <c:ptCount val="1"/>
                <c:pt idx="0">
                  <c:v>系列</c:v>
                </c:pt>
              </c:strCache>
            </c:strRef>
          </c:tx>
          <c:spPr>
            <a:solidFill>
              <a:schemeClr val="bg1">
                <a:lumMod val="95000"/>
              </a:schemeClr>
            </a:solidFill>
            <a:ln w="25400">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er>
        <c:ser>
          <c:idx val="2"/>
          <c:order val="21"/>
          <c:tx>
            <c:strRef>
              <c:f>就业满意度</c:f>
              <c:strCache>
                <c:ptCount val="1"/>
                <c:pt idx="0">
                  <c:v>就业满意度</c:v>
                </c:pt>
              </c:strCache>
            </c:strRef>
          </c:tx>
          <c:spPr>
            <a:solidFill>
              <a:srgbClr val="005099"/>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er>
        <c:ser>
          <c:idx val="3"/>
          <c:order val="22"/>
          <c:tx>
            <c:strRef>
              <c:f>专业相关度</c:f>
              <c:strCache>
                <c:ptCount val="1"/>
                <c:pt idx="0">
                  <c:v>专业相关度</c:v>
                </c:pt>
              </c:strCache>
            </c:strRef>
          </c:tx>
          <c:spPr>
            <a:solidFill>
              <a:srgbClr val="005099"/>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{#N/A,#N/A,#N/A,#N/A,0.52,0.47,0.6667,#N/A,#N/A,#N/A,#N/A,#N/A,#N/A,#N/A,#N/A}</c:f>
              <c:numCache>
                <c:formatCode>General</c:formatCode>
                <c:ptCount val="15"/>
                <c:pt idx="0">
                  <c:v>#N/A</c:v>
                </c:pt>
                <c:pt idx="1">
                  <c:v>#N/A</c:v>
                </c:pt>
                <c:pt idx="2">
                  <c:v>#N/A</c:v>
                </c:pt>
                <c:pt idx="3">
                  <c:v>#N/A</c:v>
                </c:pt>
                <c:pt idx="4">
                  <c:v>0.52</c:v>
                </c:pt>
                <c:pt idx="5">
                  <c:v>0.47</c:v>
                </c:pt>
                <c:pt idx="6">
                  <c:v>0.6667</c:v>
                </c:pt>
                <c:pt idx="7">
                  <c:v>#N/A</c:v>
                </c:pt>
                <c:pt idx="8">
                  <c:v>#N/A</c:v>
                </c:pt>
                <c:pt idx="9">
                  <c:v>#N/A</c:v>
                </c:pt>
                <c:pt idx="10">
                  <c:v>#N/A</c:v>
                </c:pt>
                <c:pt idx="11">
                  <c:v>#N/A</c:v>
                </c:pt>
                <c:pt idx="12">
                  <c:v>#N/A</c:v>
                </c:pt>
                <c:pt idx="13">
                  <c:v>#N/A</c:v>
                </c:pt>
                <c:pt idx="14">
                  <c:v>#N/A</c:v>
                </c:pt>
              </c:numCache>
            </c:numRef>
          </c:val>
        </c:ser>
        <c:ser>
          <c:idx val="4"/>
          <c:order val="23"/>
          <c:tx>
            <c:strRef>
              <c:f>职业期待吻合度</c:f>
              <c:strCache>
                <c:ptCount val="1"/>
                <c:pt idx="0">
                  <c:v>职业期待吻合度</c:v>
                </c:pt>
              </c:strCache>
            </c:strRef>
          </c:tx>
          <c:spPr>
            <a:solidFill>
              <a:srgbClr val="005099"/>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er>
        <c:ser>
          <c:idx val="5"/>
          <c:order val="24"/>
          <c:tx>
            <c:strRef>
              <c:f>离职率</c:f>
              <c:strCache>
                <c:ptCount val="1"/>
                <c:pt idx="0">
                  <c:v>离职率</c:v>
                </c:pt>
              </c:strCache>
            </c:strRef>
          </c:tx>
          <c:spPr>
            <a:solidFill>
              <a:srgbClr val="005099"/>
            </a:solidFill>
            <a:ln>
              <a:noFill/>
            </a:ln>
            <a:effectLst/>
          </c:spP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er>
        <c:dLbls>
          <c:showLegendKey val="0"/>
          <c:showVal val="0"/>
          <c:showCatName val="0"/>
          <c:showSerName val="0"/>
          <c:showPercent val="0"/>
          <c:showBubbleSize val="0"/>
        </c:dLbls>
        <c:axId val="1858105743"/>
        <c:axId val="1746834527"/>
      </c:areaChart>
      <c:lineChart>
        <c:grouping val="standard"/>
        <c:varyColors val="0"/>
        <c:ser>
          <c:idx val="1"/>
          <c:order val="25"/>
          <c:tx>
            <c:strRef>
              <c:f>系列</c:f>
              <c:strCache>
                <c:ptCount val="1"/>
                <c:pt idx="0">
                  <c:v>系列</c:v>
                </c:pt>
              </c:strCache>
            </c:strRef>
          </c:tx>
          <c:spPr>
            <a:ln w="28575" cap="rnd" cmpd="sng" algn="ctr">
              <a:noFill/>
              <a:prstDash val="solid"/>
              <a:round/>
            </a:ln>
            <a:effectLst/>
          </c:spPr>
          <c:marker>
            <c:symbol val="none"/>
          </c:marker>
          <c:dLbls>
            <c:dLbl>
              <c:idx val="0"/>
              <c:layout>
                <c:manualLayout>
                  <c:x val="-0.1"/>
                  <c:y val="0.138590203106332"/>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70.00%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25"/>
                  <c:y val="0.71162475658284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就业满意度</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3"/>
                  <c:y val="0.138590203106332"/>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64.00%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6"/>
                  <c:y val="-0.0477897252090801"/>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97.28%</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775"/>
                  <c:y val="0.71162475658284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专业相关度</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205"/>
                  <c:y val="0.248506571087216"/>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52.00%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2375"/>
                  <c:y val="0.248506571087216"/>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47.00%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
                  <c:y val="0.71162475658284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职业期待吻合度</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27"/>
                  <c:y val="0.119474313022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66.67%</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3175"/>
                  <c:y val="0.258064516129032"/>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51.00%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55"/>
                  <c:y val="0.711624756582847"/>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zh-CN" altLang="en-US"/>
                      <a:t>离职率</a:t>
                    </a:r>
                    <a:endParaRPr lang="zh-CN"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3475"/>
                  <c:y val="0.26284348864994"/>
                </c:manualLayout>
              </c:layout>
              <c:tx>
                <c:rich>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a:t>44.00%</a:t>
                    </a:r>
                    <a:endParaRPr lang="en-US" altLang="zh-CN"/>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{0.9728,0.9728,0.9728,#N/A,0.9728,0.9728,0.9728,#N/A,0.9728,0.9728,0.9728,#N/A,0.9728,0.9728,0.9728}</c:f>
              <c:numCache>
                <c:formatCode>General</c:formatCode>
                <c:ptCount val="15"/>
                <c:pt idx="0">
                  <c:v>0.9728</c:v>
                </c:pt>
                <c:pt idx="1">
                  <c:v>0.9728</c:v>
                </c:pt>
                <c:pt idx="2">
                  <c:v>0.9728</c:v>
                </c:pt>
                <c:pt idx="3">
                  <c:v>#N/A</c:v>
                </c:pt>
                <c:pt idx="4">
                  <c:v>0.9728</c:v>
                </c:pt>
                <c:pt idx="5">
                  <c:v>0.9728</c:v>
                </c:pt>
                <c:pt idx="6">
                  <c:v>0.9728</c:v>
                </c:pt>
                <c:pt idx="7">
                  <c:v>#N/A</c:v>
                </c:pt>
                <c:pt idx="8">
                  <c:v>0.9728</c:v>
                </c:pt>
                <c:pt idx="9">
                  <c:v>0.9728</c:v>
                </c:pt>
                <c:pt idx="10">
                  <c:v>0.9728</c:v>
                </c:pt>
                <c:pt idx="11">
                  <c:v>#N/A</c:v>
                </c:pt>
                <c:pt idx="12">
                  <c:v>0.9728</c:v>
                </c:pt>
                <c:pt idx="13">
                  <c:v>0.9728</c:v>
                </c:pt>
                <c:pt idx="14">
                  <c:v>0.9728</c:v>
                </c:pt>
              </c:numCache>
            </c:numRef>
          </c:val>
          <c:smooth val="0"/>
        </c:ser>
        <c:ser>
          <c:idx val="6"/>
          <c:order val="26"/>
          <c:tx>
            <c:strRef>
              <c:f>就业满意度</c:f>
              <c:strCache>
                <c:ptCount val="1"/>
                <c:pt idx="0">
                  <c:v>就业满意度</c:v>
                </c:pt>
              </c:strCache>
            </c:strRef>
          </c:tx>
          <c:spPr>
            <a:ln w="15875" cap="rnd" cmpd="sng" algn="ctr">
              <a:solidFill>
                <a:srgbClr val="000000"/>
              </a:solidFill>
              <a:prstDash val="solid"/>
              <a:round/>
            </a:ln>
            <a:effectLst/>
          </c:spPr>
          <c:marker>
            <c:symbol val="none"/>
          </c:marke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{0.7,0.64,0.9728,#N/A,#N/A,#N/A,#N/A,#N/A,#N/A,#N/A,#N/A,#N/A,#N/A,#N/A,#N/A}</c:f>
              <c:numCache>
                <c:formatCode>General</c:formatCode>
                <c:ptCount val="15"/>
                <c:pt idx="0">
                  <c:v>0.7</c:v>
                </c:pt>
                <c:pt idx="1">
                  <c:v>0.64</c:v>
                </c:pt>
                <c:pt idx="2">
                  <c:v>0.9728</c:v>
                </c:pt>
                <c:pt idx="3">
                  <c:v>#N/A</c:v>
                </c:pt>
                <c:pt idx="4">
                  <c:v>#N/A</c:v>
                </c:pt>
                <c:pt idx="5">
                  <c:v>#N/A</c:v>
                </c:pt>
                <c:pt idx="6">
                  <c:v>#N/A</c:v>
                </c:pt>
                <c:pt idx="7">
                  <c:v>#N/A</c:v>
                </c:pt>
                <c:pt idx="8">
                  <c:v>#N/A</c:v>
                </c:pt>
                <c:pt idx="9">
                  <c:v>#N/A</c:v>
                </c:pt>
                <c:pt idx="10">
                  <c:v>#N/A</c:v>
                </c:pt>
                <c:pt idx="11">
                  <c:v>#N/A</c:v>
                </c:pt>
                <c:pt idx="12">
                  <c:v>#N/A</c:v>
                </c:pt>
                <c:pt idx="13">
                  <c:v>#N/A</c:v>
                </c:pt>
                <c:pt idx="14">
                  <c:v>#N/A</c:v>
                </c:pt>
              </c:numCache>
            </c:numRef>
          </c:val>
          <c:smooth val="0"/>
        </c:ser>
        <c:ser>
          <c:idx val="7"/>
          <c:order val="27"/>
          <c:tx>
            <c:strRef>
              <c:f>专业相关度</c:f>
              <c:strCache>
                <c:ptCount val="1"/>
                <c:pt idx="0">
                  <c:v>专业相关度</c:v>
                </c:pt>
              </c:strCache>
            </c:strRef>
          </c:tx>
          <c:spPr>
            <a:ln w="15875" cap="rnd" cmpd="sng" algn="ctr">
              <a:solidFill>
                <a:srgbClr val="000000"/>
              </a:solidFill>
              <a:prstDash val="solid"/>
              <a:round/>
            </a:ln>
            <a:effectLst/>
          </c:spPr>
          <c:marker>
            <c:symbol val="none"/>
          </c:marke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{#N/A,#N/A,#N/A,#N/A,0.52,0.47,0.6667,#N/A,#N/A,#N/A,#N/A,#N/A,#N/A,#N/A,#N/A}</c:f>
              <c:numCache>
                <c:formatCode>General</c:formatCode>
                <c:ptCount val="15"/>
                <c:pt idx="0">
                  <c:v>#N/A</c:v>
                </c:pt>
                <c:pt idx="1">
                  <c:v>#N/A</c:v>
                </c:pt>
                <c:pt idx="2">
                  <c:v>#N/A</c:v>
                </c:pt>
                <c:pt idx="3">
                  <c:v>#N/A</c:v>
                </c:pt>
                <c:pt idx="4">
                  <c:v>0.52</c:v>
                </c:pt>
                <c:pt idx="5">
                  <c:v>0.47</c:v>
                </c:pt>
                <c:pt idx="6">
                  <c:v>0.6667</c:v>
                </c:pt>
                <c:pt idx="7">
                  <c:v>#N/A</c:v>
                </c:pt>
                <c:pt idx="8">
                  <c:v>#N/A</c:v>
                </c:pt>
                <c:pt idx="9">
                  <c:v>#N/A</c:v>
                </c:pt>
                <c:pt idx="10">
                  <c:v>#N/A</c:v>
                </c:pt>
                <c:pt idx="11">
                  <c:v>#N/A</c:v>
                </c:pt>
                <c:pt idx="12">
                  <c:v>#N/A</c:v>
                </c:pt>
                <c:pt idx="13">
                  <c:v>#N/A</c:v>
                </c:pt>
                <c:pt idx="14">
                  <c:v>#N/A</c:v>
                </c:pt>
              </c:numCache>
            </c:numRef>
          </c:val>
          <c:smooth val="0"/>
        </c:ser>
        <c:ser>
          <c:idx val="8"/>
          <c:order val="28"/>
          <c:tx>
            <c:strRef>
              <c:f>职业期待吻合度</c:f>
              <c:strCache>
                <c:ptCount val="1"/>
                <c:pt idx="0">
                  <c:v>职业期待吻合度</c:v>
                </c:pt>
              </c:strCache>
            </c:strRef>
          </c:tx>
          <c:spPr>
            <a:ln w="15875" cap="rnd" cmpd="sng" algn="ctr">
              <a:solidFill>
                <a:srgbClr val="000000"/>
              </a:solidFill>
              <a:prstDash val="solid"/>
              <a:round/>
            </a:ln>
            <a:effectLst/>
          </c:spPr>
          <c:marker>
            <c:symbol val="none"/>
          </c:marke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{#N/A,#N/A,#N/A,#N/A,#N/A,#N/A,#N/A,#N/A,0.51,0.44,0.7891,#N/A,#N/A,#N/A,#N/A}</c:f>
              <c:numCache>
                <c:formatCode>General</c:formatCode>
                <c:ptCount val="15"/>
                <c:pt idx="0">
                  <c:v>#N/A</c:v>
                </c:pt>
                <c:pt idx="1">
                  <c:v>#N/A</c:v>
                </c:pt>
                <c:pt idx="2">
                  <c:v>#N/A</c:v>
                </c:pt>
                <c:pt idx="3">
                  <c:v>#N/A</c:v>
                </c:pt>
                <c:pt idx="4">
                  <c:v>#N/A</c:v>
                </c:pt>
                <c:pt idx="5">
                  <c:v>#N/A</c:v>
                </c:pt>
                <c:pt idx="6">
                  <c:v>#N/A</c:v>
                </c:pt>
                <c:pt idx="7">
                  <c:v>#N/A</c:v>
                </c:pt>
                <c:pt idx="8">
                  <c:v>0.51</c:v>
                </c:pt>
                <c:pt idx="9">
                  <c:v>0.44</c:v>
                </c:pt>
                <c:pt idx="10">
                  <c:v>0.7891</c:v>
                </c:pt>
                <c:pt idx="11">
                  <c:v>#N/A</c:v>
                </c:pt>
                <c:pt idx="12">
                  <c:v>#N/A</c:v>
                </c:pt>
                <c:pt idx="13">
                  <c:v>#N/A</c:v>
                </c:pt>
                <c:pt idx="14">
                  <c:v>#N/A</c:v>
                </c:pt>
              </c:numCache>
            </c:numRef>
          </c:val>
          <c:smooth val="0"/>
        </c:ser>
        <c:ser>
          <c:idx val="9"/>
          <c:order val="29"/>
          <c:tx>
            <c:strRef>
              <c:f>离职率</c:f>
              <c:strCache>
                <c:ptCount val="1"/>
                <c:pt idx="0">
                  <c:v>离职率</c:v>
                </c:pt>
              </c:strCache>
            </c:strRef>
          </c:tx>
          <c:spPr>
            <a:ln w="15875" cap="rnd" cmpd="sng" algn="ctr">
              <a:solidFill>
                <a:srgbClr val="000000"/>
              </a:solidFill>
              <a:prstDash val="solid"/>
              <a:round/>
            </a:ln>
            <a:effectLst/>
          </c:spPr>
          <c:marker>
            <c:symbol val="none"/>
          </c:marker>
          <c:dLbls>
            <c:delete val="1"/>
          </c:dLbls>
          <c:cat>
            <c:strRef>
              <c:f>{"2019","2020","2021","","2019","2020","2021","","2019","2020","2021","","2019","2020","2021"}</c:f>
              <c:strCache>
                <c:ptCount val="15"/>
                <c:pt idx="0">
                  <c:v>2019</c:v>
                </c:pt>
                <c:pt idx="1">
                  <c:v>2020</c:v>
                </c:pt>
                <c:pt idx="2">
                  <c:v>2021</c:v>
                </c:pt>
                <c:pt idx="4">
                  <c:v>2019</c:v>
                </c:pt>
                <c:pt idx="5">
                  <c:v>2020</c:v>
                </c:pt>
                <c:pt idx="6">
                  <c:v>2021</c:v>
                </c:pt>
                <c:pt idx="8">
                  <c:v>2019</c:v>
                </c:pt>
                <c:pt idx="9">
                  <c:v>2020</c:v>
                </c:pt>
                <c:pt idx="10">
                  <c:v>2021</c:v>
                </c:pt>
                <c:pt idx="12">
                  <c:v>2019</c:v>
                </c:pt>
                <c:pt idx="13">
                  <c:v>2020</c:v>
                </c:pt>
                <c:pt idx="14">
                  <c:v>2021</c:v>
                </c:pt>
              </c:strCache>
            </c:strRef>
          </c:cat>
          <c:val>
            <c:numRef>
              <c:f>{#N/A,#N/A,#N/A,#N/A,#N/A,#N/A,#N/A,#N/A,#N/A,#N/A,#N/A,#N/A,0.28,0.36,0.1701}</c:f>
              <c:numCache>
                <c:formatCode>General</c:formatCode>
                <c:ptCount val="15"/>
                <c:pt idx="0">
                  <c:v>#N/A</c:v>
                </c:pt>
                <c:pt idx="1">
                  <c:v>#N/A</c:v>
                </c:pt>
                <c:pt idx="2">
                  <c:v>#N/A</c:v>
                </c:pt>
                <c:pt idx="3">
                  <c:v>#N/A</c:v>
                </c:pt>
                <c:pt idx="4">
                  <c:v>#N/A</c:v>
                </c:pt>
                <c:pt idx="5">
                  <c:v>#N/A</c:v>
                </c:pt>
                <c:pt idx="6">
                  <c:v>#N/A</c:v>
                </c:pt>
                <c:pt idx="7">
                  <c:v>#N/A</c:v>
                </c:pt>
                <c:pt idx="8">
                  <c:v>#N/A</c:v>
                </c:pt>
                <c:pt idx="9">
                  <c:v>#N/A</c:v>
                </c:pt>
                <c:pt idx="10">
                  <c:v>#N/A</c:v>
                </c:pt>
                <c:pt idx="11">
                  <c:v>#N/A</c:v>
                </c:pt>
                <c:pt idx="12">
                  <c:v>0.28</c:v>
                </c:pt>
                <c:pt idx="13">
                  <c:v>0.36</c:v>
                </c:pt>
                <c:pt idx="14">
                  <c:v>0.1701</c:v>
                </c:pt>
              </c:numCache>
            </c:numRef>
          </c:val>
          <c:smooth val="0"/>
        </c:ser>
        <c:dLbls>
          <c:showLegendKey val="0"/>
          <c:showVal val="0"/>
          <c:showCatName val="0"/>
          <c:showSerName val="0"/>
          <c:showPercent val="0"/>
          <c:showBubbleSize val="0"/>
        </c:dLbls>
        <c:marker val="0"/>
        <c:smooth val="0"/>
        <c:axId val="1858105743"/>
        <c:axId val="1746834527"/>
      </c:lineChart>
      <c:catAx>
        <c:axId val="1858105743"/>
        <c:scaling>
          <c:orientation val="minMax"/>
        </c:scaling>
        <c:delete val="0"/>
        <c:axPos val="b"/>
        <c:numFmt formatCode="General" sourceLinked="1"/>
        <c:majorTickMark val="none"/>
        <c:minorTickMark val="none"/>
        <c:tickLblPos val="nextTo"/>
        <c:spPr>
          <a:noFill/>
          <a:ln w="317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crossAx val="1746834527"/>
        <c:crosses val="autoZero"/>
        <c:auto val="1"/>
        <c:lblAlgn val="ctr"/>
        <c:lblOffset val="100"/>
        <c:noMultiLvlLbl val="0"/>
      </c:catAx>
      <c:valAx>
        <c:axId val="1746834527"/>
        <c:scaling>
          <c:orientation val="minMax"/>
          <c:max val="1"/>
        </c:scaling>
        <c:delete val="0"/>
        <c:axPos val="l"/>
        <c:numFmt formatCode="General" sourceLinked="1"/>
        <c:majorTickMark val="none"/>
        <c:minorTickMark val="none"/>
        <c:tickLblPos val="nextTo"/>
        <c:spPr>
          <a:noFill/>
          <a:ln w="317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crossAx val="1858105743"/>
        <c:crosses val="autoZero"/>
        <c:crossBetween val="between"/>
      </c:valAx>
    </c:plotArea>
    <c:plotVisOnly val="1"/>
    <c:dispBlanksAs val="gap"/>
    <c:showDLblsOverMax val="0"/>
  </c:chart>
  <c:spPr>
    <a:solidFill>
      <a:schemeClr val="bg1"/>
    </a:solidFill>
    <a:ln w="3175" cap="flat" cmpd="sng" algn="ctr">
      <a:noFill/>
      <a:prstDash val="solid"/>
      <a:round/>
    </a:ln>
    <a:effectLst/>
  </c:spPr>
  <c:txPr>
    <a:bodyPr/>
    <a:lstStyle/>
    <a:p>
      <a:pPr>
        <a:defRPr lang="zh-CN" sz="900">
          <a:solidFill>
            <a:sysClr val="windowText" lastClr="000000"/>
          </a:solidFill>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000874890639"/>
          <c:y val="0.0572246065808298"/>
          <c:w val="0.746198162729659"/>
          <c:h val="0.895088221268479"/>
        </c:manualLayout>
      </c:layout>
      <c:barChart>
        <c:barDir val="bar"/>
        <c:grouping val="clustered"/>
        <c:varyColors val="0"/>
        <c:ser>
          <c:idx val="1"/>
          <c:order val="1"/>
          <c:tx>
            <c:strRef>
              <c:f>单位就业情况!$M$2</c:f>
              <c:strCache>
                <c:ptCount val="1"/>
                <c:pt idx="0">
                  <c:v>比例</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单位就业情况!$K$3:$K$14</c:f>
              <c:strCache>
                <c:ptCount val="12"/>
                <c:pt idx="0">
                  <c:v>中小型其他企业</c:v>
                </c:pt>
                <c:pt idx="1">
                  <c:v>三资企业</c:v>
                </c:pt>
                <c:pt idx="2">
                  <c:v>国有企业</c:v>
                </c:pt>
                <c:pt idx="3">
                  <c:v>医疗卫生单位</c:v>
                </c:pt>
                <c:pt idx="4">
                  <c:v>中初教育单位</c:v>
                </c:pt>
                <c:pt idx="5">
                  <c:v>其他事业单位</c:v>
                </c:pt>
                <c:pt idx="6">
                  <c:v>机关</c:v>
                </c:pt>
                <c:pt idx="7">
                  <c:v>科研设计单位</c:v>
                </c:pt>
                <c:pt idx="8">
                  <c:v>部队</c:v>
                </c:pt>
                <c:pt idx="9">
                  <c:v>城镇社区</c:v>
                </c:pt>
                <c:pt idx="10">
                  <c:v>高等教育单位</c:v>
                </c:pt>
                <c:pt idx="11">
                  <c:v>农村建制村</c:v>
                </c:pt>
              </c:strCache>
            </c:strRef>
          </c:cat>
          <c:val>
            <c:numRef>
              <c:f>单位就业情况!$M$3:$M$14</c:f>
              <c:numCache>
                <c:formatCode>0.00%</c:formatCode>
                <c:ptCount val="12"/>
                <c:pt idx="0">
                  <c:v>0.826867816091954</c:v>
                </c:pt>
                <c:pt idx="1">
                  <c:v>0.0581896551724138</c:v>
                </c:pt>
                <c:pt idx="2">
                  <c:v>0.0402298850574713</c:v>
                </c:pt>
                <c:pt idx="3">
                  <c:v>0.0208333333333333</c:v>
                </c:pt>
                <c:pt idx="4">
                  <c:v>0.0179597701149425</c:v>
                </c:pt>
                <c:pt idx="5">
                  <c:v>0.0179597701149425</c:v>
                </c:pt>
                <c:pt idx="6">
                  <c:v>0.00718390804597701</c:v>
                </c:pt>
                <c:pt idx="7">
                  <c:v>0.00574712643678161</c:v>
                </c:pt>
                <c:pt idx="8">
                  <c:v>0.0021551724137931</c:v>
                </c:pt>
                <c:pt idx="9">
                  <c:v>0.0014367816091954</c:v>
                </c:pt>
                <c:pt idx="10">
                  <c:v>0.000718390804597701</c:v>
                </c:pt>
                <c:pt idx="11">
                  <c:v>0.000718390804597701</c:v>
                </c:pt>
              </c:numCache>
            </c:numRef>
          </c:val>
        </c:ser>
        <c:dLbls>
          <c:showLegendKey val="0"/>
          <c:showVal val="1"/>
          <c:showCatName val="0"/>
          <c:showSerName val="0"/>
          <c:showPercent val="0"/>
          <c:showBubbleSize val="0"/>
        </c:dLbls>
        <c:gapWidth val="182"/>
        <c:axId val="219283368"/>
        <c:axId val="219283696"/>
        <c:extLst>
          <c:ext xmlns:c15="http://schemas.microsoft.com/office/drawing/2012/chart" uri="{02D57815-91ED-43cb-92C2-25804820EDAC}">
            <c15:filteredBarSeries>
              <c15:ser>
                <c:idx val="0"/>
                <c:order val="0"/>
                <c:tx>
                  <c:strRef>
                    <c:extLst>
                      <c:ext uri="{02D57815-91ED-43cb-92C2-25804820EDAC}">
                        <c15:formulaRef>
                          <c15:sqref>单位就业情况!$L$2</c15:sqref>
                        </c15:formulaRef>
                      </c:ext>
                    </c:extLst>
                    <c:strCache>
                      <c:ptCount val="1"/>
                      <c:pt idx="0">
                        <c:v>人数</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单位就业情况!$K$3:$K$14</c15:sqref>
                        </c15:formulaRef>
                      </c:ext>
                    </c:extLst>
                    <c:strCache>
                      <c:ptCount val="12"/>
                      <c:pt idx="0">
                        <c:v>中小型其他企业</c:v>
                      </c:pt>
                      <c:pt idx="1">
                        <c:v>三资企业</c:v>
                      </c:pt>
                      <c:pt idx="2">
                        <c:v>国有企业</c:v>
                      </c:pt>
                      <c:pt idx="3">
                        <c:v>医疗卫生单位</c:v>
                      </c:pt>
                      <c:pt idx="4">
                        <c:v>中初教育单位</c:v>
                      </c:pt>
                      <c:pt idx="5">
                        <c:v>其他事业单位</c:v>
                      </c:pt>
                      <c:pt idx="6">
                        <c:v>机关</c:v>
                      </c:pt>
                      <c:pt idx="7">
                        <c:v>科研设计单位</c:v>
                      </c:pt>
                      <c:pt idx="8">
                        <c:v>部队</c:v>
                      </c:pt>
                      <c:pt idx="9">
                        <c:v>城镇社区</c:v>
                      </c:pt>
                      <c:pt idx="10">
                        <c:v>高等教育单位</c:v>
                      </c:pt>
                      <c:pt idx="11">
                        <c:v>农村建制村</c:v>
                      </c:pt>
                    </c:strCache>
                  </c:strRef>
                </c:cat>
                <c:val>
                  <c:numRef>
                    <c:extLst>
                      <c:ext uri="{02D57815-91ED-43cb-92C2-25804820EDAC}">
                        <c15:formulaRef>
                          <c15:sqref>单位就业情况!$L$3:$L$14</c15:sqref>
                        </c15:formulaRef>
                      </c:ext>
                    </c:extLst>
                    <c:numCache>
                      <c:formatCode>General</c:formatCode>
                      <c:ptCount val="12"/>
                      <c:pt idx="0">
                        <c:v>1151</c:v>
                      </c:pt>
                      <c:pt idx="1">
                        <c:v>81</c:v>
                      </c:pt>
                      <c:pt idx="2">
                        <c:v>56</c:v>
                      </c:pt>
                      <c:pt idx="3">
                        <c:v>29</c:v>
                      </c:pt>
                      <c:pt idx="4">
                        <c:v>25</c:v>
                      </c:pt>
                      <c:pt idx="5">
                        <c:v>25</c:v>
                      </c:pt>
                      <c:pt idx="6">
                        <c:v>10</c:v>
                      </c:pt>
                      <c:pt idx="7">
                        <c:v>8</c:v>
                      </c:pt>
                      <c:pt idx="8">
                        <c:v>3</c:v>
                      </c:pt>
                      <c:pt idx="9">
                        <c:v>2</c:v>
                      </c:pt>
                      <c:pt idx="10">
                        <c:v>1</c:v>
                      </c:pt>
                      <c:pt idx="11">
                        <c:v>1</c:v>
                      </c:pt>
                    </c:numCache>
                  </c:numRef>
                </c:val>
              </c15:ser>
            </c15:filteredBarSeries>
          </c:ext>
        </c:extLst>
      </c:barChart>
      <c:catAx>
        <c:axId val="219283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19283696"/>
        <c:crosses val="autoZero"/>
        <c:auto val="1"/>
        <c:lblAlgn val="ctr"/>
        <c:lblOffset val="100"/>
        <c:noMultiLvlLbl val="0"/>
      </c:catAx>
      <c:valAx>
        <c:axId val="219283696"/>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19283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544527796604"/>
          <c:y val="0.0214328213543691"/>
          <c:w val="0.611432399911962"/>
          <c:h val="0.957134357291262"/>
        </c:manualLayout>
      </c:layout>
      <c:barChart>
        <c:barDir val="bar"/>
        <c:grouping val="clustered"/>
        <c:varyColors val="0"/>
        <c:ser>
          <c:idx val="1"/>
          <c:order val="1"/>
          <c:tx>
            <c:strRef>
              <c:f>单位就业情况!$M$20</c:f>
              <c:strCache>
                <c:ptCount val="1"/>
                <c:pt idx="0">
                  <c:v>比例</c:v>
                </c:pt>
              </c:strCache>
            </c:strRef>
          </c:tx>
          <c:spPr>
            <a:solidFill>
              <a:srgbClr val="005099"/>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单位就业情况!$K$21:$K$40</c:f>
              <c:strCache>
                <c:ptCount val="20"/>
                <c:pt idx="0">
                  <c:v>国际组织</c:v>
                </c:pt>
                <c:pt idx="1">
                  <c:v>采矿业</c:v>
                </c:pt>
                <c:pt idx="2">
                  <c:v>电力、热力、燃气及水生产和供应业</c:v>
                </c:pt>
                <c:pt idx="3">
                  <c:v>水利、环境和公共设施管理业</c:v>
                </c:pt>
                <c:pt idx="4">
                  <c:v>农、林、牧、渔业</c:v>
                </c:pt>
                <c:pt idx="5">
                  <c:v>公共管理、社会保障和社会组织</c:v>
                </c:pt>
                <c:pt idx="6">
                  <c:v>金融业</c:v>
                </c:pt>
                <c:pt idx="7">
                  <c:v>住宿和餐饮业</c:v>
                </c:pt>
                <c:pt idx="8">
                  <c:v>交通运输、仓储和邮政业</c:v>
                </c:pt>
                <c:pt idx="9">
                  <c:v>房地产业</c:v>
                </c:pt>
                <c:pt idx="10">
                  <c:v>文化、体育和娱乐业</c:v>
                </c:pt>
                <c:pt idx="11">
                  <c:v>居民服务、修理和其他服务业</c:v>
                </c:pt>
                <c:pt idx="12">
                  <c:v>卫生和社会工作</c:v>
                </c:pt>
                <c:pt idx="13">
                  <c:v>科学研究和技术服务业</c:v>
                </c:pt>
                <c:pt idx="14">
                  <c:v>建筑业</c:v>
                </c:pt>
                <c:pt idx="15">
                  <c:v>租赁和商务服务业</c:v>
                </c:pt>
                <c:pt idx="16">
                  <c:v>信息传输、软件和信息技术服务业</c:v>
                </c:pt>
                <c:pt idx="17">
                  <c:v>批发和零售业</c:v>
                </c:pt>
                <c:pt idx="18">
                  <c:v>制造业</c:v>
                </c:pt>
                <c:pt idx="19">
                  <c:v>教育</c:v>
                </c:pt>
              </c:strCache>
            </c:strRef>
          </c:cat>
          <c:val>
            <c:numRef>
              <c:f>单位就业情况!$M$21:$M$40</c:f>
              <c:numCache>
                <c:formatCode>0.00%</c:formatCode>
                <c:ptCount val="20"/>
                <c:pt idx="0">
                  <c:v>0.000711743772241993</c:v>
                </c:pt>
                <c:pt idx="1">
                  <c:v>0.00142348754448399</c:v>
                </c:pt>
                <c:pt idx="2">
                  <c:v>0.00427046263345196</c:v>
                </c:pt>
                <c:pt idx="3">
                  <c:v>0.00498220640569395</c:v>
                </c:pt>
                <c:pt idx="4">
                  <c:v>0.0113879003558719</c:v>
                </c:pt>
                <c:pt idx="5">
                  <c:v>0.0156583629893238</c:v>
                </c:pt>
                <c:pt idx="6">
                  <c:v>0.0270462633451957</c:v>
                </c:pt>
                <c:pt idx="7">
                  <c:v>0.0298932384341637</c:v>
                </c:pt>
                <c:pt idx="8">
                  <c:v>0.0306049822064057</c:v>
                </c:pt>
                <c:pt idx="9">
                  <c:v>0.0348754448398577</c:v>
                </c:pt>
                <c:pt idx="10">
                  <c:v>0.0462633451957295</c:v>
                </c:pt>
                <c:pt idx="11">
                  <c:v>0.0491103202846975</c:v>
                </c:pt>
                <c:pt idx="12">
                  <c:v>0.0498220640569395</c:v>
                </c:pt>
                <c:pt idx="13">
                  <c:v>0.0526690391459075</c:v>
                </c:pt>
                <c:pt idx="14">
                  <c:v>0.0647686832740214</c:v>
                </c:pt>
                <c:pt idx="15">
                  <c:v>0.0725978647686833</c:v>
                </c:pt>
                <c:pt idx="16">
                  <c:v>0.106761565836299</c:v>
                </c:pt>
                <c:pt idx="17">
                  <c:v>0.111743772241993</c:v>
                </c:pt>
                <c:pt idx="18">
                  <c:v>0.123131672597865</c:v>
                </c:pt>
                <c:pt idx="19">
                  <c:v>0.162277580071174</c:v>
                </c:pt>
              </c:numCache>
            </c:numRef>
          </c:val>
        </c:ser>
        <c:dLbls>
          <c:showLegendKey val="0"/>
          <c:showVal val="1"/>
          <c:showCatName val="0"/>
          <c:showSerName val="0"/>
          <c:showPercent val="0"/>
          <c:showBubbleSize val="0"/>
        </c:dLbls>
        <c:gapWidth val="182"/>
        <c:axId val="219283368"/>
        <c:axId val="219283696"/>
        <c:extLst>
          <c:ext xmlns:c15="http://schemas.microsoft.com/office/drawing/2012/chart" uri="{02D57815-91ED-43cb-92C2-25804820EDAC}">
            <c15:filteredBarSeries>
              <c15:ser>
                <c:idx val="0"/>
                <c:order val="0"/>
                <c:tx>
                  <c:strRef>
                    <c:extLst>
                      <c:ext uri="{02D57815-91ED-43cb-92C2-25804820EDAC}">
                        <c15:formulaRef>
                          <c15:sqref>单位就业情况!$L$20</c15:sqref>
                        </c15:formulaRef>
                      </c:ext>
                    </c:extLst>
                    <c:strCache>
                      <c:ptCount val="1"/>
                      <c:pt idx="0">
                        <c:v>人数</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单位就业情况!$K$21:$K$40</c15:sqref>
                        </c15:formulaRef>
                      </c:ext>
                    </c:extLst>
                    <c:strCache>
                      <c:ptCount val="20"/>
                      <c:pt idx="0">
                        <c:v>国际组织</c:v>
                      </c:pt>
                      <c:pt idx="1">
                        <c:v>采矿业</c:v>
                      </c:pt>
                      <c:pt idx="2">
                        <c:v>电力、热力、燃气及水生产和供应业</c:v>
                      </c:pt>
                      <c:pt idx="3">
                        <c:v>水利、环境和公共设施管理业</c:v>
                      </c:pt>
                      <c:pt idx="4">
                        <c:v>农、林、牧、渔业</c:v>
                      </c:pt>
                      <c:pt idx="5">
                        <c:v>公共管理、社会保障和社会组织</c:v>
                      </c:pt>
                      <c:pt idx="6">
                        <c:v>金融业</c:v>
                      </c:pt>
                      <c:pt idx="7">
                        <c:v>住宿和餐饮业</c:v>
                      </c:pt>
                      <c:pt idx="8">
                        <c:v>交通运输、仓储和邮政业</c:v>
                      </c:pt>
                      <c:pt idx="9">
                        <c:v>房地产业</c:v>
                      </c:pt>
                      <c:pt idx="10">
                        <c:v>文化、体育和娱乐业</c:v>
                      </c:pt>
                      <c:pt idx="11">
                        <c:v>居民服务、修理和其他服务业</c:v>
                      </c:pt>
                      <c:pt idx="12">
                        <c:v>卫生和社会工作</c:v>
                      </c:pt>
                      <c:pt idx="13">
                        <c:v>科学研究和技术服务业</c:v>
                      </c:pt>
                      <c:pt idx="14">
                        <c:v>建筑业</c:v>
                      </c:pt>
                      <c:pt idx="15">
                        <c:v>租赁和商务服务业</c:v>
                      </c:pt>
                      <c:pt idx="16">
                        <c:v>信息传输、软件和信息技术服务业</c:v>
                      </c:pt>
                      <c:pt idx="17">
                        <c:v>批发和零售业</c:v>
                      </c:pt>
                      <c:pt idx="18">
                        <c:v>制造业</c:v>
                      </c:pt>
                      <c:pt idx="19">
                        <c:v>教育</c:v>
                      </c:pt>
                    </c:strCache>
                  </c:strRef>
                </c:cat>
                <c:val>
                  <c:numRef>
                    <c:extLst>
                      <c:ext uri="{02D57815-91ED-43cb-92C2-25804820EDAC}">
                        <c15:formulaRef>
                          <c15:sqref>单位就业情况!$L$21:$L$40</c15:sqref>
                        </c15:formulaRef>
                      </c:ext>
                    </c:extLst>
                    <c:numCache>
                      <c:formatCode>General</c:formatCode>
                      <c:ptCount val="20"/>
                      <c:pt idx="0">
                        <c:v>1</c:v>
                      </c:pt>
                      <c:pt idx="1">
                        <c:v>2</c:v>
                      </c:pt>
                      <c:pt idx="2">
                        <c:v>6</c:v>
                      </c:pt>
                      <c:pt idx="3">
                        <c:v>7</c:v>
                      </c:pt>
                      <c:pt idx="4">
                        <c:v>16</c:v>
                      </c:pt>
                      <c:pt idx="5">
                        <c:v>22</c:v>
                      </c:pt>
                      <c:pt idx="6">
                        <c:v>38</c:v>
                      </c:pt>
                      <c:pt idx="7">
                        <c:v>42</c:v>
                      </c:pt>
                      <c:pt idx="8">
                        <c:v>43</c:v>
                      </c:pt>
                      <c:pt idx="9">
                        <c:v>49</c:v>
                      </c:pt>
                      <c:pt idx="10">
                        <c:v>65</c:v>
                      </c:pt>
                      <c:pt idx="11">
                        <c:v>69</c:v>
                      </c:pt>
                      <c:pt idx="12">
                        <c:v>70</c:v>
                      </c:pt>
                      <c:pt idx="13">
                        <c:v>74</c:v>
                      </c:pt>
                      <c:pt idx="14">
                        <c:v>91</c:v>
                      </c:pt>
                      <c:pt idx="15">
                        <c:v>102</c:v>
                      </c:pt>
                      <c:pt idx="16">
                        <c:v>150</c:v>
                      </c:pt>
                      <c:pt idx="17">
                        <c:v>157</c:v>
                      </c:pt>
                      <c:pt idx="18">
                        <c:v>173</c:v>
                      </c:pt>
                      <c:pt idx="19">
                        <c:v>228</c:v>
                      </c:pt>
                    </c:numCache>
                  </c:numRef>
                </c:val>
              </c15:ser>
            </c15:filteredBarSeries>
          </c:ext>
        </c:extLst>
      </c:barChart>
      <c:catAx>
        <c:axId val="21928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crossAx val="219283696"/>
        <c:crosses val="autoZero"/>
        <c:auto val="1"/>
        <c:lblAlgn val="ctr"/>
        <c:lblOffset val="100"/>
        <c:noMultiLvlLbl val="0"/>
      </c:catAx>
      <c:valAx>
        <c:axId val="219283696"/>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crossAx val="219283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宋体" panose="02010600030101010101" charset="-122"/>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11198600175"/>
          <c:y val="0.0214328213543691"/>
          <c:w val="0.637864829396325"/>
          <c:h val="0.957134357291262"/>
        </c:manualLayout>
      </c:layout>
      <c:barChart>
        <c:barDir val="bar"/>
        <c:grouping val="clustered"/>
        <c:varyColors val="0"/>
        <c:ser>
          <c:idx val="1"/>
          <c:order val="1"/>
          <c:tx>
            <c:strRef>
              <c:f>单位就业情况!$M$45</c:f>
              <c:strCache>
                <c:ptCount val="1"/>
                <c:pt idx="0">
                  <c:v>计数项:姓名2</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单位就业情况!$K$46:$K$61</c:f>
              <c:strCache>
                <c:ptCount val="16"/>
                <c:pt idx="0">
                  <c:v>公务员</c:v>
                </c:pt>
                <c:pt idx="1">
                  <c:v>农林牧渔业技术人员</c:v>
                </c:pt>
                <c:pt idx="2">
                  <c:v>体育工作人员</c:v>
                </c:pt>
                <c:pt idx="3">
                  <c:v>新闻出版和文化工作人员</c:v>
                </c:pt>
                <c:pt idx="4">
                  <c:v>生产和运输设备操作人员</c:v>
                </c:pt>
                <c:pt idx="5">
                  <c:v>科学研究人员</c:v>
                </c:pt>
                <c:pt idx="6">
                  <c:v>文学艺术工作人员</c:v>
                </c:pt>
                <c:pt idx="7">
                  <c:v>金融业务人员</c:v>
                </c:pt>
                <c:pt idx="8">
                  <c:v>经济业务人员</c:v>
                </c:pt>
                <c:pt idx="9">
                  <c:v>工程技术人员</c:v>
                </c:pt>
                <c:pt idx="10">
                  <c:v>卫生专业技术人员</c:v>
                </c:pt>
                <c:pt idx="11">
                  <c:v>办事人员和有关人员</c:v>
                </c:pt>
                <c:pt idx="12">
                  <c:v>其他专业技术人员</c:v>
                </c:pt>
                <c:pt idx="13">
                  <c:v>教学人员</c:v>
                </c:pt>
                <c:pt idx="14">
                  <c:v>商业和服务业人员</c:v>
                </c:pt>
                <c:pt idx="15">
                  <c:v>其他人员</c:v>
                </c:pt>
              </c:strCache>
            </c:strRef>
          </c:cat>
          <c:val>
            <c:numRef>
              <c:f>单位就业情况!$M$46:$M$61</c:f>
              <c:numCache>
                <c:formatCode>0.00%</c:formatCode>
                <c:ptCount val="16"/>
                <c:pt idx="0">
                  <c:v>0.000718390804597701</c:v>
                </c:pt>
                <c:pt idx="1">
                  <c:v>0.0014367816091954</c:v>
                </c:pt>
                <c:pt idx="2">
                  <c:v>0.0014367816091954</c:v>
                </c:pt>
                <c:pt idx="3">
                  <c:v>0.00502873563218391</c:v>
                </c:pt>
                <c:pt idx="4">
                  <c:v>0.00646551724137931</c:v>
                </c:pt>
                <c:pt idx="5">
                  <c:v>0.00790229885057471</c:v>
                </c:pt>
                <c:pt idx="6">
                  <c:v>0.014367816091954</c:v>
                </c:pt>
                <c:pt idx="7">
                  <c:v>0.028735632183908</c:v>
                </c:pt>
                <c:pt idx="8">
                  <c:v>0.0438218390804598</c:v>
                </c:pt>
                <c:pt idx="9">
                  <c:v>0.0445402298850575</c:v>
                </c:pt>
                <c:pt idx="10">
                  <c:v>0.048132183908046</c:v>
                </c:pt>
                <c:pt idx="11">
                  <c:v>0.0653735632183908</c:v>
                </c:pt>
                <c:pt idx="12">
                  <c:v>0.109913793103448</c:v>
                </c:pt>
                <c:pt idx="13">
                  <c:v>0.120689655172414</c:v>
                </c:pt>
                <c:pt idx="14">
                  <c:v>0.130028735632184</c:v>
                </c:pt>
                <c:pt idx="15">
                  <c:v>0.371408045977011</c:v>
                </c:pt>
              </c:numCache>
            </c:numRef>
          </c:val>
        </c:ser>
        <c:dLbls>
          <c:showLegendKey val="0"/>
          <c:showVal val="1"/>
          <c:showCatName val="0"/>
          <c:showSerName val="0"/>
          <c:showPercent val="0"/>
          <c:showBubbleSize val="0"/>
        </c:dLbls>
        <c:gapWidth val="182"/>
        <c:axId val="219283368"/>
        <c:axId val="219283696"/>
        <c:extLst>
          <c:ext xmlns:c15="http://schemas.microsoft.com/office/drawing/2012/chart" uri="{02D57815-91ED-43cb-92C2-25804820EDAC}">
            <c15:filteredBarSeries>
              <c15:ser>
                <c:idx val="0"/>
                <c:order val="0"/>
                <c:tx>
                  <c:strRef>
                    <c:extLst>
                      <c:ext uri="{02D57815-91ED-43cb-92C2-25804820EDAC}">
                        <c15:formulaRef>
                          <c15:sqref>单位就业情况!$L$45</c15:sqref>
                        </c15:formulaRef>
                      </c:ext>
                    </c:extLst>
                    <c:strCache>
                      <c:ptCount val="1"/>
                      <c:pt idx="0">
                        <c:v>计数项:姓名</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单位就业情况!$K$46:$K$61</c15:sqref>
                        </c15:formulaRef>
                      </c:ext>
                    </c:extLst>
                    <c:strCache>
                      <c:ptCount val="16"/>
                      <c:pt idx="0">
                        <c:v>公务员</c:v>
                      </c:pt>
                      <c:pt idx="1">
                        <c:v>农林牧渔业技术人员</c:v>
                      </c:pt>
                      <c:pt idx="2">
                        <c:v>体育工作人员</c:v>
                      </c:pt>
                      <c:pt idx="3">
                        <c:v>新闻出版和文化工作人员</c:v>
                      </c:pt>
                      <c:pt idx="4">
                        <c:v>生产和运输设备操作人员</c:v>
                      </c:pt>
                      <c:pt idx="5">
                        <c:v>科学研究人员</c:v>
                      </c:pt>
                      <c:pt idx="6">
                        <c:v>文学艺术工作人员</c:v>
                      </c:pt>
                      <c:pt idx="7">
                        <c:v>金融业务人员</c:v>
                      </c:pt>
                      <c:pt idx="8">
                        <c:v>经济业务人员</c:v>
                      </c:pt>
                      <c:pt idx="9">
                        <c:v>工程技术人员</c:v>
                      </c:pt>
                      <c:pt idx="10">
                        <c:v>卫生专业技术人员</c:v>
                      </c:pt>
                      <c:pt idx="11">
                        <c:v>办事人员和有关人员</c:v>
                      </c:pt>
                      <c:pt idx="12">
                        <c:v>其他专业技术人员</c:v>
                      </c:pt>
                      <c:pt idx="13">
                        <c:v>教学人员</c:v>
                      </c:pt>
                      <c:pt idx="14">
                        <c:v>商业和服务业人员</c:v>
                      </c:pt>
                      <c:pt idx="15">
                        <c:v>其他人员</c:v>
                      </c:pt>
                    </c:strCache>
                  </c:strRef>
                </c:cat>
                <c:val>
                  <c:numRef>
                    <c:extLst>
                      <c:ext uri="{02D57815-91ED-43cb-92C2-25804820EDAC}">
                        <c15:formulaRef>
                          <c15:sqref>单位就业情况!$L$46:$L$61</c15:sqref>
                        </c15:formulaRef>
                      </c:ext>
                    </c:extLst>
                    <c:numCache>
                      <c:formatCode>General</c:formatCode>
                      <c:ptCount val="16"/>
                      <c:pt idx="0">
                        <c:v>1</c:v>
                      </c:pt>
                      <c:pt idx="1">
                        <c:v>2</c:v>
                      </c:pt>
                      <c:pt idx="2">
                        <c:v>2</c:v>
                      </c:pt>
                      <c:pt idx="3">
                        <c:v>7</c:v>
                      </c:pt>
                      <c:pt idx="4">
                        <c:v>9</c:v>
                      </c:pt>
                      <c:pt idx="5">
                        <c:v>11</c:v>
                      </c:pt>
                      <c:pt idx="6">
                        <c:v>20</c:v>
                      </c:pt>
                      <c:pt idx="7">
                        <c:v>40</c:v>
                      </c:pt>
                      <c:pt idx="8">
                        <c:v>61</c:v>
                      </c:pt>
                      <c:pt idx="9">
                        <c:v>62</c:v>
                      </c:pt>
                      <c:pt idx="10">
                        <c:v>67</c:v>
                      </c:pt>
                      <c:pt idx="11">
                        <c:v>91</c:v>
                      </c:pt>
                      <c:pt idx="12">
                        <c:v>153</c:v>
                      </c:pt>
                      <c:pt idx="13">
                        <c:v>168</c:v>
                      </c:pt>
                      <c:pt idx="14">
                        <c:v>181</c:v>
                      </c:pt>
                      <c:pt idx="15">
                        <c:v>517</c:v>
                      </c:pt>
                    </c:numCache>
                  </c:numRef>
                </c:val>
              </c15:ser>
            </c15:filteredBarSeries>
          </c:ext>
        </c:extLst>
      </c:barChart>
      <c:catAx>
        <c:axId val="21928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19283696"/>
        <c:crosses val="autoZero"/>
        <c:auto val="1"/>
        <c:lblAlgn val="ctr"/>
        <c:lblOffset val="100"/>
        <c:noMultiLvlLbl val="0"/>
      </c:catAx>
      <c:valAx>
        <c:axId val="219283696"/>
        <c:scaling>
          <c:orientation val="minMax"/>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19283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39570508231926"/>
          <c:y val="0.0276729964423497"/>
          <c:w val="0.917231782390837"/>
          <c:h val="0.703867302593305"/>
        </c:manualLayout>
      </c:layout>
      <c:barChart>
        <c:barDir val="col"/>
        <c:grouping val="clustered"/>
        <c:varyColors val="0"/>
        <c:ser>
          <c:idx val="0"/>
          <c:order val="0"/>
          <c:tx>
            <c:strRef>
              <c:f>单位就业情况!$U$3</c:f>
              <c:strCache>
                <c:ptCount val="1"/>
                <c:pt idx="0">
                  <c:v>计数项:姓名</c:v>
                </c:pt>
              </c:strCache>
            </c:strRef>
          </c:tx>
          <c:spPr>
            <a:solidFill>
              <a:srgbClr val="3960A7"/>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单位就业情况!$T$4:$T$32</c:f>
              <c:strCache>
                <c:ptCount val="29"/>
                <c:pt idx="0">
                  <c:v>天津市</c:v>
                </c:pt>
                <c:pt idx="1">
                  <c:v>北京市</c:v>
                </c:pt>
                <c:pt idx="2">
                  <c:v>河北省</c:v>
                </c:pt>
                <c:pt idx="3">
                  <c:v>广东省</c:v>
                </c:pt>
                <c:pt idx="4">
                  <c:v>甘肃省</c:v>
                </c:pt>
                <c:pt idx="5">
                  <c:v>贵州省</c:v>
                </c:pt>
                <c:pt idx="6">
                  <c:v>山西省</c:v>
                </c:pt>
                <c:pt idx="7">
                  <c:v>四川省</c:v>
                </c:pt>
                <c:pt idx="8">
                  <c:v>安徽省</c:v>
                </c:pt>
                <c:pt idx="9">
                  <c:v>内蒙古自治区</c:v>
                </c:pt>
                <c:pt idx="10">
                  <c:v>云南省</c:v>
                </c:pt>
                <c:pt idx="11">
                  <c:v>江苏省</c:v>
                </c:pt>
                <c:pt idx="12">
                  <c:v>新疆维吾尔自治区</c:v>
                </c:pt>
                <c:pt idx="13">
                  <c:v>河南省</c:v>
                </c:pt>
                <c:pt idx="14">
                  <c:v>陕西省</c:v>
                </c:pt>
                <c:pt idx="15">
                  <c:v>上海市</c:v>
                </c:pt>
                <c:pt idx="16">
                  <c:v>浙江省</c:v>
                </c:pt>
                <c:pt idx="17">
                  <c:v>广西壮族自治区</c:v>
                </c:pt>
                <c:pt idx="18">
                  <c:v>黑龙江省</c:v>
                </c:pt>
                <c:pt idx="19">
                  <c:v>辽宁省</c:v>
                </c:pt>
                <c:pt idx="20">
                  <c:v>福建省</c:v>
                </c:pt>
                <c:pt idx="21">
                  <c:v>海南省</c:v>
                </c:pt>
                <c:pt idx="22">
                  <c:v>湖南省</c:v>
                </c:pt>
                <c:pt idx="23">
                  <c:v>山东省</c:v>
                </c:pt>
                <c:pt idx="24">
                  <c:v>吉林省</c:v>
                </c:pt>
                <c:pt idx="25">
                  <c:v>湖北省</c:v>
                </c:pt>
                <c:pt idx="26">
                  <c:v>重庆市</c:v>
                </c:pt>
                <c:pt idx="27">
                  <c:v>青海省</c:v>
                </c:pt>
                <c:pt idx="28">
                  <c:v>江西省</c:v>
                </c:pt>
              </c:strCache>
            </c:strRef>
          </c:cat>
          <c:val>
            <c:numRef>
              <c:f>单位就业情况!$U$4:$U$32</c:f>
              <c:numCache>
                <c:formatCode>General</c:formatCode>
                <c:ptCount val="29"/>
                <c:pt idx="0">
                  <c:v>687</c:v>
                </c:pt>
                <c:pt idx="1">
                  <c:v>102</c:v>
                </c:pt>
                <c:pt idx="2">
                  <c:v>79</c:v>
                </c:pt>
                <c:pt idx="3">
                  <c:v>62</c:v>
                </c:pt>
                <c:pt idx="4">
                  <c:v>52</c:v>
                </c:pt>
                <c:pt idx="5">
                  <c:v>48</c:v>
                </c:pt>
                <c:pt idx="6">
                  <c:v>45</c:v>
                </c:pt>
                <c:pt idx="7">
                  <c:v>39</c:v>
                </c:pt>
                <c:pt idx="8">
                  <c:v>34</c:v>
                </c:pt>
                <c:pt idx="9">
                  <c:v>33</c:v>
                </c:pt>
                <c:pt idx="10">
                  <c:v>26</c:v>
                </c:pt>
                <c:pt idx="11">
                  <c:v>24</c:v>
                </c:pt>
                <c:pt idx="12">
                  <c:v>23</c:v>
                </c:pt>
                <c:pt idx="13">
                  <c:v>21</c:v>
                </c:pt>
                <c:pt idx="14">
                  <c:v>19</c:v>
                </c:pt>
                <c:pt idx="15">
                  <c:v>19</c:v>
                </c:pt>
                <c:pt idx="16">
                  <c:v>16</c:v>
                </c:pt>
                <c:pt idx="17">
                  <c:v>16</c:v>
                </c:pt>
                <c:pt idx="18">
                  <c:v>14</c:v>
                </c:pt>
                <c:pt idx="19">
                  <c:v>13</c:v>
                </c:pt>
                <c:pt idx="20">
                  <c:v>10</c:v>
                </c:pt>
                <c:pt idx="21">
                  <c:v>9</c:v>
                </c:pt>
                <c:pt idx="22">
                  <c:v>6</c:v>
                </c:pt>
                <c:pt idx="23">
                  <c:v>5</c:v>
                </c:pt>
                <c:pt idx="24">
                  <c:v>4</c:v>
                </c:pt>
                <c:pt idx="25">
                  <c:v>4</c:v>
                </c:pt>
                <c:pt idx="26">
                  <c:v>4</c:v>
                </c:pt>
                <c:pt idx="27">
                  <c:v>1</c:v>
                </c:pt>
                <c:pt idx="28">
                  <c:v>1</c:v>
                </c:pt>
              </c:numCache>
            </c:numRef>
          </c:val>
        </c:ser>
        <c:dLbls>
          <c:showLegendKey val="0"/>
          <c:showVal val="1"/>
          <c:showCatName val="0"/>
          <c:showSerName val="0"/>
          <c:showPercent val="0"/>
          <c:showBubbleSize val="0"/>
        </c:dLbls>
        <c:gapWidth val="219"/>
        <c:overlap val="-27"/>
        <c:axId val="569414176"/>
        <c:axId val="569411880"/>
      </c:barChart>
      <c:catAx>
        <c:axId val="56941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569411880"/>
        <c:crosses val="autoZero"/>
        <c:auto val="1"/>
        <c:lblAlgn val="ctr"/>
        <c:lblOffset val="100"/>
        <c:noMultiLvlLbl val="0"/>
      </c:catAx>
      <c:valAx>
        <c:axId val="569411880"/>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569414176"/>
        <c:crosses val="autoZero"/>
        <c:crossBetween val="between"/>
      </c:valA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9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专业相关度</a:t>
          </a:r>
          <a:r>
            <a:rPr lang="en-US" altLang="zh-CN" sz="1200">
              <a:latin typeface="Times New Roman" panose="02020603050405020304" charset="0"/>
              <a:ea typeface="宋体" panose="02010600030101010101" charset="-122"/>
              <a:cs typeface="Times New Roman" panose="02020603050405020304" charset="0"/>
            </a:rPr>
            <a:t>66.67%</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对毕业生</a:t>
          </a:r>
          <a:endParaRPr lang="en-US" altLang="zh-CN" sz="1200">
            <a:latin typeface="Times New Roman" panose="02020603050405020304" charset="0"/>
            <a:ea typeface="宋体" panose="02010600030101010101" charset="-122"/>
            <a:cs typeface="Times New Roman" panose="02020603050405020304" charset="0"/>
          </a:endParaRPr>
        </a:p>
        <a:p>
          <a:pPr algn="ctr"/>
          <a:r>
            <a:rPr lang="zh-CN" altLang="en-US" sz="1200">
              <a:latin typeface="Times New Roman" panose="02020603050405020304" charset="0"/>
              <a:ea typeface="宋体" panose="02010600030101010101" charset="-122"/>
              <a:cs typeface="Times New Roman" panose="02020603050405020304" charset="0"/>
            </a:rPr>
            <a:t>满意度</a:t>
          </a:r>
          <a:endParaRPr lang="en-US" altLang="zh-CN" sz="1200">
            <a:latin typeface="Times New Roman" panose="02020603050405020304" charset="0"/>
            <a:ea typeface="宋体" panose="02010600030101010101" charset="-122"/>
            <a:cs typeface="Times New Roman" panose="02020603050405020304" charset="0"/>
          </a:endParaRPr>
        </a:p>
        <a:p>
          <a:pPr algn="ctr"/>
          <a:r>
            <a:rPr lang="en-US" altLang="zh-CN" sz="1200">
              <a:latin typeface="Times New Roman" panose="02020603050405020304" charset="0"/>
              <a:ea typeface="宋体" panose="02010600030101010101" charset="-122"/>
              <a:cs typeface="Times New Roman" panose="02020603050405020304" charset="0"/>
            </a:rPr>
            <a:t>100%</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专业对口</a:t>
          </a:r>
          <a:endParaRPr lang="en-US" altLang="zh-CN" sz="1200">
            <a:latin typeface="Times New Roman" panose="02020603050405020304" charset="0"/>
            <a:ea typeface="宋体" panose="02010600030101010101" charset="-122"/>
            <a:cs typeface="Times New Roman" panose="02020603050405020304" charset="0"/>
          </a:endParaRPr>
        </a:p>
        <a:p>
          <a:pPr algn="ctr"/>
          <a:r>
            <a:rPr lang="zh-CN" altLang="en-US" sz="1200">
              <a:latin typeface="Times New Roman" panose="02020603050405020304" charset="0"/>
              <a:ea typeface="宋体" panose="02010600030101010101" charset="-122"/>
              <a:cs typeface="Times New Roman" panose="02020603050405020304" charset="0"/>
            </a:rPr>
            <a:t>关注度</a:t>
          </a:r>
          <a:endParaRPr lang="en-US" altLang="zh-CN" sz="1200">
            <a:latin typeface="Times New Roman" panose="02020603050405020304" charset="0"/>
            <a:ea typeface="宋体" panose="02010600030101010101" charset="-122"/>
            <a:cs typeface="Times New Roman" panose="02020603050405020304" charset="0"/>
          </a:endParaRPr>
        </a:p>
        <a:p>
          <a:pPr algn="ctr"/>
          <a:r>
            <a:rPr lang="en-US" altLang="zh-CN" sz="1200">
              <a:latin typeface="Times New Roman" panose="02020603050405020304" charset="0"/>
              <a:ea typeface="宋体" panose="02010600030101010101" charset="-122"/>
              <a:cs typeface="Times New Roman" panose="02020603050405020304" charset="0"/>
            </a:rPr>
            <a:t>71.43%</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effectLst/>
              <a:latin typeface="Times New Roman" panose="02020603050405020304" charset="0"/>
              <a:ea typeface="宋体" panose="02010600030101010101" charset="-122"/>
              <a:cs typeface="Times New Roman" panose="02020603050405020304" charset="0"/>
            </a:rPr>
            <a:t>母校满意</a:t>
          </a:r>
          <a:r>
            <a:rPr lang="zh-CN" altLang="zh-CN" sz="1200">
              <a:effectLst/>
              <a:latin typeface="Times New Roman" panose="02020603050405020304" charset="0"/>
              <a:ea typeface="宋体" panose="02010600030101010101" charset="-122"/>
              <a:cs typeface="Times New Roman" panose="02020603050405020304" charset="0"/>
            </a:rPr>
            <a:t>度</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en-US" altLang="zh-CN" sz="1200">
              <a:effectLst/>
              <a:latin typeface="Times New Roman" panose="02020603050405020304" charset="0"/>
              <a:ea typeface="宋体" panose="02010600030101010101" charset="-122"/>
              <a:cs typeface="Times New Roman" panose="02020603050405020304" charset="0"/>
            </a:rPr>
            <a:t>95.69%</a:t>
          </a:r>
          <a:endParaRPr lang="zh-CN" altLang="zh-CN" sz="1200">
            <a:effectLst/>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effectLst/>
              <a:latin typeface="Times New Roman" panose="02020603050405020304" charset="0"/>
              <a:ea typeface="宋体" panose="02010600030101010101" charset="-122"/>
              <a:cs typeface="Times New Roman" panose="02020603050405020304" charset="0"/>
            </a:rPr>
            <a:t>母校推荐</a:t>
          </a:r>
          <a:r>
            <a:rPr lang="zh-CN" altLang="zh-CN" sz="1200">
              <a:effectLst/>
              <a:latin typeface="Times New Roman" panose="02020603050405020304" charset="0"/>
              <a:ea typeface="宋体" panose="02010600030101010101" charset="-122"/>
              <a:cs typeface="Times New Roman" panose="02020603050405020304" charset="0"/>
            </a:rPr>
            <a:t>度</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en-US" altLang="zh-CN" sz="1200">
              <a:effectLst/>
              <a:latin typeface="Times New Roman" panose="02020603050405020304" charset="0"/>
              <a:ea typeface="宋体" panose="02010600030101010101" charset="-122"/>
              <a:cs typeface="Times New Roman" panose="02020603050405020304" charset="0"/>
            </a:rPr>
            <a:t>93.63%</a:t>
          </a:r>
          <a:endParaRPr lang="zh-CN" altLang="zh-CN" sz="1200">
            <a:effectLst/>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就业服务</a:t>
          </a:r>
          <a:endParaRPr lang="en-US" altLang="zh-CN" sz="1200">
            <a:latin typeface="Times New Roman" panose="02020603050405020304" charset="0"/>
            <a:ea typeface="宋体" panose="02010600030101010101" charset="-122"/>
            <a:cs typeface="Times New Roman" panose="02020603050405020304" charset="0"/>
          </a:endParaRPr>
        </a:p>
        <a:p>
          <a:pPr algn="ctr"/>
          <a:r>
            <a:rPr lang="zh-CN" altLang="en-US" sz="1200">
              <a:latin typeface="Times New Roman" panose="02020603050405020304" charset="0"/>
              <a:ea typeface="宋体" panose="02010600030101010101" charset="-122"/>
              <a:cs typeface="Times New Roman" panose="02020603050405020304" charset="0"/>
            </a:rPr>
            <a:t>满意度</a:t>
          </a:r>
          <a:endParaRPr lang="en-US" altLang="zh-CN" sz="1200">
            <a:latin typeface="Times New Roman" panose="02020603050405020304" charset="0"/>
            <a:ea typeface="宋体" panose="02010600030101010101" charset="-122"/>
            <a:cs typeface="Times New Roman" panose="02020603050405020304" charset="0"/>
          </a:endParaRPr>
        </a:p>
        <a:p>
          <a:pPr algn="ctr"/>
          <a:r>
            <a:rPr lang="en-US" altLang="zh-CN" sz="1200">
              <a:latin typeface="Times New Roman" panose="02020603050405020304" charset="0"/>
              <a:ea typeface="宋体" panose="02010600030101010101" charset="-122"/>
              <a:cs typeface="Times New Roman" panose="02020603050405020304" charset="0"/>
            </a:rPr>
            <a:t>97.96%</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0.63</cdr:x>
      <cdr:y>0.20932</cdr:y>
    </cdr:from>
    <cdr:to>
      <cdr:x>0.76544</cdr:x>
      <cdr:y>0.28264</cdr:y>
    </cdr:to>
    <cdr:sp>
      <cdr:nvSpPr>
        <cdr:cNvPr id="2" name="矩形 1"/>
        <cdr:cNvSpPr/>
      </cdr:nvSpPr>
      <cdr:spPr xmlns:a="http://schemas.openxmlformats.org/drawingml/2006/main">
        <a:xfrm xmlns:a="http://schemas.openxmlformats.org/drawingml/2006/main">
          <a:off x="3234404" y="556264"/>
          <a:ext cx="695339" cy="194852"/>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altLang="zh-CN" sz="900">
              <a:latin typeface="Times New Roman" panose="02020603050405020304" charset="0"/>
              <a:cs typeface="Times New Roman" panose="02020603050405020304" charset="0"/>
            </a:rPr>
            <a:t>78.91%</a:t>
          </a:r>
          <a:endParaRPr lang="zh-CN" altLang="en-US" sz="900">
            <a:latin typeface="Times New Roman" panose="02020603050405020304" charset="0"/>
            <a:cs typeface="Times New Roman" panose="02020603050405020304" charset="0"/>
          </a:endParaRPr>
        </a:p>
      </cdr:txBody>
    </cdr:sp>
  </cdr:relSizeAnchor>
  <cdr:relSizeAnchor xmlns:cdr="http://schemas.openxmlformats.org/drawingml/2006/chartDrawing">
    <cdr:from>
      <cdr:x>0.871</cdr:x>
      <cdr:y>0.56105</cdr:y>
    </cdr:from>
    <cdr:to>
      <cdr:x>0.991</cdr:x>
      <cdr:y>0.64421</cdr:y>
    </cdr:to>
    <cdr:sp>
      <cdr:nvSpPr>
        <cdr:cNvPr id="3" name="矩形 2"/>
        <cdr:cNvSpPr/>
      </cdr:nvSpPr>
      <cdr:spPr xmlns:a="http://schemas.openxmlformats.org/drawingml/2006/main">
        <a:xfrm xmlns:a="http://schemas.openxmlformats.org/drawingml/2006/main">
          <a:off x="4424680" y="1490980"/>
          <a:ext cx="609600" cy="22098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900">
              <a:latin typeface="Times New Roman" panose="02020603050405020304" charset="0"/>
              <a:cs typeface="Times New Roman" panose="02020603050405020304" charset="0"/>
            </a:rPr>
            <a:t>17.01%</a:t>
          </a:r>
          <a:endParaRPr lang="zh-CN" altLang="en-US" sz="900">
            <a:latin typeface="Times New Roman" panose="02020603050405020304" charset="0"/>
            <a:cs typeface="Times New Roman" panose="02020603050405020304" charset="0"/>
          </a:endParaRPr>
        </a:p>
      </cdr:txBody>
    </cdr:sp>
  </cdr:relSizeAnchor>
  <cdr:relSizeAnchor xmlns:cdr="http://schemas.openxmlformats.org/drawingml/2006/chartDrawing">
    <cdr:from>
      <cdr:x>0.79</cdr:x>
      <cdr:y>0.46356</cdr:y>
    </cdr:from>
    <cdr:to>
      <cdr:x>0.91</cdr:x>
      <cdr:y>0.54671</cdr:y>
    </cdr:to>
    <cdr:sp>
      <cdr:nvSpPr>
        <cdr:cNvPr id="4" name="矩形 3"/>
        <cdr:cNvSpPr/>
      </cdr:nvSpPr>
      <cdr:spPr xmlns:a="http://schemas.openxmlformats.org/drawingml/2006/main">
        <a:xfrm xmlns:a="http://schemas.openxmlformats.org/drawingml/2006/main">
          <a:off x="4013200" y="1231900"/>
          <a:ext cx="609600" cy="22098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900">
              <a:latin typeface="Times New Roman" panose="02020603050405020304" charset="0"/>
              <a:cs typeface="Times New Roman" panose="02020603050405020304" charset="0"/>
            </a:rPr>
            <a:t>36.00%</a:t>
          </a:r>
          <a:endParaRPr lang="zh-CN" altLang="en-US" sz="900">
            <a:latin typeface="Times New Roman" panose="02020603050405020304" charset="0"/>
            <a:cs typeface="Times New Roman" panose="02020603050405020304" charset="0"/>
          </a:endParaRPr>
        </a:p>
      </cdr:txBody>
    </cdr:sp>
  </cdr:relSizeAnchor>
  <cdr:relSizeAnchor xmlns:cdr="http://schemas.openxmlformats.org/drawingml/2006/chartDrawing">
    <cdr:from>
      <cdr:x>0.7</cdr:x>
      <cdr:y>0.51231</cdr:y>
    </cdr:from>
    <cdr:to>
      <cdr:x>0.82</cdr:x>
      <cdr:y>0.59546</cdr:y>
    </cdr:to>
    <cdr:sp>
      <cdr:nvSpPr>
        <cdr:cNvPr id="5" name="矩形 4"/>
        <cdr:cNvSpPr/>
      </cdr:nvSpPr>
      <cdr:spPr xmlns:a="http://schemas.openxmlformats.org/drawingml/2006/main">
        <a:xfrm xmlns:a="http://schemas.openxmlformats.org/drawingml/2006/main">
          <a:off x="3556000" y="1361440"/>
          <a:ext cx="609600" cy="22098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altLang="zh-CN" sz="900">
              <a:latin typeface="Times New Roman" panose="02020603050405020304" charset="0"/>
              <a:cs typeface="Times New Roman" panose="02020603050405020304" charset="0"/>
            </a:rPr>
            <a:t>28.00%</a:t>
          </a:r>
          <a:endParaRPr lang="zh-CN" altLang="en-US" sz="900">
            <a:latin typeface="Times New Roman" panose="020206030504050203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离职率</a:t>
          </a:r>
          <a:r>
            <a:rPr lang="en-US" altLang="zh-CN" sz="1200">
              <a:latin typeface="Times New Roman" panose="02020603050405020304" charset="0"/>
              <a:ea typeface="宋体" panose="02010600030101010101" charset="-122"/>
              <a:cs typeface="Times New Roman" panose="02020603050405020304" charset="0"/>
            </a:rPr>
            <a:t>17.01%</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整体保障度</a:t>
          </a:r>
          <a:r>
            <a:rPr lang="en-US" altLang="zh-CN" sz="1200">
              <a:latin typeface="Times New Roman" panose="02020603050405020304" charset="0"/>
              <a:ea typeface="宋体" panose="02010600030101010101" charset="-122"/>
              <a:cs typeface="Times New Roman" panose="02020603050405020304" charset="0"/>
            </a:rPr>
            <a:t>97.62%</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zh-CN" sz="1200">
              <a:effectLst/>
              <a:latin typeface="Times New Roman" panose="02020603050405020304" charset="0"/>
              <a:ea typeface="宋体" panose="02010600030101010101" charset="-122"/>
              <a:cs typeface="Times New Roman" panose="02020603050405020304" charset="0"/>
            </a:rPr>
            <a:t>继续深造</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zh-CN" altLang="zh-CN" sz="1200">
              <a:effectLst/>
              <a:latin typeface="Times New Roman" panose="02020603050405020304" charset="0"/>
              <a:ea typeface="宋体" panose="02010600030101010101" charset="-122"/>
              <a:cs typeface="Times New Roman" panose="02020603050405020304" charset="0"/>
            </a:rPr>
            <a:t>满意度</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en-US" altLang="zh-CN" sz="1200">
              <a:effectLst/>
              <a:latin typeface="Times New Roman" panose="02020603050405020304" charset="0"/>
              <a:ea typeface="宋体" panose="02010600030101010101" charset="-122"/>
              <a:cs typeface="Times New Roman" panose="02020603050405020304" charset="0"/>
            </a:rPr>
            <a:t>100%</a:t>
          </a:r>
          <a:endParaRPr lang="zh-CN" altLang="zh-CN" sz="1200">
            <a:effectLst/>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zh-CN" sz="1100">
              <a:effectLst/>
              <a:latin typeface="Times New Roman" panose="02020603050405020304" charset="0"/>
              <a:ea typeface="宋体" panose="02010600030101010101" charset="-122"/>
              <a:cs typeface="Times New Roman" panose="02020603050405020304" charset="0"/>
            </a:rPr>
            <a:t>继续深造</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zh-CN" altLang="en-US" sz="1100">
              <a:effectLst/>
              <a:latin typeface="Times New Roman" panose="02020603050405020304" charset="0"/>
              <a:ea typeface="宋体" panose="02010600030101010101" charset="-122"/>
              <a:cs typeface="Times New Roman" panose="02020603050405020304" charset="0"/>
            </a:rPr>
            <a:t>专业相关</a:t>
          </a:r>
          <a:r>
            <a:rPr lang="zh-CN" altLang="zh-CN" sz="1100">
              <a:effectLst/>
              <a:latin typeface="Times New Roman" panose="02020603050405020304" charset="0"/>
              <a:ea typeface="宋体" panose="02010600030101010101" charset="-122"/>
              <a:cs typeface="Times New Roman" panose="02020603050405020304" charset="0"/>
            </a:rPr>
            <a:t>度</a:t>
          </a:r>
          <a:endParaRPr lang="zh-CN" altLang="zh-CN" sz="1200">
            <a:effectLst/>
            <a:latin typeface="Times New Roman" panose="02020603050405020304" charset="0"/>
            <a:ea typeface="宋体" panose="02010600030101010101" charset="-122"/>
            <a:cs typeface="Times New Roman" panose="02020603050405020304" charset="0"/>
          </a:endParaRPr>
        </a:p>
        <a:p>
          <a:pPr algn="ctr"/>
          <a:r>
            <a:rPr lang="en-US" altLang="zh-CN" sz="1100">
              <a:effectLst/>
              <a:latin typeface="Times New Roman" panose="02020603050405020304" charset="0"/>
              <a:ea typeface="宋体" panose="02010600030101010101" charset="-122"/>
              <a:cs typeface="Times New Roman" panose="02020603050405020304" charset="0"/>
            </a:rPr>
            <a:t>70.83%</a:t>
          </a:r>
          <a:endParaRPr lang="zh-CN" altLang="zh-CN" sz="1200">
            <a:effectLst/>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0.37938</cdr:x>
      <cdr:y>0.33721</cdr:y>
    </cdr:from>
    <cdr:to>
      <cdr:x>0.61701</cdr:x>
      <cdr:y>0.66626</cdr:y>
    </cdr:to>
    <cdr:sp>
      <cdr:nvSpPr>
        <cdr:cNvPr id="2" name="矩形 1"/>
        <cdr:cNvSpPr/>
      </cdr:nvSpPr>
      <cdr:spPr xmlns:a="http://schemas.openxmlformats.org/drawingml/2006/main">
        <a:xfrm xmlns:a="http://schemas.openxmlformats.org/drawingml/2006/main">
          <a:off x="1927031" y="834030"/>
          <a:ext cx="1207010" cy="813848"/>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就业满意度</a:t>
          </a:r>
          <a:endParaRPr lang="en-US" altLang="zh-CN" sz="1200">
            <a:latin typeface="Times New Roman" panose="02020603050405020304" charset="0"/>
            <a:ea typeface="宋体" panose="02010600030101010101" charset="-122"/>
            <a:cs typeface="Times New Roman" panose="02020603050405020304" charset="0"/>
          </a:endParaRPr>
        </a:p>
        <a:p>
          <a:pPr algn="ctr"/>
          <a:r>
            <a:rPr lang="en-US" altLang="zh-CN" sz="1200">
              <a:latin typeface="Times New Roman" panose="02020603050405020304" charset="0"/>
              <a:ea typeface="宋体" panose="02010600030101010101" charset="-122"/>
              <a:cs typeface="Times New Roman" panose="02020603050405020304" charset="0"/>
            </a:rPr>
            <a:t>97.28%</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0.38501</cdr:x>
      <cdr:y>0.33721</cdr:y>
    </cdr:from>
    <cdr:to>
      <cdr:x>0.61512</cdr:x>
      <cdr:y>0.62504</cdr:y>
    </cdr:to>
    <cdr:sp>
      <cdr:nvSpPr>
        <cdr:cNvPr id="2" name="矩形 1"/>
        <cdr:cNvSpPr/>
      </cdr:nvSpPr>
      <cdr:spPr xmlns:a="http://schemas.openxmlformats.org/drawingml/2006/main">
        <a:xfrm xmlns:a="http://schemas.openxmlformats.org/drawingml/2006/main">
          <a:off x="2169527" y="787778"/>
          <a:ext cx="1296687" cy="672427"/>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职业期待</a:t>
          </a:r>
          <a:endParaRPr lang="en-US" altLang="zh-CN" sz="1200">
            <a:latin typeface="Times New Roman" panose="02020603050405020304" charset="0"/>
            <a:ea typeface="宋体" panose="02010600030101010101" charset="-122"/>
            <a:cs typeface="Times New Roman" panose="02020603050405020304" charset="0"/>
          </a:endParaRPr>
        </a:p>
        <a:p>
          <a:pPr algn="ctr"/>
          <a:r>
            <a:rPr lang="zh-CN" altLang="en-US" sz="1200">
              <a:latin typeface="Times New Roman" panose="02020603050405020304" charset="0"/>
              <a:ea typeface="宋体" panose="02010600030101010101" charset="-122"/>
              <a:cs typeface="Times New Roman" panose="02020603050405020304" charset="0"/>
            </a:rPr>
            <a:t>吻合度</a:t>
          </a:r>
          <a:endParaRPr lang="en-US" altLang="zh-CN" sz="1200">
            <a:latin typeface="Times New Roman" panose="02020603050405020304" charset="0"/>
            <a:ea typeface="宋体" panose="02010600030101010101" charset="-122"/>
            <a:cs typeface="Times New Roman" panose="02020603050405020304" charset="0"/>
          </a:endParaRPr>
        </a:p>
        <a:p>
          <a:pPr algn="ctr"/>
          <a:r>
            <a:rPr lang="en-US" altLang="zh-CN" sz="1200">
              <a:latin typeface="Times New Roman" panose="02020603050405020304" charset="0"/>
              <a:ea typeface="宋体" panose="02010600030101010101" charset="-122"/>
              <a:cs typeface="Times New Roman" panose="02020603050405020304" charset="0"/>
            </a:rPr>
            <a:t>78.91%</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latin typeface="Times New Roman" panose="02020603050405020304" charset="0"/>
              <a:ea typeface="宋体" panose="02010600030101010101" charset="-122"/>
              <a:cs typeface="Times New Roman" panose="02020603050405020304" charset="0"/>
            </a:rPr>
            <a:t>整体保障度</a:t>
          </a:r>
          <a:r>
            <a:rPr lang="en-US" altLang="zh-CN" sz="1200">
              <a:latin typeface="Times New Roman" panose="02020603050405020304" charset="0"/>
              <a:ea typeface="宋体" panose="02010600030101010101" charset="-122"/>
              <a:cs typeface="Times New Roman" panose="02020603050405020304" charset="0"/>
            </a:rPr>
            <a:t>93.20%</a:t>
          </a:r>
          <a:endParaRPr lang="zh-CN" altLang="en-US" sz="1200">
            <a:latin typeface="Times New Roman" panose="02020603050405020304" charset="0"/>
            <a:ea typeface="宋体" panose="02010600030101010101" charset="-122"/>
            <a:cs typeface="Times New Roman" panose="0202060305040502030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0.38501</cdr:x>
      <cdr:y>0.33721</cdr:y>
    </cdr:from>
    <cdr:to>
      <cdr:x>0.62264</cdr:x>
      <cdr:y>0.66626</cdr:y>
    </cdr:to>
    <cdr:sp>
      <cdr:nvSpPr>
        <cdr:cNvPr id="2" name="矩形 1"/>
        <cdr:cNvSpPr/>
      </cdr:nvSpPr>
      <cdr:spPr xmlns:a="http://schemas.openxmlformats.org/drawingml/2006/main">
        <a:xfrm xmlns:a="http://schemas.openxmlformats.org/drawingml/2006/main">
          <a:off x="1600170" y="713336"/>
          <a:ext cx="987641" cy="696065"/>
        </a:xfrm>
        <a:prstGeom xmlns:a="http://schemas.openxmlformats.org/drawingml/2006/main" prst="rect">
          <a:avLst/>
        </a:prstGeom>
      </cdr:spPr>
      <cdr:txBody xmlns:a="http://schemas.openxmlformats.org/drawingml/2006/main">
        <a:bodyPr vertOverflow="clip" vert="horz" wrap="square" lIns="45720" tIns="45720" rIns="45720" bIns="45720" rtlCol="0" anchor="ctr" anchorCtr="0">
          <a:normAutofit/>
        </a:bodyPr>
        <a:lstStyle/>
        <a:p>
          <a:pPr algn="ctr"/>
          <a:r>
            <a:rPr lang="zh-CN" altLang="en-US" sz="1200">
              <a:effectLst/>
              <a:latin typeface="Times New Roman" panose="02020603050405020304" charset="0"/>
              <a:ea typeface="宋体" panose="02010600030101010101" charset="-122"/>
              <a:cs typeface="Times New Roman" panose="02020603050405020304" charset="0"/>
            </a:rPr>
            <a:t>就业服务</a:t>
          </a:r>
          <a:endParaRPr lang="en-US" altLang="zh-CN" sz="1200">
            <a:effectLst/>
            <a:latin typeface="Times New Roman" panose="02020603050405020304" charset="0"/>
            <a:ea typeface="宋体" panose="02010600030101010101" charset="-122"/>
            <a:cs typeface="Times New Roman" panose="02020603050405020304" charset="0"/>
          </a:endParaRPr>
        </a:p>
        <a:p>
          <a:pPr algn="ctr"/>
          <a:r>
            <a:rPr lang="zh-CN" altLang="en-US" sz="1200">
              <a:effectLst/>
              <a:latin typeface="Times New Roman" panose="02020603050405020304" charset="0"/>
              <a:ea typeface="宋体" panose="02010600030101010101" charset="-122"/>
              <a:cs typeface="Times New Roman" panose="02020603050405020304" charset="0"/>
            </a:rPr>
            <a:t>满意度</a:t>
          </a:r>
          <a:endParaRPr lang="en-US" altLang="zh-CN" sz="1200">
            <a:effectLst/>
            <a:latin typeface="Times New Roman" panose="02020603050405020304" charset="0"/>
            <a:ea typeface="宋体" panose="02010600030101010101" charset="-122"/>
            <a:cs typeface="Times New Roman" panose="02020603050405020304" charset="0"/>
          </a:endParaRPr>
        </a:p>
        <a:p>
          <a:pPr algn="ctr"/>
          <a:r>
            <a:rPr lang="en-US" altLang="zh-CN" sz="1200">
              <a:effectLst/>
              <a:latin typeface="Times New Roman" panose="02020603050405020304" charset="0"/>
              <a:ea typeface="宋体" panose="02010600030101010101" charset="-122"/>
              <a:cs typeface="Times New Roman" panose="02020603050405020304" charset="0"/>
            </a:rPr>
            <a:t>95.41%</a:t>
          </a:r>
          <a:endParaRPr lang="zh-CN" altLang="zh-CN" sz="1200">
            <a:effectLst/>
            <a:latin typeface="Times New Roman" panose="02020603050405020304" charset="0"/>
            <a:ea typeface="宋体" panose="02010600030101010101" charset="-122"/>
            <a:cs typeface="Times New Roman" panose="02020603050405020304" charset="0"/>
          </a:endParaRP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积分">
  <a:themeElements>
    <a:clrScheme name="积分">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积分">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积分">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theme>
</file>

<file path=word/theme/themeOverride1.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CE672-F038-48CC-88E5-9BA285E3316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5839</Words>
  <Characters>33284</Characters>
  <Lines>277</Lines>
  <Paragraphs>78</Paragraphs>
  <TotalTime>849</TotalTime>
  <ScaleCrop>false</ScaleCrop>
  <LinksUpToDate>false</LinksUpToDate>
  <CharactersWithSpaces>39045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2021-11-25T01:31:00Z</dcterms:created>
  <dc:creator>万 鹏</dc:creator>
  <cp:lastModifiedBy>孙</cp:lastModifiedBy>
  <dcterms:modified xsi:type="dcterms:W3CDTF">2021-12-18T02:35:00Z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AFD41477BFA94642BF1E68CF4AFF6E74</vt:lpwstr>
  </property>
</Properties>
</file>