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1.svg" ContentType="image/svg+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b/>
          <w:sz w:val="36"/>
          <w:szCs w:val="36"/>
        </w:rPr>
      </w:pPr>
      <w:r>
        <w:drawing>
          <wp:anchor distT="0" distB="0" distL="114300" distR="114300" simplePos="0" relativeHeight="252316672" behindDoc="0" locked="0" layoutInCell="1" allowOverlap="1">
            <wp:simplePos x="0" y="0"/>
            <wp:positionH relativeFrom="column">
              <wp:posOffset>-1076960</wp:posOffset>
            </wp:positionH>
            <wp:positionV relativeFrom="paragraph">
              <wp:posOffset>-937260</wp:posOffset>
            </wp:positionV>
            <wp:extent cx="7572375" cy="10293350"/>
            <wp:effectExtent l="0" t="0" r="22225" b="19050"/>
            <wp:wrapNone/>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0"/>
                    <a:stretch>
                      <a:fillRect/>
                    </a:stretch>
                  </pic:blipFill>
                  <pic:spPr>
                    <a:xfrm>
                      <a:off x="0" y="0"/>
                      <a:ext cx="7572375" cy="10293350"/>
                    </a:xfrm>
                    <a:prstGeom prst="rect">
                      <a:avLst/>
                    </a:prstGeom>
                    <a:noFill/>
                    <a:ln w="9525">
                      <a:noFill/>
                    </a:ln>
                  </pic:spPr>
                </pic:pic>
              </a:graphicData>
            </a:graphic>
          </wp:anchor>
        </w:drawing>
      </w:r>
    </w:p>
    <w:p>
      <w:pPr>
        <w:rPr>
          <w:rFonts w:ascii="Times New Roman" w:hAnsi="Times New Roman" w:eastAsia="黑体"/>
          <w:b/>
          <w:sz w:val="36"/>
          <w:szCs w:val="36"/>
        </w:rPr>
        <w:sectPr>
          <w:headerReference r:id="rId4" w:type="default"/>
          <w:footerReference r:id="rId5" w:type="default"/>
          <w:pgSz w:w="11907" w:h="16160"/>
          <w:pgMar w:top="1418" w:right="1418" w:bottom="1418" w:left="1701" w:header="1020" w:footer="397" w:gutter="0"/>
          <w:pgBorders>
            <w:top w:val="none" w:sz="0" w:space="0"/>
            <w:left w:val="none" w:sz="0" w:space="0"/>
            <w:bottom w:val="none" w:sz="0" w:space="0"/>
            <w:right w:val="none" w:sz="0" w:space="0"/>
          </w:pgBorders>
          <w:pgNumType w:fmt="decimal"/>
          <w:cols w:space="720" w:num="1"/>
          <w:docGrid w:type="linesAndChars" w:linePitch="312" w:charSpace="0"/>
        </w:sectPr>
      </w:pPr>
      <w:r>
        <w:pict>
          <v:shape id="文本框 30" o:spid="_x0000_s1047" o:spt="202" type="#_x0000_t202" style="position:absolute;left:0pt;margin-left:-6.45pt;margin-top:604.1pt;height:52.5pt;width:596.25pt;mso-position-horizontal-relative:page;z-index:2517749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">
            <v:path/>
            <v:fill on="f" focussize="0,0"/>
            <v:stroke on="f" weight="0.5pt" joinstyle="miter"/>
            <v:imagedata o:title=""/>
            <o:lock v:ext="edit"/>
            <v:textbox>
              <w:txbxContent>
                <w:p>
                  <w:pPr>
                    <w:jc w:val="center"/>
                    <w:rPr>
                      <w:rFonts w:ascii="微软雅黑" w:hAnsi="微软雅黑" w:eastAsia="微软雅黑"/>
                      <w:b/>
                      <w:bCs/>
                      <w:color w:val="CCE8CF" w:themeColor="background1"/>
                      <w:sz w:val="32"/>
                      <w:szCs w:val="22"/>
                      <w14:textFill>
                        <w14:solidFill>
                          <w14:schemeClr w14:val="bg1"/>
                        </w14:solidFill>
                      </w14:textFill>
                    </w:rPr>
                  </w:pPr>
                </w:p>
              </w:txbxContent>
            </v:textbox>
          </v:shape>
        </w:pict>
      </w:r>
      <w:bookmarkStart w:id="0" w:name="_Hlk520361120"/>
      <w:bookmarkEnd w:id="0"/>
    </w:p>
    <w:p>
      <w:pPr>
        <w:pStyle w:val="30"/>
        <w:bidi w:val="0"/>
        <w:jc w:val="center"/>
        <w:rPr>
          <w:rFonts w:hint="eastAsia" w:ascii="黑体" w:hAnsi="黑体" w:eastAsia="黑体" w:cs="黑体"/>
          <w:b/>
          <w:bCs/>
          <w:sz w:val="32"/>
          <w:szCs w:val="32"/>
        </w:rPr>
      </w:pPr>
      <w:bookmarkStart w:id="1" w:name="_Hlk21617428"/>
      <w:bookmarkStart w:id="2" w:name="_Toc444521079"/>
      <w:bookmarkStart w:id="3" w:name="_Toc972017477"/>
      <w:bookmarkStart w:id="4" w:name="_Toc1523268896"/>
      <w:bookmarkStart w:id="5" w:name="_Toc1772355549"/>
      <w:bookmarkStart w:id="6" w:name="_Toc1486807611"/>
      <w:r>
        <w:rPr>
          <w:rFonts w:hint="eastAsia" w:ascii="黑体" w:hAnsi="黑体" w:eastAsia="黑体" w:cs="黑体"/>
          <w:b/>
          <w:bCs/>
          <w:sz w:val="32"/>
          <w:szCs w:val="32"/>
        </w:rPr>
        <w:t>目 录</w:t>
      </w:r>
      <w:bookmarkEnd w:id="1"/>
      <w:bookmarkEnd w:id="2"/>
      <w:bookmarkEnd w:id="3"/>
      <w:bookmarkEnd w:id="4"/>
      <w:bookmarkEnd w:id="5"/>
      <w:bookmarkEnd w:id="6"/>
    </w:p>
    <w:p>
      <w:pPr>
        <w:pStyle w:val="22"/>
        <w:tabs>
          <w:tab w:val="right" w:leader="dot" w:pos="8788"/>
        </w:tabs>
      </w:pPr>
      <w:r>
        <w:rPr>
          <w:color w:val="auto"/>
          <w:sz w:val="20"/>
          <w:szCs w:val="22"/>
        </w:rPr>
        <w:fldChar w:fldCharType="begin"/>
      </w:r>
      <w:r>
        <w:rPr>
          <w:color w:val="auto"/>
          <w:sz w:val="20"/>
          <w:szCs w:val="22"/>
        </w:rPr>
        <w:instrText xml:space="preserve"> TOC \o "1-3" \h \z \u </w:instrText>
      </w:r>
      <w:r>
        <w:rPr>
          <w:color w:val="auto"/>
          <w:sz w:val="20"/>
          <w:szCs w:val="22"/>
        </w:rPr>
        <w:fldChar w:fldCharType="separate"/>
      </w:r>
      <w:r>
        <w:rPr>
          <w:color w:val="auto"/>
          <w:szCs w:val="22"/>
        </w:rPr>
        <w:fldChar w:fldCharType="begin"/>
      </w:r>
      <w:r>
        <w:rPr>
          <w:szCs w:val="22"/>
        </w:rPr>
        <w:instrText xml:space="preserve"> HYPERLINK \l _Toc596135091 </w:instrText>
      </w:r>
      <w:r>
        <w:rPr>
          <w:szCs w:val="22"/>
        </w:rPr>
        <w:fldChar w:fldCharType="separate"/>
      </w:r>
      <w:r>
        <w:rPr>
          <w:rFonts w:hint="eastAsia"/>
        </w:rPr>
        <w:t>学校概况</w:t>
      </w:r>
      <w:r>
        <w:tab/>
      </w:r>
      <w:r>
        <w:fldChar w:fldCharType="begin"/>
      </w:r>
      <w:r>
        <w:instrText xml:space="preserve"> PAGEREF _Toc596135091 </w:instrText>
      </w:r>
      <w:r>
        <w:fldChar w:fldCharType="separate"/>
      </w:r>
      <w:r>
        <w:t>1</w:t>
      </w:r>
      <w:r>
        <w:fldChar w:fldCharType="end"/>
      </w:r>
      <w:r>
        <w:rPr>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_Toc1231261182 </w:instrText>
      </w:r>
      <w:r>
        <w:rPr>
          <w:rFonts w:cs="Times New Roman" w:eastAsiaTheme="minorEastAsia"/>
          <w:szCs w:val="22"/>
        </w:rPr>
        <w:fldChar w:fldCharType="separate"/>
      </w:r>
      <w:r>
        <w:rPr>
          <w:rFonts w:hint="eastAsia"/>
        </w:rPr>
        <w:t>报告说明</w:t>
      </w:r>
      <w:r>
        <w:tab/>
      </w:r>
      <w:r>
        <w:fldChar w:fldCharType="begin"/>
      </w:r>
      <w:r>
        <w:instrText xml:space="preserve"> PAGEREF _Toc1231261182 </w:instrText>
      </w:r>
      <w:r>
        <w:fldChar w:fldCharType="separate"/>
      </w:r>
      <w:r>
        <w:t>5</w:t>
      </w:r>
      <w:r>
        <w:fldChar w:fldCharType="end"/>
      </w:r>
      <w:r>
        <w:rPr>
          <w:rFonts w:cs="Times New Roman" w:eastAsiaTheme="minorEastAsia"/>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_Toc654263382 </w:instrText>
      </w:r>
      <w:r>
        <w:rPr>
          <w:rFonts w:cs="Times New Roman" w:eastAsiaTheme="minorEastAsia"/>
          <w:szCs w:val="22"/>
        </w:rPr>
        <w:fldChar w:fldCharType="separate"/>
      </w:r>
      <w:r>
        <w:rPr>
          <w:rFonts w:hint="eastAsia"/>
        </w:rPr>
        <w:t>第一</w:t>
      </w:r>
      <w:r>
        <w:rPr>
          <w:rFonts w:hint="eastAsia"/>
          <w:lang w:val="en-US" w:eastAsia="zh-Hans"/>
        </w:rPr>
        <w:t>章</w:t>
      </w:r>
      <w:r>
        <w:rPr>
          <w:rFonts w:hint="default"/>
          <w:lang w:eastAsia="zh-Hans"/>
        </w:rPr>
        <w:t xml:space="preserve"> </w:t>
      </w:r>
      <w:r>
        <w:rPr>
          <w:rFonts w:hint="eastAsia"/>
        </w:rPr>
        <w:t>毕业生就业基本情况</w:t>
      </w:r>
      <w:r>
        <w:tab/>
      </w:r>
      <w:r>
        <w:fldChar w:fldCharType="begin"/>
      </w:r>
      <w:r>
        <w:instrText xml:space="preserve"> PAGEREF _Toc654263382 </w:instrText>
      </w:r>
      <w:r>
        <w:fldChar w:fldCharType="separate"/>
      </w:r>
      <w:r>
        <w:t>6</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_Toc1088388634 </w:instrText>
      </w:r>
      <w:r>
        <w:rPr>
          <w:rFonts w:cs="Times New Roman" w:eastAsiaTheme="minorEastAsia"/>
          <w:szCs w:val="22"/>
        </w:rPr>
        <w:fldChar w:fldCharType="separate"/>
      </w:r>
      <w:r>
        <w:rPr>
          <w:rFonts w:hint="eastAsia"/>
        </w:rPr>
        <w:t>一、毕业生的规模和结构</w:t>
      </w:r>
      <w:r>
        <w:tab/>
      </w:r>
      <w:r>
        <w:fldChar w:fldCharType="begin"/>
      </w:r>
      <w:r>
        <w:instrText xml:space="preserve"> PAGEREF _Toc1088388634 </w:instrText>
      </w:r>
      <w:r>
        <w:fldChar w:fldCharType="separate"/>
      </w:r>
      <w:r>
        <w:t>6</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_Toc282066492 </w:instrText>
      </w:r>
      <w:r>
        <w:rPr>
          <w:rFonts w:cs="Times New Roman" w:eastAsiaTheme="minorEastAsia"/>
          <w:szCs w:val="22"/>
        </w:rPr>
        <w:fldChar w:fldCharType="separate"/>
      </w:r>
      <w:r>
        <w:rPr>
          <w:rFonts w:hint="eastAsia"/>
        </w:rPr>
        <w:t>（一）总体规模</w:t>
      </w:r>
      <w:r>
        <w:tab/>
      </w:r>
      <w:r>
        <w:fldChar w:fldCharType="begin"/>
      </w:r>
      <w:r>
        <w:instrText xml:space="preserve"> PAGEREF _Toc282066492 </w:instrText>
      </w:r>
      <w:r>
        <w:fldChar w:fldCharType="separate"/>
      </w:r>
      <w:r>
        <w:t>6</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_Toc1195122115 </w:instrText>
      </w:r>
      <w:r>
        <w:rPr>
          <w:rFonts w:cs="Times New Roman" w:eastAsiaTheme="minorEastAsia"/>
          <w:szCs w:val="22"/>
        </w:rPr>
        <w:fldChar w:fldCharType="separate"/>
      </w:r>
      <w:r>
        <w:rPr>
          <w:rFonts w:hint="eastAsia"/>
        </w:rPr>
        <w:t>（二</w:t>
      </w:r>
      <w:r>
        <w:t>）</w:t>
      </w:r>
      <w:r>
        <w:rPr>
          <w:rFonts w:hint="eastAsia"/>
          <w:lang w:val="en-US" w:eastAsia="zh-Hans"/>
        </w:rPr>
        <w:t>生源</w:t>
      </w:r>
      <w:r>
        <w:t>结构</w:t>
      </w:r>
      <w:r>
        <w:rPr>
          <w:rFonts w:hint="eastAsia"/>
        </w:rPr>
        <w:t>分布</w:t>
      </w:r>
      <w:r>
        <w:tab/>
      </w:r>
      <w:r>
        <w:fldChar w:fldCharType="begin"/>
      </w:r>
      <w:r>
        <w:instrText xml:space="preserve"> PAGEREF _Toc1195122115 </w:instrText>
      </w:r>
      <w:r>
        <w:fldChar w:fldCharType="separate"/>
      </w:r>
      <w:r>
        <w:t>6</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_Toc1002836414 </w:instrText>
      </w:r>
      <w:r>
        <w:rPr>
          <w:rFonts w:cs="Times New Roman" w:eastAsiaTheme="minorEastAsia"/>
          <w:szCs w:val="22"/>
        </w:rPr>
        <w:fldChar w:fldCharType="separate"/>
      </w:r>
      <w:r>
        <w:rPr>
          <w:rFonts w:hint="eastAsia"/>
        </w:rPr>
        <w:t>二、</w:t>
      </w:r>
      <w:r>
        <w:rPr>
          <w:rFonts w:hint="default"/>
        </w:rPr>
        <w:t>毕业去向落实率</w:t>
      </w:r>
      <w:r>
        <w:rPr>
          <w:rFonts w:hint="eastAsia"/>
        </w:rPr>
        <w:t>及</w:t>
      </w:r>
      <w:r>
        <w:t>毕业去向</w:t>
      </w:r>
      <w:r>
        <w:tab/>
      </w:r>
      <w:r>
        <w:fldChar w:fldCharType="begin"/>
      </w:r>
      <w:r>
        <w:instrText xml:space="preserve"> PAGEREF _Toc1002836414 </w:instrText>
      </w:r>
      <w:r>
        <w:fldChar w:fldCharType="separate"/>
      </w:r>
      <w:r>
        <w:t>10</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_Toc1219948442 </w:instrText>
      </w:r>
      <w:r>
        <w:rPr>
          <w:rFonts w:cs="Times New Roman" w:eastAsiaTheme="minorEastAsia"/>
          <w:szCs w:val="22"/>
        </w:rPr>
        <w:fldChar w:fldCharType="separate"/>
      </w:r>
      <w:r>
        <w:rPr>
          <w:rFonts w:hint="eastAsia"/>
        </w:rPr>
        <w:t>（一）</w:t>
      </w:r>
      <w:r>
        <w:t>总体</w:t>
      </w:r>
      <w:r>
        <w:rPr>
          <w:rFonts w:hint="eastAsia"/>
        </w:rPr>
        <w:t>毕业去向落实率及</w:t>
      </w:r>
      <w:r>
        <w:t>毕业去向</w:t>
      </w:r>
      <w:r>
        <w:tab/>
      </w:r>
      <w:r>
        <w:fldChar w:fldCharType="begin"/>
      </w:r>
      <w:r>
        <w:instrText xml:space="preserve"> PAGEREF _Toc1219948442 </w:instrText>
      </w:r>
      <w:r>
        <w:fldChar w:fldCharType="separate"/>
      </w:r>
      <w:r>
        <w:t>11</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_Toc1647086785 </w:instrText>
      </w:r>
      <w:r>
        <w:rPr>
          <w:rFonts w:cs="Times New Roman" w:eastAsiaTheme="minorEastAsia"/>
          <w:szCs w:val="22"/>
        </w:rPr>
        <w:fldChar w:fldCharType="separate"/>
      </w:r>
      <w:r>
        <w:rPr>
          <w:rFonts w:hint="eastAsia"/>
        </w:rPr>
        <w:t>（二</w:t>
      </w:r>
      <w:r>
        <w:t>）</w:t>
      </w:r>
      <w:r>
        <w:rPr>
          <w:rFonts w:hint="eastAsia"/>
        </w:rPr>
        <w:t>各</w:t>
      </w:r>
      <w:r>
        <w:rPr>
          <w:rFonts w:hint="eastAsia"/>
          <w:lang w:val="en-US" w:eastAsia="zh-Hans"/>
        </w:rPr>
        <w:t>学院</w:t>
      </w:r>
      <w:r>
        <w:rPr>
          <w:rFonts w:hint="eastAsia"/>
        </w:rPr>
        <w:t>/专业</w:t>
      </w:r>
      <w:r>
        <w:t>的毕业去向落实率</w:t>
      </w:r>
      <w:r>
        <w:tab/>
      </w:r>
      <w:r>
        <w:fldChar w:fldCharType="begin"/>
      </w:r>
      <w:r>
        <w:instrText xml:space="preserve"> PAGEREF _Toc1647086785 </w:instrText>
      </w:r>
      <w:r>
        <w:fldChar w:fldCharType="separate"/>
      </w:r>
      <w:r>
        <w:t>12</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_Toc1523385665 </w:instrText>
      </w:r>
      <w:r>
        <w:rPr>
          <w:rFonts w:cs="Times New Roman" w:eastAsiaTheme="minorEastAsia"/>
          <w:szCs w:val="22"/>
        </w:rPr>
        <w:fldChar w:fldCharType="separate"/>
      </w:r>
      <w:r>
        <w:rPr>
          <w:rFonts w:hint="eastAsia"/>
        </w:rPr>
        <w:t>（</w:t>
      </w:r>
      <w:r>
        <w:rPr>
          <w:rFonts w:hint="eastAsia"/>
          <w:lang w:val="en-US" w:eastAsia="zh-Hans"/>
        </w:rPr>
        <w:t>三</w:t>
      </w:r>
      <w:r>
        <w:t>）</w:t>
      </w:r>
      <w:r>
        <w:rPr>
          <w:rFonts w:hint="eastAsia"/>
          <w:lang w:val="en-US" w:eastAsia="zh-Hans"/>
        </w:rPr>
        <w:t>不同类别毕业生</w:t>
      </w:r>
      <w:r>
        <w:t>毕业去向落实率</w:t>
      </w:r>
      <w:r>
        <w:tab/>
      </w:r>
      <w:r>
        <w:fldChar w:fldCharType="begin"/>
      </w:r>
      <w:r>
        <w:instrText xml:space="preserve"> PAGEREF _Toc1523385665 </w:instrText>
      </w:r>
      <w:r>
        <w:fldChar w:fldCharType="separate"/>
      </w:r>
      <w:r>
        <w:t>14</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_Toc1242832121 </w:instrText>
      </w:r>
      <w:r>
        <w:rPr>
          <w:rFonts w:cs="Times New Roman" w:eastAsiaTheme="minorEastAsia"/>
          <w:szCs w:val="22"/>
        </w:rPr>
        <w:fldChar w:fldCharType="separate"/>
      </w:r>
      <w:r>
        <w:rPr>
          <w:rFonts w:hint="eastAsia"/>
        </w:rPr>
        <w:t>（</w:t>
      </w:r>
      <w:r>
        <w:rPr>
          <w:rFonts w:hint="eastAsia"/>
          <w:lang w:val="en-US" w:eastAsia="zh-Hans"/>
        </w:rPr>
        <w:t>四</w:t>
      </w:r>
      <w:r>
        <w:t>）</w:t>
      </w:r>
      <w:r>
        <w:rPr>
          <w:rFonts w:hint="eastAsia"/>
          <w:lang w:val="en-US" w:eastAsia="zh-Hans"/>
        </w:rPr>
        <w:t>本地区生源毕业生</w:t>
      </w:r>
      <w:r>
        <w:t>毕业去向落实率</w:t>
      </w:r>
      <w:r>
        <w:tab/>
      </w:r>
      <w:r>
        <w:fldChar w:fldCharType="begin"/>
      </w:r>
      <w:r>
        <w:instrText xml:space="preserve"> PAGEREF _Toc1242832121 </w:instrText>
      </w:r>
      <w:r>
        <w:fldChar w:fldCharType="separate"/>
      </w:r>
      <w:r>
        <w:t>16</w:t>
      </w:r>
      <w:r>
        <w:fldChar w:fldCharType="end"/>
      </w:r>
      <w:r>
        <w:rPr>
          <w:rFonts w:cs="Times New Roman" w:eastAsiaTheme="minorEastAsia"/>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_Toc1853506925 </w:instrText>
      </w:r>
      <w:r>
        <w:rPr>
          <w:rFonts w:cs="Times New Roman" w:eastAsiaTheme="minorEastAsia"/>
          <w:szCs w:val="22"/>
        </w:rPr>
        <w:fldChar w:fldCharType="separate"/>
      </w:r>
      <w:r>
        <w:rPr>
          <w:rFonts w:hint="eastAsia"/>
        </w:rPr>
        <w:t>第二</w:t>
      </w:r>
      <w:r>
        <w:rPr>
          <w:rFonts w:hint="eastAsia"/>
          <w:lang w:val="en-US" w:eastAsia="zh-Hans"/>
        </w:rPr>
        <w:t>章</w:t>
      </w:r>
      <w:r>
        <w:rPr>
          <w:rFonts w:hint="default"/>
          <w:lang w:eastAsia="zh-Hans"/>
        </w:rPr>
        <w:t xml:space="preserve"> </w:t>
      </w:r>
      <w:r>
        <w:rPr>
          <w:rFonts w:hint="eastAsia"/>
          <w:lang w:val="en-US" w:eastAsia="zh-Hans"/>
        </w:rPr>
        <w:t>毕业生单位就业情况</w:t>
      </w:r>
      <w:r>
        <w:tab/>
      </w:r>
      <w:r>
        <w:fldChar w:fldCharType="begin"/>
      </w:r>
      <w:r>
        <w:instrText xml:space="preserve"> PAGEREF _Toc1853506925 </w:instrText>
      </w:r>
      <w:r>
        <w:fldChar w:fldCharType="separate"/>
      </w:r>
      <w:r>
        <w:t>17</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_Toc493105093 </w:instrText>
      </w:r>
      <w:r>
        <w:rPr>
          <w:rFonts w:cs="Times New Roman" w:eastAsiaTheme="minorEastAsia"/>
          <w:szCs w:val="22"/>
        </w:rPr>
        <w:fldChar w:fldCharType="separate"/>
      </w:r>
      <w:r>
        <w:rPr>
          <w:rFonts w:hint="eastAsia"/>
          <w:lang w:val="en-US" w:eastAsia="zh-Hans"/>
        </w:rPr>
        <w:t>一</w:t>
      </w:r>
      <w:r>
        <w:rPr>
          <w:rFonts w:hint="default"/>
          <w:lang w:eastAsia="zh-Hans"/>
        </w:rPr>
        <w:t>、</w:t>
      </w:r>
      <w:r>
        <w:rPr>
          <w:rFonts w:hint="eastAsia"/>
          <w:lang w:val="en-US" w:eastAsia="zh-Hans"/>
        </w:rPr>
        <w:t>就业单位行业</w:t>
      </w:r>
      <w:r>
        <w:tab/>
      </w:r>
      <w:r>
        <w:fldChar w:fldCharType="begin"/>
      </w:r>
      <w:r>
        <w:instrText xml:space="preserve"> PAGEREF _Toc493105093 </w:instrText>
      </w:r>
      <w:r>
        <w:fldChar w:fldCharType="separate"/>
      </w:r>
      <w:r>
        <w:t>17</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_Toc477904278 </w:instrText>
      </w:r>
      <w:r>
        <w:rPr>
          <w:rFonts w:cs="Times New Roman" w:eastAsiaTheme="minorEastAsia"/>
          <w:szCs w:val="22"/>
        </w:rPr>
        <w:fldChar w:fldCharType="separate"/>
      </w:r>
      <w:r>
        <w:rPr>
          <w:rFonts w:hint="eastAsia"/>
          <w:szCs w:val="22"/>
          <w:lang w:val="en-US" w:eastAsia="zh-Hans"/>
        </w:rPr>
        <w:t>二</w:t>
      </w:r>
      <w:r>
        <w:rPr>
          <w:rFonts w:hint="default"/>
          <w:szCs w:val="22"/>
          <w:lang w:eastAsia="zh-Hans"/>
        </w:rPr>
        <w:t>、</w:t>
      </w:r>
      <w:r>
        <w:rPr>
          <w:rFonts w:hint="eastAsia"/>
          <w:szCs w:val="22"/>
          <w:lang w:val="en-US" w:eastAsia="zh-Hans"/>
        </w:rPr>
        <w:t>就业单位性质</w:t>
      </w:r>
      <w:r>
        <w:tab/>
      </w:r>
      <w:r>
        <w:fldChar w:fldCharType="begin"/>
      </w:r>
      <w:r>
        <w:instrText xml:space="preserve"> PAGEREF _Toc477904278 </w:instrText>
      </w:r>
      <w:r>
        <w:fldChar w:fldCharType="separate"/>
      </w:r>
      <w:r>
        <w:t>21</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_Toc548360566 </w:instrText>
      </w:r>
      <w:r>
        <w:rPr>
          <w:rFonts w:cs="Times New Roman" w:eastAsiaTheme="minorEastAsia"/>
          <w:szCs w:val="22"/>
        </w:rPr>
        <w:fldChar w:fldCharType="separate"/>
      </w:r>
      <w:r>
        <w:rPr>
          <w:rFonts w:hint="eastAsia"/>
        </w:rPr>
        <w:t>三</w:t>
      </w:r>
      <w:r>
        <w:rPr>
          <w:rFonts w:hint="default"/>
        </w:rPr>
        <w:t>、</w:t>
      </w:r>
      <w:r>
        <w:rPr>
          <w:rFonts w:hint="eastAsia"/>
        </w:rPr>
        <w:t>就业</w:t>
      </w:r>
      <w:r>
        <w:t>职业分布</w:t>
      </w:r>
      <w:r>
        <w:tab/>
      </w:r>
      <w:r>
        <w:fldChar w:fldCharType="begin"/>
      </w:r>
      <w:r>
        <w:instrText xml:space="preserve"> PAGEREF _Toc548360566 </w:instrText>
      </w:r>
      <w:r>
        <w:fldChar w:fldCharType="separate"/>
      </w:r>
      <w:r>
        <w:t>23</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_Toc1443703485 </w:instrText>
      </w:r>
      <w:r>
        <w:rPr>
          <w:rFonts w:cs="Times New Roman" w:eastAsiaTheme="minorEastAsia"/>
          <w:szCs w:val="22"/>
        </w:rPr>
        <w:fldChar w:fldCharType="separate"/>
      </w:r>
      <w:r>
        <w:rPr>
          <w:rFonts w:hint="eastAsia"/>
          <w:lang w:val="en-US" w:eastAsia="zh-Hans"/>
        </w:rPr>
        <w:t>四</w:t>
      </w:r>
      <w:r>
        <w:rPr>
          <w:rFonts w:hint="default"/>
          <w:lang w:eastAsia="zh-Hans"/>
        </w:rPr>
        <w:t>、</w:t>
      </w:r>
      <w:r>
        <w:rPr>
          <w:rFonts w:hint="eastAsia"/>
          <w:lang w:val="en-US" w:eastAsia="zh-Hans"/>
        </w:rPr>
        <w:t>就业流向</w:t>
      </w:r>
      <w:r>
        <w:tab/>
      </w:r>
      <w:r>
        <w:fldChar w:fldCharType="begin"/>
      </w:r>
      <w:r>
        <w:instrText xml:space="preserve"> PAGEREF _Toc1443703485 </w:instrText>
      </w:r>
      <w:r>
        <w:fldChar w:fldCharType="separate"/>
      </w:r>
      <w:r>
        <w:t>26</w:t>
      </w:r>
      <w:r>
        <w:fldChar w:fldCharType="end"/>
      </w:r>
      <w:r>
        <w:rPr>
          <w:rFonts w:cs="Times New Roman" w:eastAsiaTheme="minorEastAsia"/>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_Toc2054228589 </w:instrText>
      </w:r>
      <w:r>
        <w:rPr>
          <w:rFonts w:cs="Times New Roman" w:eastAsiaTheme="minorEastAsia"/>
          <w:szCs w:val="22"/>
        </w:rPr>
        <w:fldChar w:fldCharType="separate"/>
      </w:r>
      <w:r>
        <w:rPr>
          <w:rFonts w:hint="eastAsia"/>
        </w:rPr>
        <w:t>第</w:t>
      </w:r>
      <w:r>
        <w:rPr>
          <w:rFonts w:hint="eastAsia"/>
          <w:lang w:val="en-US" w:eastAsia="zh-Hans"/>
        </w:rPr>
        <w:t>三章</w:t>
      </w:r>
      <w:r>
        <w:rPr>
          <w:rFonts w:hint="default"/>
          <w:lang w:eastAsia="zh-Hans"/>
        </w:rPr>
        <w:t xml:space="preserve"> </w:t>
      </w:r>
      <w:r>
        <w:rPr>
          <w:rFonts w:hint="eastAsia"/>
          <w:lang w:val="en-US" w:eastAsia="zh-Hans"/>
        </w:rPr>
        <w:t>毕业生继续深造情况</w:t>
      </w:r>
      <w:r>
        <w:tab/>
      </w:r>
      <w:r>
        <w:fldChar w:fldCharType="begin"/>
      </w:r>
      <w:r>
        <w:instrText xml:space="preserve"> PAGEREF _Toc2054228589 </w:instrText>
      </w:r>
      <w:r>
        <w:fldChar w:fldCharType="separate"/>
      </w:r>
      <w:r>
        <w:t>29</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_Toc325302504 </w:instrText>
      </w:r>
      <w:r>
        <w:rPr>
          <w:rFonts w:cs="Times New Roman" w:eastAsiaTheme="minorEastAsia"/>
          <w:szCs w:val="22"/>
        </w:rPr>
        <w:fldChar w:fldCharType="separate"/>
      </w:r>
      <w:r>
        <w:rPr>
          <w:rFonts w:hint="eastAsia"/>
          <w:szCs w:val="22"/>
          <w:lang w:val="en-US" w:eastAsia="zh-Hans"/>
        </w:rPr>
        <w:t>一</w:t>
      </w:r>
      <w:r>
        <w:rPr>
          <w:rFonts w:hint="eastAsia"/>
          <w:szCs w:val="22"/>
        </w:rPr>
        <w:t>、</w:t>
      </w:r>
      <w:r>
        <w:rPr>
          <w:rFonts w:hint="eastAsia"/>
          <w:szCs w:val="22"/>
          <w:lang w:val="en-US" w:eastAsia="zh-Hans"/>
        </w:rPr>
        <w:t>总体继续深造情况</w:t>
      </w:r>
      <w:r>
        <w:tab/>
      </w:r>
      <w:r>
        <w:fldChar w:fldCharType="begin"/>
      </w:r>
      <w:r>
        <w:instrText xml:space="preserve"> PAGEREF _Toc325302504 </w:instrText>
      </w:r>
      <w:r>
        <w:fldChar w:fldCharType="separate"/>
      </w:r>
      <w:r>
        <w:t>29</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_Toc2013303113 </w:instrText>
      </w:r>
      <w:r>
        <w:rPr>
          <w:rFonts w:cs="Times New Roman" w:eastAsiaTheme="minorEastAsia"/>
          <w:szCs w:val="22"/>
        </w:rPr>
        <w:fldChar w:fldCharType="separate"/>
      </w:r>
      <w:r>
        <w:rPr>
          <w:rFonts w:hint="eastAsia"/>
          <w:szCs w:val="22"/>
          <w:lang w:val="en-US" w:eastAsia="zh-Hans"/>
        </w:rPr>
        <w:t>二</w:t>
      </w:r>
      <w:r>
        <w:rPr>
          <w:rFonts w:hint="default"/>
          <w:szCs w:val="22"/>
          <w:lang w:eastAsia="zh-Hans"/>
        </w:rPr>
        <w:t>、</w:t>
      </w:r>
      <w:r>
        <w:rPr>
          <w:rFonts w:hint="eastAsia"/>
          <w:szCs w:val="22"/>
          <w:lang w:val="en-US" w:eastAsia="zh-Hans"/>
        </w:rPr>
        <w:t>二级学院及专业继续深造比例</w:t>
      </w:r>
      <w:r>
        <w:tab/>
      </w:r>
      <w:r>
        <w:fldChar w:fldCharType="begin"/>
      </w:r>
      <w:r>
        <w:instrText xml:space="preserve"> PAGEREF _Toc2013303113 </w:instrText>
      </w:r>
      <w:r>
        <w:fldChar w:fldCharType="separate"/>
      </w:r>
      <w:r>
        <w:t>29</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_Toc1833078059 </w:instrText>
      </w:r>
      <w:r>
        <w:rPr>
          <w:rFonts w:cs="Times New Roman" w:eastAsiaTheme="minorEastAsia"/>
          <w:szCs w:val="22"/>
        </w:rPr>
        <w:fldChar w:fldCharType="separate"/>
      </w:r>
      <w:r>
        <w:rPr>
          <w:rFonts w:hint="eastAsia"/>
          <w:szCs w:val="22"/>
          <w:lang w:val="en-US" w:eastAsia="zh-Hans"/>
        </w:rPr>
        <w:t>三</w:t>
      </w:r>
      <w:r>
        <w:rPr>
          <w:rFonts w:hint="eastAsia"/>
          <w:szCs w:val="22"/>
        </w:rPr>
        <w:t>、</w:t>
      </w:r>
      <w:r>
        <w:rPr>
          <w:rFonts w:hint="eastAsia"/>
          <w:szCs w:val="22"/>
          <w:lang w:val="en-US" w:eastAsia="zh-Hans"/>
        </w:rPr>
        <w:t>国内升学情况</w:t>
      </w:r>
      <w:r>
        <w:tab/>
      </w:r>
      <w:r>
        <w:fldChar w:fldCharType="begin"/>
      </w:r>
      <w:r>
        <w:instrText xml:space="preserve"> PAGEREF _Toc1833078059 </w:instrText>
      </w:r>
      <w:r>
        <w:fldChar w:fldCharType="separate"/>
      </w:r>
      <w:r>
        <w:t>30</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_Toc742537751 </w:instrText>
      </w:r>
      <w:r>
        <w:rPr>
          <w:rFonts w:cs="Times New Roman" w:eastAsiaTheme="minorEastAsia"/>
          <w:szCs w:val="22"/>
        </w:rPr>
        <w:fldChar w:fldCharType="separate"/>
      </w:r>
      <w:r>
        <w:rPr>
          <w:rFonts w:hint="eastAsia"/>
          <w:szCs w:val="22"/>
          <w:lang w:val="en-US" w:eastAsia="zh-Hans"/>
        </w:rPr>
        <w:t>四</w:t>
      </w:r>
      <w:r>
        <w:rPr>
          <w:rFonts w:hint="default"/>
          <w:szCs w:val="22"/>
          <w:lang w:eastAsia="zh-Hans"/>
        </w:rPr>
        <w:t>、</w:t>
      </w:r>
      <w:r>
        <w:rPr>
          <w:rFonts w:hint="eastAsia"/>
          <w:szCs w:val="22"/>
          <w:lang w:val="en-US" w:eastAsia="zh-Hans"/>
        </w:rPr>
        <w:t>出国</w:t>
      </w:r>
      <w:r>
        <w:rPr>
          <w:rFonts w:hint="default"/>
          <w:szCs w:val="22"/>
          <w:lang w:eastAsia="zh-Hans"/>
        </w:rPr>
        <w:t>（</w:t>
      </w:r>
      <w:r>
        <w:rPr>
          <w:rFonts w:hint="eastAsia"/>
          <w:szCs w:val="22"/>
          <w:lang w:val="en-US" w:eastAsia="zh-Hans"/>
        </w:rPr>
        <w:t>境</w:t>
      </w:r>
      <w:r>
        <w:rPr>
          <w:rFonts w:hint="default"/>
          <w:szCs w:val="22"/>
          <w:lang w:eastAsia="zh-Hans"/>
        </w:rPr>
        <w:t>）</w:t>
      </w:r>
      <w:r>
        <w:rPr>
          <w:rFonts w:hint="eastAsia"/>
          <w:szCs w:val="22"/>
          <w:lang w:val="en-US" w:eastAsia="zh-Hans"/>
        </w:rPr>
        <w:t>情况</w:t>
      </w:r>
      <w:r>
        <w:tab/>
      </w:r>
      <w:r>
        <w:fldChar w:fldCharType="begin"/>
      </w:r>
      <w:r>
        <w:instrText xml:space="preserve"> PAGEREF _Toc742537751 </w:instrText>
      </w:r>
      <w:r>
        <w:fldChar w:fldCharType="separate"/>
      </w:r>
      <w:r>
        <w:t>31</w:t>
      </w:r>
      <w:r>
        <w:fldChar w:fldCharType="end"/>
      </w:r>
      <w:r>
        <w:rPr>
          <w:rFonts w:cs="Times New Roman" w:eastAsiaTheme="minorEastAsia"/>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_Toc804508340 </w:instrText>
      </w:r>
      <w:r>
        <w:rPr>
          <w:rFonts w:cs="Times New Roman" w:eastAsiaTheme="minorEastAsia"/>
          <w:szCs w:val="22"/>
        </w:rPr>
        <w:fldChar w:fldCharType="separate"/>
      </w:r>
      <w:r>
        <w:rPr>
          <w:rFonts w:hint="eastAsia"/>
        </w:rPr>
        <w:t>第</w:t>
      </w:r>
      <w:r>
        <w:rPr>
          <w:rFonts w:hint="eastAsia"/>
          <w:lang w:val="en-US" w:eastAsia="zh-Hans"/>
        </w:rPr>
        <w:t>四章</w:t>
      </w:r>
      <w:r>
        <w:rPr>
          <w:rFonts w:hint="default"/>
          <w:lang w:eastAsia="zh-Hans"/>
        </w:rPr>
        <w:t xml:space="preserve"> </w:t>
      </w:r>
      <w:r>
        <w:rPr>
          <w:rFonts w:hint="eastAsia"/>
          <w:lang w:val="en-US" w:eastAsia="zh-Hans"/>
        </w:rPr>
        <w:t>毕业生自主创业情况</w:t>
      </w:r>
      <w:r>
        <w:tab/>
      </w:r>
      <w:r>
        <w:fldChar w:fldCharType="begin"/>
      </w:r>
      <w:r>
        <w:instrText xml:space="preserve"> PAGEREF _Toc804508340 </w:instrText>
      </w:r>
      <w:r>
        <w:fldChar w:fldCharType="separate"/>
      </w:r>
      <w:r>
        <w:t>32</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_Toc814628868 </w:instrText>
      </w:r>
      <w:r>
        <w:rPr>
          <w:rFonts w:cs="Times New Roman" w:eastAsiaTheme="minorEastAsia"/>
          <w:szCs w:val="22"/>
        </w:rPr>
        <w:fldChar w:fldCharType="separate"/>
      </w:r>
      <w:r>
        <w:rPr>
          <w:rFonts w:hint="eastAsia"/>
          <w:szCs w:val="22"/>
          <w:lang w:val="en-US" w:eastAsia="zh-Hans"/>
        </w:rPr>
        <w:t>一</w:t>
      </w:r>
      <w:r>
        <w:rPr>
          <w:rFonts w:hint="default"/>
          <w:szCs w:val="22"/>
          <w:lang w:eastAsia="zh-Hans"/>
        </w:rPr>
        <w:t>、</w:t>
      </w:r>
      <w:r>
        <w:rPr>
          <w:rFonts w:hint="eastAsia"/>
          <w:szCs w:val="22"/>
          <w:lang w:val="en-US" w:eastAsia="zh-Hans"/>
        </w:rPr>
        <w:t>自主创业人数</w:t>
      </w:r>
      <w:r>
        <w:tab/>
      </w:r>
      <w:r>
        <w:fldChar w:fldCharType="begin"/>
      </w:r>
      <w:r>
        <w:instrText xml:space="preserve"> PAGEREF _Toc814628868 </w:instrText>
      </w:r>
      <w:r>
        <w:fldChar w:fldCharType="separate"/>
      </w:r>
      <w:r>
        <w:t>32</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_Toc1259134851 </w:instrText>
      </w:r>
      <w:r>
        <w:rPr>
          <w:rFonts w:cs="Times New Roman" w:eastAsiaTheme="minorEastAsia"/>
          <w:szCs w:val="22"/>
        </w:rPr>
        <w:fldChar w:fldCharType="separate"/>
      </w:r>
      <w:r>
        <w:rPr>
          <w:rFonts w:hint="eastAsia"/>
          <w:szCs w:val="22"/>
          <w:lang w:val="en-US" w:eastAsia="zh-Hans"/>
        </w:rPr>
        <w:t>二</w:t>
      </w:r>
      <w:r>
        <w:rPr>
          <w:rFonts w:hint="default"/>
          <w:szCs w:val="22"/>
          <w:lang w:eastAsia="zh-Hans"/>
        </w:rPr>
        <w:t>、</w:t>
      </w:r>
      <w:r>
        <w:rPr>
          <w:rFonts w:hint="eastAsia"/>
          <w:szCs w:val="22"/>
          <w:lang w:val="en-US" w:eastAsia="zh-Hans"/>
        </w:rPr>
        <w:t>自主创业行业分布</w:t>
      </w:r>
      <w:r>
        <w:tab/>
      </w:r>
      <w:r>
        <w:fldChar w:fldCharType="begin"/>
      </w:r>
      <w:r>
        <w:instrText xml:space="preserve"> PAGEREF _Toc1259134851 </w:instrText>
      </w:r>
      <w:r>
        <w:fldChar w:fldCharType="separate"/>
      </w:r>
      <w:r>
        <w:t>32</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_Toc975583219 </w:instrText>
      </w:r>
      <w:r>
        <w:rPr>
          <w:rFonts w:cs="Times New Roman" w:eastAsiaTheme="minorEastAsia"/>
          <w:szCs w:val="22"/>
        </w:rPr>
        <w:fldChar w:fldCharType="separate"/>
      </w:r>
      <w:r>
        <w:rPr>
          <w:rFonts w:hint="eastAsia"/>
          <w:szCs w:val="22"/>
          <w:lang w:val="en-US" w:eastAsia="zh-Hans"/>
        </w:rPr>
        <w:t>三</w:t>
      </w:r>
      <w:r>
        <w:rPr>
          <w:rFonts w:hint="default"/>
          <w:szCs w:val="22"/>
          <w:lang w:eastAsia="zh-Hans"/>
        </w:rPr>
        <w:t>、</w:t>
      </w:r>
      <w:r>
        <w:rPr>
          <w:rFonts w:hint="eastAsia"/>
          <w:szCs w:val="22"/>
          <w:lang w:val="en-US" w:eastAsia="zh-Hans"/>
        </w:rPr>
        <w:t>自主创业地区分布</w:t>
      </w:r>
      <w:r>
        <w:tab/>
      </w:r>
      <w:r>
        <w:fldChar w:fldCharType="begin"/>
      </w:r>
      <w:r>
        <w:instrText xml:space="preserve"> PAGEREF _Toc975583219 </w:instrText>
      </w:r>
      <w:r>
        <w:fldChar w:fldCharType="separate"/>
      </w:r>
      <w:r>
        <w:t>33</w:t>
      </w:r>
      <w:r>
        <w:fldChar w:fldCharType="end"/>
      </w:r>
      <w:r>
        <w:rPr>
          <w:rFonts w:cs="Times New Roman" w:eastAsiaTheme="minorEastAsia"/>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_Toc589516888 </w:instrText>
      </w:r>
      <w:r>
        <w:rPr>
          <w:rFonts w:cs="Times New Roman" w:eastAsiaTheme="minorEastAsia"/>
          <w:szCs w:val="22"/>
        </w:rPr>
        <w:fldChar w:fldCharType="separate"/>
      </w:r>
      <w:r>
        <w:rPr>
          <w:rFonts w:hint="eastAsia"/>
        </w:rPr>
        <w:t>第</w:t>
      </w:r>
      <w:r>
        <w:rPr>
          <w:rFonts w:hint="eastAsia"/>
          <w:lang w:val="en-US" w:eastAsia="zh-Hans"/>
        </w:rPr>
        <w:t>五章</w:t>
      </w:r>
      <w:r>
        <w:rPr>
          <w:rFonts w:hint="default"/>
          <w:lang w:eastAsia="zh-Hans"/>
        </w:rPr>
        <w:t xml:space="preserve"> </w:t>
      </w:r>
      <w:r>
        <w:rPr>
          <w:rFonts w:hint="eastAsia"/>
        </w:rPr>
        <w:t>就业创业工作举措</w:t>
      </w:r>
      <w:r>
        <w:tab/>
      </w:r>
      <w:r>
        <w:fldChar w:fldCharType="begin"/>
      </w:r>
      <w:r>
        <w:instrText xml:space="preserve"> PAGEREF _Toc589516888 </w:instrText>
      </w:r>
      <w:r>
        <w:fldChar w:fldCharType="separate"/>
      </w:r>
      <w:r>
        <w:t>34</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_Toc1668273005 </w:instrText>
      </w:r>
      <w:r>
        <w:rPr>
          <w:rFonts w:cs="Times New Roman" w:eastAsiaTheme="minorEastAsia"/>
          <w:szCs w:val="22"/>
        </w:rPr>
        <w:fldChar w:fldCharType="separate"/>
      </w:r>
      <w:r>
        <w:rPr>
          <w:rFonts w:hint="eastAsia"/>
          <w:lang w:val="en-US" w:eastAsia="zh-CN"/>
        </w:rPr>
        <w:t>一、全面落实“六稳”“六保”任务</w:t>
      </w:r>
      <w:r>
        <w:tab/>
      </w:r>
      <w:r>
        <w:fldChar w:fldCharType="begin"/>
      </w:r>
      <w:r>
        <w:instrText xml:space="preserve"> PAGEREF _Toc1668273005 </w:instrText>
      </w:r>
      <w:r>
        <w:fldChar w:fldCharType="separate"/>
      </w:r>
      <w:r>
        <w:t>34</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_Toc1117899803 </w:instrText>
      </w:r>
      <w:r>
        <w:rPr>
          <w:rFonts w:cs="Times New Roman" w:eastAsiaTheme="minorEastAsia"/>
          <w:szCs w:val="22"/>
        </w:rPr>
        <w:fldChar w:fldCharType="separate"/>
      </w:r>
      <w:r>
        <w:rPr>
          <w:rFonts w:hint="eastAsia"/>
          <w:lang w:val="en-US" w:eastAsia="zh-CN"/>
        </w:rPr>
        <w:t>二、坚持线上线下“双线”同步，畅通就业渠道</w:t>
      </w:r>
      <w:r>
        <w:tab/>
      </w:r>
      <w:r>
        <w:fldChar w:fldCharType="begin"/>
      </w:r>
      <w:r>
        <w:instrText xml:space="preserve"> PAGEREF _Toc1117899803 </w:instrText>
      </w:r>
      <w:r>
        <w:fldChar w:fldCharType="separate"/>
      </w:r>
      <w:r>
        <w:t>34</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_Toc207561418 </w:instrText>
      </w:r>
      <w:r>
        <w:rPr>
          <w:rFonts w:cs="Times New Roman" w:eastAsiaTheme="minorEastAsia"/>
          <w:szCs w:val="22"/>
        </w:rPr>
        <w:fldChar w:fldCharType="separate"/>
      </w:r>
      <w:r>
        <w:rPr>
          <w:rFonts w:hint="eastAsia"/>
          <w:lang w:val="en-US" w:eastAsia="zh-CN"/>
        </w:rPr>
        <w:t>三、多措并举，加强分类指导，精准服务毕业生就业</w:t>
      </w:r>
      <w:r>
        <w:tab/>
      </w:r>
      <w:r>
        <w:fldChar w:fldCharType="begin"/>
      </w:r>
      <w:r>
        <w:instrText xml:space="preserve"> PAGEREF _Toc207561418 </w:instrText>
      </w:r>
      <w:r>
        <w:fldChar w:fldCharType="separate"/>
      </w:r>
      <w:r>
        <w:t>34</w:t>
      </w:r>
      <w:r>
        <w:fldChar w:fldCharType="end"/>
      </w:r>
      <w:r>
        <w:rPr>
          <w:rFonts w:cs="Times New Roman" w:eastAsiaTheme="minorEastAsia"/>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_Toc971309598 </w:instrText>
      </w:r>
      <w:r>
        <w:rPr>
          <w:rFonts w:cs="Times New Roman" w:eastAsiaTheme="minorEastAsia"/>
          <w:szCs w:val="22"/>
        </w:rPr>
        <w:fldChar w:fldCharType="separate"/>
      </w:r>
      <w:r>
        <w:rPr>
          <w:rFonts w:hint="eastAsia"/>
        </w:rPr>
        <w:t xml:space="preserve">第六章 </w:t>
      </w:r>
      <w:r>
        <w:rPr>
          <w:rFonts w:hint="eastAsia"/>
          <w:lang w:val="en-US" w:eastAsia="zh-Hans"/>
        </w:rPr>
        <w:t>毕业生</w:t>
      </w:r>
      <w:r>
        <w:rPr>
          <w:rFonts w:hint="eastAsia"/>
        </w:rPr>
        <w:t>就业质量分析</w:t>
      </w:r>
      <w:r>
        <w:tab/>
      </w:r>
      <w:r>
        <w:fldChar w:fldCharType="begin"/>
      </w:r>
      <w:r>
        <w:instrText xml:space="preserve"> PAGEREF _Toc971309598 </w:instrText>
      </w:r>
      <w:r>
        <w:fldChar w:fldCharType="separate"/>
      </w:r>
      <w:r>
        <w:t>36</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_Toc1777212739 </w:instrText>
      </w:r>
      <w:r>
        <w:rPr>
          <w:rFonts w:cs="Times New Roman" w:eastAsiaTheme="minorEastAsia"/>
          <w:szCs w:val="22"/>
        </w:rPr>
        <w:fldChar w:fldCharType="separate"/>
      </w:r>
      <w:r>
        <w:rPr>
          <w:rFonts w:hint="eastAsia"/>
          <w:lang w:val="en-US" w:eastAsia="zh-Hans"/>
        </w:rPr>
        <w:t>一</w:t>
      </w:r>
      <w:r>
        <w:rPr>
          <w:rFonts w:hint="eastAsia"/>
        </w:rPr>
        <w:t>、</w:t>
      </w:r>
      <w:r>
        <w:rPr>
          <w:rFonts w:hint="eastAsia"/>
          <w:lang w:val="en-US" w:eastAsia="zh-Hans"/>
        </w:rPr>
        <w:t>就业满意度</w:t>
      </w:r>
      <w:r>
        <w:tab/>
      </w:r>
      <w:r>
        <w:fldChar w:fldCharType="begin"/>
      </w:r>
      <w:r>
        <w:instrText xml:space="preserve"> PAGEREF _Toc1777212739 </w:instrText>
      </w:r>
      <w:r>
        <w:fldChar w:fldCharType="separate"/>
      </w:r>
      <w:r>
        <w:t>36</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_Toc264458250 </w:instrText>
      </w:r>
      <w:r>
        <w:rPr>
          <w:rFonts w:cs="Times New Roman" w:eastAsiaTheme="minorEastAsia"/>
          <w:szCs w:val="22"/>
        </w:rPr>
        <w:fldChar w:fldCharType="separate"/>
      </w:r>
      <w:r>
        <w:rPr>
          <w:rFonts w:hint="eastAsia"/>
          <w:lang w:val="en-US" w:eastAsia="zh-Hans"/>
        </w:rPr>
        <w:t>二</w:t>
      </w:r>
      <w:r>
        <w:rPr>
          <w:rFonts w:hint="eastAsia"/>
        </w:rPr>
        <w:t>、</w:t>
      </w:r>
      <w:r>
        <w:rPr>
          <w:rFonts w:hint="eastAsia"/>
          <w:lang w:val="en-US" w:eastAsia="zh-Hans"/>
        </w:rPr>
        <w:t>人职适配</w:t>
      </w:r>
      <w:r>
        <w:tab/>
      </w:r>
      <w:r>
        <w:fldChar w:fldCharType="begin"/>
      </w:r>
      <w:r>
        <w:instrText xml:space="preserve"> PAGEREF _Toc264458250 </w:instrText>
      </w:r>
      <w:r>
        <w:fldChar w:fldCharType="separate"/>
      </w:r>
      <w:r>
        <w:t>37</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_Toc1606142107 </w:instrText>
      </w:r>
      <w:r>
        <w:rPr>
          <w:rFonts w:cs="Times New Roman" w:eastAsiaTheme="minorEastAsia"/>
          <w:szCs w:val="22"/>
        </w:rPr>
        <w:fldChar w:fldCharType="separate"/>
      </w:r>
      <w:r>
        <w:rPr>
          <w:rFonts w:hint="default"/>
          <w:lang w:eastAsia="zh-Hans"/>
        </w:rPr>
        <w:t>（</w:t>
      </w:r>
      <w:r>
        <w:rPr>
          <w:rFonts w:hint="eastAsia"/>
          <w:lang w:val="en-US" w:eastAsia="zh-Hans"/>
        </w:rPr>
        <w:t>一</w:t>
      </w:r>
      <w:r>
        <w:rPr>
          <w:rFonts w:hint="default"/>
          <w:lang w:eastAsia="zh-Hans"/>
        </w:rPr>
        <w:t>）</w:t>
      </w:r>
      <w:r>
        <w:rPr>
          <w:rFonts w:hint="eastAsia"/>
          <w:lang w:val="en-US" w:eastAsia="zh-Hans"/>
        </w:rPr>
        <w:t>专业相关度</w:t>
      </w:r>
      <w:r>
        <w:tab/>
      </w:r>
      <w:r>
        <w:fldChar w:fldCharType="begin"/>
      </w:r>
      <w:r>
        <w:instrText xml:space="preserve"> PAGEREF _Toc1606142107 </w:instrText>
      </w:r>
      <w:r>
        <w:fldChar w:fldCharType="separate"/>
      </w:r>
      <w:r>
        <w:t>37</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_Toc560949559 </w:instrText>
      </w:r>
      <w:r>
        <w:rPr>
          <w:rFonts w:cs="Times New Roman" w:eastAsiaTheme="minorEastAsia"/>
          <w:szCs w:val="22"/>
        </w:rPr>
        <w:fldChar w:fldCharType="separate"/>
      </w:r>
      <w:r>
        <w:rPr>
          <w:rFonts w:hint="default"/>
          <w:lang w:eastAsia="zh-Hans"/>
        </w:rPr>
        <w:t>（</w:t>
      </w:r>
      <w:r>
        <w:rPr>
          <w:rFonts w:hint="eastAsia"/>
          <w:lang w:val="en-US" w:eastAsia="zh-Hans"/>
        </w:rPr>
        <w:t>二</w:t>
      </w:r>
      <w:r>
        <w:rPr>
          <w:rFonts w:hint="default"/>
          <w:lang w:eastAsia="zh-Hans"/>
        </w:rPr>
        <w:t>）</w:t>
      </w:r>
      <w:r>
        <w:rPr>
          <w:rFonts w:hint="eastAsia"/>
          <w:lang w:val="en-US" w:eastAsia="zh-Hans"/>
        </w:rPr>
        <w:t>职业期待吻合度</w:t>
      </w:r>
      <w:r>
        <w:tab/>
      </w:r>
      <w:r>
        <w:fldChar w:fldCharType="begin"/>
      </w:r>
      <w:r>
        <w:instrText xml:space="preserve"> PAGEREF _Toc560949559 </w:instrText>
      </w:r>
      <w:r>
        <w:fldChar w:fldCharType="separate"/>
      </w:r>
      <w:r>
        <w:t>38</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_Toc426027783 </w:instrText>
      </w:r>
      <w:r>
        <w:rPr>
          <w:rFonts w:cs="Times New Roman" w:eastAsiaTheme="minorEastAsia"/>
          <w:szCs w:val="22"/>
        </w:rPr>
        <w:fldChar w:fldCharType="separate"/>
      </w:r>
      <w:r>
        <w:rPr>
          <w:rFonts w:hint="eastAsia"/>
          <w:highlight w:val="none"/>
          <w:lang w:val="en-US" w:eastAsia="zh-Hans"/>
        </w:rPr>
        <w:t>三</w:t>
      </w:r>
      <w:r>
        <w:rPr>
          <w:highlight w:val="none"/>
        </w:rPr>
        <w:t>、</w:t>
      </w:r>
      <w:r>
        <w:rPr>
          <w:rFonts w:hint="eastAsia"/>
          <w:highlight w:val="none"/>
        </w:rPr>
        <w:t>薪酬</w:t>
      </w:r>
      <w:r>
        <w:rPr>
          <w:highlight w:val="none"/>
        </w:rPr>
        <w:t>水平</w:t>
      </w:r>
      <w:r>
        <w:tab/>
      </w:r>
      <w:r>
        <w:fldChar w:fldCharType="begin"/>
      </w:r>
      <w:r>
        <w:instrText xml:space="preserve"> PAGEREF _Toc426027783 </w:instrText>
      </w:r>
      <w:r>
        <w:fldChar w:fldCharType="separate"/>
      </w:r>
      <w:r>
        <w:t>39</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_Toc538469783 </w:instrText>
      </w:r>
      <w:r>
        <w:rPr>
          <w:rFonts w:cs="Times New Roman" w:eastAsiaTheme="minorEastAsia"/>
          <w:szCs w:val="22"/>
        </w:rPr>
        <w:fldChar w:fldCharType="separate"/>
      </w:r>
      <w:r>
        <w:rPr>
          <w:rFonts w:hint="default"/>
          <w:lang w:eastAsia="zh-Hans"/>
        </w:rPr>
        <w:t>（</w:t>
      </w:r>
      <w:r>
        <w:rPr>
          <w:rFonts w:hint="eastAsia"/>
          <w:lang w:val="en-US" w:eastAsia="zh-Hans"/>
        </w:rPr>
        <w:t>一</w:t>
      </w:r>
      <w:r>
        <w:rPr>
          <w:rFonts w:hint="default"/>
          <w:lang w:eastAsia="zh-Hans"/>
        </w:rPr>
        <w:t>）</w:t>
      </w:r>
      <w:r>
        <w:rPr>
          <w:rFonts w:hint="eastAsia"/>
          <w:lang w:val="en-US" w:eastAsia="zh-Hans"/>
        </w:rPr>
        <w:t>薪酬情况</w:t>
      </w:r>
      <w:r>
        <w:tab/>
      </w:r>
      <w:r>
        <w:fldChar w:fldCharType="begin"/>
      </w:r>
      <w:r>
        <w:instrText xml:space="preserve"> PAGEREF _Toc538469783 </w:instrText>
      </w:r>
      <w:r>
        <w:fldChar w:fldCharType="separate"/>
      </w:r>
      <w:r>
        <w:t>39</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_Toc565554423 </w:instrText>
      </w:r>
      <w:r>
        <w:rPr>
          <w:rFonts w:cs="Times New Roman" w:eastAsiaTheme="minorEastAsia"/>
          <w:szCs w:val="22"/>
        </w:rPr>
        <w:fldChar w:fldCharType="separate"/>
      </w:r>
      <w:r>
        <w:rPr>
          <w:rFonts w:hint="eastAsia"/>
          <w:lang w:val="en-US" w:eastAsia="zh-Hans"/>
        </w:rPr>
        <w:t>（二）社会保障情况</w:t>
      </w:r>
      <w:r>
        <w:tab/>
      </w:r>
      <w:r>
        <w:fldChar w:fldCharType="begin"/>
      </w:r>
      <w:r>
        <w:instrText xml:space="preserve"> PAGEREF _Toc565554423 </w:instrText>
      </w:r>
      <w:r>
        <w:fldChar w:fldCharType="separate"/>
      </w:r>
      <w:r>
        <w:t>40</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_Toc510565739 </w:instrText>
      </w:r>
      <w:r>
        <w:rPr>
          <w:rFonts w:cs="Times New Roman" w:eastAsiaTheme="minorEastAsia"/>
          <w:szCs w:val="22"/>
        </w:rPr>
        <w:fldChar w:fldCharType="separate"/>
      </w:r>
      <w:r>
        <w:rPr>
          <w:rFonts w:hint="eastAsia"/>
          <w:lang w:val="en-US" w:eastAsia="zh-Hans"/>
        </w:rPr>
        <w:t>四</w:t>
      </w:r>
      <w:r>
        <w:rPr>
          <w:rFonts w:hint="eastAsia"/>
        </w:rPr>
        <w:t>、</w:t>
      </w:r>
      <w:r>
        <w:rPr>
          <w:rFonts w:hint="eastAsia"/>
          <w:lang w:val="en-US" w:eastAsia="zh-Hans"/>
        </w:rPr>
        <w:t>就业发展</w:t>
      </w:r>
      <w:r>
        <w:tab/>
      </w:r>
      <w:r>
        <w:fldChar w:fldCharType="begin"/>
      </w:r>
      <w:r>
        <w:instrText xml:space="preserve"> PAGEREF _Toc510565739 </w:instrText>
      </w:r>
      <w:r>
        <w:fldChar w:fldCharType="separate"/>
      </w:r>
      <w:r>
        <w:t>41</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_Toc1881205608 </w:instrText>
      </w:r>
      <w:r>
        <w:rPr>
          <w:rFonts w:cs="Times New Roman" w:eastAsiaTheme="minorEastAsia"/>
          <w:szCs w:val="22"/>
        </w:rPr>
        <w:fldChar w:fldCharType="separate"/>
      </w:r>
      <w:r>
        <w:rPr>
          <w:rFonts w:hint="eastAsia"/>
          <w:lang w:val="en-US" w:eastAsia="zh-Hans"/>
        </w:rPr>
        <w:t>五</w:t>
      </w:r>
      <w:r>
        <w:rPr>
          <w:rFonts w:hint="eastAsia"/>
        </w:rPr>
        <w:t>、</w:t>
      </w:r>
      <w:r>
        <w:rPr>
          <w:rFonts w:hint="eastAsia"/>
          <w:lang w:val="en-US" w:eastAsia="zh-Hans"/>
        </w:rPr>
        <w:t>就业稳定性</w:t>
      </w:r>
      <w:r>
        <w:tab/>
      </w:r>
      <w:r>
        <w:fldChar w:fldCharType="begin"/>
      </w:r>
      <w:r>
        <w:instrText xml:space="preserve"> PAGEREF _Toc1881205608 </w:instrText>
      </w:r>
      <w:r>
        <w:fldChar w:fldCharType="separate"/>
      </w:r>
      <w:r>
        <w:t>42</w:t>
      </w:r>
      <w:r>
        <w:fldChar w:fldCharType="end"/>
      </w:r>
      <w:r>
        <w:rPr>
          <w:rFonts w:cs="Times New Roman" w:eastAsiaTheme="minorEastAsia"/>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_Toc20918875 </w:instrText>
      </w:r>
      <w:r>
        <w:rPr>
          <w:rFonts w:cs="Times New Roman" w:eastAsiaTheme="minorEastAsia"/>
          <w:szCs w:val="22"/>
        </w:rPr>
        <w:fldChar w:fldCharType="separate"/>
      </w:r>
      <w:r>
        <w:t xml:space="preserve">第七章 </w:t>
      </w:r>
      <w:r>
        <w:rPr>
          <w:rFonts w:hint="eastAsia"/>
          <w:lang w:val="en-US" w:eastAsia="zh-Hans"/>
        </w:rPr>
        <w:t>毕业生就业相关</w:t>
      </w:r>
      <w:r>
        <w:t>分析</w:t>
      </w:r>
      <w:r>
        <w:tab/>
      </w:r>
      <w:r>
        <w:fldChar w:fldCharType="begin"/>
      </w:r>
      <w:r>
        <w:instrText xml:space="preserve"> PAGEREF _Toc20918875 </w:instrText>
      </w:r>
      <w:r>
        <w:fldChar w:fldCharType="separate"/>
      </w:r>
      <w:r>
        <w:t>43</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_Toc1543697664 </w:instrText>
      </w:r>
      <w:r>
        <w:rPr>
          <w:rFonts w:cs="Times New Roman" w:eastAsiaTheme="minorEastAsia"/>
          <w:szCs w:val="22"/>
        </w:rPr>
        <w:fldChar w:fldCharType="separate"/>
      </w:r>
      <w:r>
        <w:rPr>
          <w:rFonts w:hint="eastAsia"/>
        </w:rPr>
        <w:t>一、求职行为分析</w:t>
      </w:r>
      <w:r>
        <w:tab/>
      </w:r>
      <w:r>
        <w:fldChar w:fldCharType="begin"/>
      </w:r>
      <w:r>
        <w:instrText xml:space="preserve"> PAGEREF _Toc1543697664 </w:instrText>
      </w:r>
      <w:r>
        <w:fldChar w:fldCharType="separate"/>
      </w:r>
      <w:r>
        <w:t>43</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_Toc1176699441 </w:instrText>
      </w:r>
      <w:r>
        <w:rPr>
          <w:rFonts w:cs="Times New Roman" w:eastAsiaTheme="minorEastAsia"/>
          <w:szCs w:val="22"/>
        </w:rPr>
        <w:fldChar w:fldCharType="separate"/>
      </w:r>
      <w:r>
        <w:rPr>
          <w:rFonts w:hint="eastAsia"/>
        </w:rPr>
        <w:t>（一）</w:t>
      </w:r>
      <w:r>
        <w:rPr>
          <w:rFonts w:hint="eastAsia"/>
          <w:lang w:val="en-US" w:eastAsia="zh-Hans"/>
        </w:rPr>
        <w:t>已就业毕业生求职行为分析</w:t>
      </w:r>
      <w:r>
        <w:tab/>
      </w:r>
      <w:r>
        <w:fldChar w:fldCharType="begin"/>
      </w:r>
      <w:r>
        <w:instrText xml:space="preserve"> PAGEREF _Toc1176699441 </w:instrText>
      </w:r>
      <w:r>
        <w:fldChar w:fldCharType="separate"/>
      </w:r>
      <w:r>
        <w:t>43</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_Toc610599664 </w:instrText>
      </w:r>
      <w:r>
        <w:rPr>
          <w:rFonts w:cs="Times New Roman" w:eastAsiaTheme="minorEastAsia"/>
          <w:szCs w:val="22"/>
        </w:rPr>
        <w:fldChar w:fldCharType="separate"/>
      </w:r>
      <w:r>
        <w:rPr>
          <w:rFonts w:hint="eastAsia"/>
        </w:rPr>
        <w:t>（</w:t>
      </w:r>
      <w:r>
        <w:rPr>
          <w:rFonts w:hint="eastAsia"/>
          <w:lang w:val="en-US" w:eastAsia="zh-Hans"/>
        </w:rPr>
        <w:t>二</w:t>
      </w:r>
      <w:r>
        <w:rPr>
          <w:rFonts w:hint="eastAsia"/>
        </w:rPr>
        <w:t>）</w:t>
      </w:r>
      <w:r>
        <w:rPr>
          <w:rFonts w:hint="eastAsia"/>
          <w:lang w:val="en-US" w:eastAsia="zh-Hans"/>
        </w:rPr>
        <w:t>未就业毕业生求职行为分析</w:t>
      </w:r>
      <w:r>
        <w:tab/>
      </w:r>
      <w:r>
        <w:fldChar w:fldCharType="begin"/>
      </w:r>
      <w:r>
        <w:instrText xml:space="preserve"> PAGEREF _Toc610599664 </w:instrText>
      </w:r>
      <w:r>
        <w:fldChar w:fldCharType="separate"/>
      </w:r>
      <w:r>
        <w:t>44</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_Toc1671687482 </w:instrText>
      </w:r>
      <w:r>
        <w:rPr>
          <w:rFonts w:cs="Times New Roman" w:eastAsiaTheme="minorEastAsia"/>
          <w:szCs w:val="22"/>
        </w:rPr>
        <w:fldChar w:fldCharType="separate"/>
      </w:r>
      <w:r>
        <w:rPr>
          <w:rFonts w:hint="eastAsia"/>
          <w:lang w:val="en-US" w:eastAsia="zh-Hans"/>
        </w:rPr>
        <w:t>二</w:t>
      </w:r>
      <w:r>
        <w:rPr>
          <w:rFonts w:hint="eastAsia"/>
        </w:rPr>
        <w:t>、</w:t>
      </w:r>
      <w:r>
        <w:rPr>
          <w:rFonts w:hint="eastAsia"/>
          <w:lang w:val="en-US" w:eastAsia="zh-Hans"/>
        </w:rPr>
        <w:t>继续深造情况分析</w:t>
      </w:r>
      <w:r>
        <w:tab/>
      </w:r>
      <w:r>
        <w:fldChar w:fldCharType="begin"/>
      </w:r>
      <w:r>
        <w:instrText xml:space="preserve"> PAGEREF _Toc1671687482 </w:instrText>
      </w:r>
      <w:r>
        <w:fldChar w:fldCharType="separate"/>
      </w:r>
      <w:r>
        <w:t>47</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_Toc522956273 </w:instrText>
      </w:r>
      <w:r>
        <w:rPr>
          <w:rFonts w:cs="Times New Roman" w:eastAsiaTheme="minorEastAsia"/>
          <w:szCs w:val="22"/>
        </w:rPr>
        <w:fldChar w:fldCharType="separate"/>
      </w:r>
      <w:r>
        <w:rPr>
          <w:rFonts w:hint="eastAsia"/>
          <w:lang w:val="en-US" w:eastAsia="zh-Hans"/>
        </w:rPr>
        <w:t>三</w:t>
      </w:r>
      <w:r>
        <w:rPr>
          <w:rFonts w:hint="default"/>
          <w:lang w:eastAsia="zh-Hans"/>
        </w:rPr>
        <w:t>、</w:t>
      </w:r>
      <w:r>
        <w:rPr>
          <w:rFonts w:hint="eastAsia"/>
          <w:lang w:val="en-US" w:eastAsia="zh-Hans"/>
        </w:rPr>
        <w:t>自主创业情况分析</w:t>
      </w:r>
      <w:r>
        <w:tab/>
      </w:r>
      <w:r>
        <w:fldChar w:fldCharType="begin"/>
      </w:r>
      <w:r>
        <w:instrText xml:space="preserve"> PAGEREF _Toc522956273 </w:instrText>
      </w:r>
      <w:r>
        <w:fldChar w:fldCharType="separate"/>
      </w:r>
      <w:r>
        <w:t>48</w:t>
      </w:r>
      <w:r>
        <w:fldChar w:fldCharType="end"/>
      </w:r>
      <w:r>
        <w:rPr>
          <w:rFonts w:cs="Times New Roman" w:eastAsiaTheme="minorEastAsia"/>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_Toc1822996787 </w:instrText>
      </w:r>
      <w:r>
        <w:rPr>
          <w:rFonts w:cs="Times New Roman" w:eastAsiaTheme="minorEastAsia"/>
          <w:szCs w:val="22"/>
        </w:rPr>
        <w:fldChar w:fldCharType="separate"/>
      </w:r>
      <w:r>
        <w:rPr>
          <w:rFonts w:hint="eastAsia"/>
          <w:lang w:val="en-US" w:eastAsia="zh-Hans"/>
        </w:rPr>
        <w:t>第八章 教育教学反馈</w:t>
      </w:r>
      <w:r>
        <w:tab/>
      </w:r>
      <w:r>
        <w:fldChar w:fldCharType="begin"/>
      </w:r>
      <w:r>
        <w:instrText xml:space="preserve"> PAGEREF _Toc1822996787 </w:instrText>
      </w:r>
      <w:r>
        <w:fldChar w:fldCharType="separate"/>
      </w:r>
      <w:r>
        <w:t>51</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_Toc957807360 </w:instrText>
      </w:r>
      <w:r>
        <w:rPr>
          <w:rFonts w:cs="Times New Roman" w:eastAsiaTheme="minorEastAsia"/>
          <w:szCs w:val="22"/>
        </w:rPr>
        <w:fldChar w:fldCharType="separate"/>
      </w:r>
      <w:r>
        <w:rPr>
          <w:rFonts w:hint="eastAsia"/>
        </w:rPr>
        <w:t>一、毕业生对</w:t>
      </w:r>
      <w:r>
        <w:rPr>
          <w:rFonts w:hint="eastAsia"/>
          <w:lang w:val="en-US" w:eastAsia="zh-Hans"/>
        </w:rPr>
        <w:t>母校</w:t>
      </w:r>
      <w:r>
        <w:rPr>
          <w:rFonts w:hint="eastAsia"/>
        </w:rPr>
        <w:t>的评价</w:t>
      </w:r>
      <w:r>
        <w:tab/>
      </w:r>
      <w:r>
        <w:fldChar w:fldCharType="begin"/>
      </w:r>
      <w:r>
        <w:instrText xml:space="preserve"> PAGEREF _Toc957807360 </w:instrText>
      </w:r>
      <w:r>
        <w:fldChar w:fldCharType="separate"/>
      </w:r>
      <w:r>
        <w:t>51</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_Toc330881608 </w:instrText>
      </w:r>
      <w:r>
        <w:rPr>
          <w:rFonts w:cs="Times New Roman" w:eastAsiaTheme="minorEastAsia"/>
          <w:szCs w:val="22"/>
        </w:rPr>
        <w:fldChar w:fldCharType="separate"/>
      </w:r>
      <w:r>
        <w:rPr>
          <w:rFonts w:hint="default"/>
          <w:lang w:eastAsia="zh-Hans"/>
        </w:rPr>
        <w:t>（</w:t>
      </w:r>
      <w:r>
        <w:rPr>
          <w:rFonts w:hint="eastAsia"/>
          <w:lang w:val="en-US" w:eastAsia="zh-Hans"/>
        </w:rPr>
        <w:t>一</w:t>
      </w:r>
      <w:r>
        <w:rPr>
          <w:rFonts w:hint="default"/>
          <w:lang w:eastAsia="zh-Hans"/>
        </w:rPr>
        <w:t>）</w:t>
      </w:r>
      <w:r>
        <w:rPr>
          <w:rFonts w:hint="eastAsia"/>
          <w:lang w:val="en-US" w:eastAsia="zh-Hans"/>
        </w:rPr>
        <w:t>毕业生对母校的总体评价</w:t>
      </w:r>
      <w:r>
        <w:tab/>
      </w:r>
      <w:r>
        <w:fldChar w:fldCharType="begin"/>
      </w:r>
      <w:r>
        <w:instrText xml:space="preserve"> PAGEREF _Toc330881608 </w:instrText>
      </w:r>
      <w:r>
        <w:fldChar w:fldCharType="separate"/>
      </w:r>
      <w:r>
        <w:t>51</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_Toc1292023573 </w:instrText>
      </w:r>
      <w:r>
        <w:rPr>
          <w:rFonts w:cs="Times New Roman" w:eastAsiaTheme="minorEastAsia"/>
          <w:szCs w:val="22"/>
        </w:rPr>
        <w:fldChar w:fldCharType="separate"/>
      </w:r>
      <w:r>
        <w:rPr>
          <w:rFonts w:hint="default"/>
          <w:lang w:eastAsia="zh-Hans"/>
        </w:rPr>
        <w:t>（</w:t>
      </w:r>
      <w:r>
        <w:rPr>
          <w:rFonts w:hint="eastAsia"/>
          <w:lang w:val="en-US" w:eastAsia="zh-Hans"/>
        </w:rPr>
        <w:t>二</w:t>
      </w:r>
      <w:r>
        <w:rPr>
          <w:rFonts w:hint="default"/>
          <w:lang w:eastAsia="zh-Hans"/>
        </w:rPr>
        <w:t>）</w:t>
      </w:r>
      <w:r>
        <w:rPr>
          <w:rFonts w:hint="eastAsia"/>
          <w:lang w:val="en-US" w:eastAsia="zh-Hans"/>
        </w:rPr>
        <w:t>毕业生对人才培养评价</w:t>
      </w:r>
      <w:r>
        <w:tab/>
      </w:r>
      <w:r>
        <w:fldChar w:fldCharType="begin"/>
      </w:r>
      <w:r>
        <w:instrText xml:space="preserve"> PAGEREF _Toc1292023573 </w:instrText>
      </w:r>
      <w:r>
        <w:fldChar w:fldCharType="separate"/>
      </w:r>
      <w:r>
        <w:t>53</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_Toc1833036594 </w:instrText>
      </w:r>
      <w:r>
        <w:rPr>
          <w:rFonts w:cs="Times New Roman" w:eastAsiaTheme="minorEastAsia"/>
          <w:szCs w:val="22"/>
        </w:rPr>
        <w:fldChar w:fldCharType="separate"/>
      </w:r>
      <w:r>
        <w:rPr>
          <w:rFonts w:hint="default"/>
          <w:lang w:eastAsia="zh-Hans"/>
        </w:rPr>
        <w:t>（</w:t>
      </w:r>
      <w:r>
        <w:rPr>
          <w:rFonts w:hint="eastAsia"/>
          <w:lang w:val="en-US" w:eastAsia="zh-Hans"/>
        </w:rPr>
        <w:t>三</w:t>
      </w:r>
      <w:r>
        <w:rPr>
          <w:rFonts w:hint="default"/>
          <w:lang w:eastAsia="zh-Hans"/>
        </w:rPr>
        <w:t>）</w:t>
      </w:r>
      <w:r>
        <w:rPr>
          <w:rFonts w:hint="eastAsia"/>
          <w:lang w:val="en-US" w:eastAsia="zh-Hans"/>
        </w:rPr>
        <w:t>毕业生对课程设置评价</w:t>
      </w:r>
      <w:r>
        <w:tab/>
      </w:r>
      <w:r>
        <w:fldChar w:fldCharType="begin"/>
      </w:r>
      <w:r>
        <w:instrText xml:space="preserve"> PAGEREF _Toc1833036594 </w:instrText>
      </w:r>
      <w:r>
        <w:fldChar w:fldCharType="separate"/>
      </w:r>
      <w:r>
        <w:t>54</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_Toc45635496 </w:instrText>
      </w:r>
      <w:r>
        <w:rPr>
          <w:rFonts w:cs="Times New Roman" w:eastAsiaTheme="minorEastAsia"/>
          <w:szCs w:val="22"/>
        </w:rPr>
        <w:fldChar w:fldCharType="separate"/>
      </w:r>
      <w:r>
        <w:rPr>
          <w:rFonts w:hint="default"/>
          <w:lang w:eastAsia="zh-Hans"/>
        </w:rPr>
        <w:t>（</w:t>
      </w:r>
      <w:r>
        <w:rPr>
          <w:rFonts w:hint="eastAsia"/>
          <w:lang w:val="en-US" w:eastAsia="zh-Hans"/>
        </w:rPr>
        <w:t>四</w:t>
      </w:r>
      <w:r>
        <w:rPr>
          <w:rFonts w:hint="default"/>
          <w:lang w:eastAsia="zh-Hans"/>
        </w:rPr>
        <w:t>）</w:t>
      </w:r>
      <w:r>
        <w:rPr>
          <w:rFonts w:hint="eastAsia"/>
          <w:lang w:val="en-US" w:eastAsia="zh-Hans"/>
        </w:rPr>
        <w:t>毕业生对教师教学评价</w:t>
      </w:r>
      <w:r>
        <w:tab/>
      </w:r>
      <w:r>
        <w:fldChar w:fldCharType="begin"/>
      </w:r>
      <w:r>
        <w:instrText xml:space="preserve"> PAGEREF _Toc45635496 </w:instrText>
      </w:r>
      <w:r>
        <w:fldChar w:fldCharType="separate"/>
      </w:r>
      <w:r>
        <w:t>55</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_Toc344119293 </w:instrText>
      </w:r>
      <w:r>
        <w:rPr>
          <w:rFonts w:cs="Times New Roman" w:eastAsiaTheme="minorEastAsia"/>
          <w:szCs w:val="22"/>
        </w:rPr>
        <w:fldChar w:fldCharType="separate"/>
      </w:r>
      <w:r>
        <w:rPr>
          <w:rFonts w:hint="default"/>
          <w:lang w:eastAsia="zh-Hans"/>
        </w:rPr>
        <w:t>（</w:t>
      </w:r>
      <w:r>
        <w:rPr>
          <w:rFonts w:hint="eastAsia"/>
          <w:lang w:val="en-US" w:eastAsia="zh-Hans"/>
        </w:rPr>
        <w:t>五</w:t>
      </w:r>
      <w:r>
        <w:rPr>
          <w:rFonts w:hint="default"/>
          <w:lang w:eastAsia="zh-Hans"/>
        </w:rPr>
        <w:t>）</w:t>
      </w:r>
      <w:r>
        <w:rPr>
          <w:rFonts w:hint="eastAsia"/>
          <w:lang w:val="en-US" w:eastAsia="zh-Hans"/>
        </w:rPr>
        <w:t>毕业生对实践教学满意度</w:t>
      </w:r>
      <w:r>
        <w:tab/>
      </w:r>
      <w:r>
        <w:fldChar w:fldCharType="begin"/>
      </w:r>
      <w:r>
        <w:instrText xml:space="preserve"> PAGEREF _Toc344119293 </w:instrText>
      </w:r>
      <w:r>
        <w:fldChar w:fldCharType="separate"/>
      </w:r>
      <w:r>
        <w:t>55</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_Toc439496080 </w:instrText>
      </w:r>
      <w:r>
        <w:rPr>
          <w:rFonts w:cs="Times New Roman" w:eastAsiaTheme="minorEastAsia"/>
          <w:szCs w:val="22"/>
        </w:rPr>
        <w:fldChar w:fldCharType="separate"/>
      </w:r>
      <w:r>
        <w:rPr>
          <w:rFonts w:hint="default"/>
          <w:lang w:eastAsia="zh-Hans"/>
        </w:rPr>
        <w:t>（</w:t>
      </w:r>
      <w:r>
        <w:rPr>
          <w:rFonts w:hint="eastAsia"/>
          <w:lang w:val="en-US" w:eastAsia="zh-Hans"/>
        </w:rPr>
        <w:t>六</w:t>
      </w:r>
      <w:r>
        <w:rPr>
          <w:rFonts w:hint="default"/>
          <w:lang w:eastAsia="zh-Hans"/>
        </w:rPr>
        <w:t>）</w:t>
      </w:r>
      <w:r>
        <w:rPr>
          <w:rFonts w:hint="eastAsia"/>
          <w:lang w:val="en-US" w:eastAsia="zh-Hans"/>
        </w:rPr>
        <w:t>毕业生对就业管理和就业指导服务评价</w:t>
      </w:r>
      <w:r>
        <w:tab/>
      </w:r>
      <w:r>
        <w:fldChar w:fldCharType="begin"/>
      </w:r>
      <w:r>
        <w:instrText xml:space="preserve"> PAGEREF _Toc439496080 </w:instrText>
      </w:r>
      <w:r>
        <w:fldChar w:fldCharType="separate"/>
      </w:r>
      <w:r>
        <w:t>56</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_Toc1414354527 </w:instrText>
      </w:r>
      <w:r>
        <w:rPr>
          <w:rFonts w:cs="Times New Roman" w:eastAsiaTheme="minorEastAsia"/>
          <w:szCs w:val="22"/>
        </w:rPr>
        <w:fldChar w:fldCharType="separate"/>
      </w:r>
      <w:r>
        <w:rPr>
          <w:rFonts w:hint="eastAsia"/>
          <w:szCs w:val="22"/>
          <w:lang w:val="en-US" w:eastAsia="zh-Hans"/>
        </w:rPr>
        <w:t>二、 用人单位评价</w:t>
      </w:r>
      <w:r>
        <w:tab/>
      </w:r>
      <w:r>
        <w:fldChar w:fldCharType="begin"/>
      </w:r>
      <w:r>
        <w:instrText xml:space="preserve"> PAGEREF _Toc1414354527 </w:instrText>
      </w:r>
      <w:r>
        <w:fldChar w:fldCharType="separate"/>
      </w:r>
      <w:r>
        <w:t>56</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_Toc560046646 </w:instrText>
      </w:r>
      <w:r>
        <w:rPr>
          <w:rFonts w:cs="Times New Roman" w:eastAsiaTheme="minorEastAsia"/>
          <w:szCs w:val="22"/>
        </w:rPr>
        <w:fldChar w:fldCharType="separate"/>
      </w:r>
      <w:r>
        <w:rPr>
          <w:rFonts w:hint="default"/>
          <w:lang w:eastAsia="zh-Hans"/>
        </w:rPr>
        <w:t>（</w:t>
      </w:r>
      <w:r>
        <w:rPr>
          <w:rFonts w:hint="eastAsia"/>
          <w:lang w:val="en-US" w:eastAsia="zh-Hans"/>
        </w:rPr>
        <w:t>一</w:t>
      </w:r>
      <w:r>
        <w:rPr>
          <w:rFonts w:hint="default"/>
          <w:lang w:eastAsia="zh-Hans"/>
        </w:rPr>
        <w:t>）</w:t>
      </w:r>
      <w:r>
        <w:rPr>
          <w:rFonts w:hint="eastAsia"/>
          <w:lang w:val="en-US" w:eastAsia="zh-Hans"/>
        </w:rPr>
        <w:t>用人单位基本情况</w:t>
      </w:r>
      <w:r>
        <w:tab/>
      </w:r>
      <w:r>
        <w:fldChar w:fldCharType="begin"/>
      </w:r>
      <w:r>
        <w:instrText xml:space="preserve"> PAGEREF _Toc560046646 </w:instrText>
      </w:r>
      <w:r>
        <w:fldChar w:fldCharType="separate"/>
      </w:r>
      <w:r>
        <w:t>56</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_Toc283154521 </w:instrText>
      </w:r>
      <w:r>
        <w:rPr>
          <w:rFonts w:cs="Times New Roman" w:eastAsiaTheme="minorEastAsia"/>
          <w:szCs w:val="22"/>
        </w:rPr>
        <w:fldChar w:fldCharType="separate"/>
      </w:r>
      <w:r>
        <w:rPr>
          <w:rFonts w:hint="default"/>
          <w:lang w:eastAsia="zh-Hans"/>
        </w:rPr>
        <w:t>（</w:t>
      </w:r>
      <w:r>
        <w:rPr>
          <w:rFonts w:hint="eastAsia"/>
          <w:lang w:val="en-US" w:eastAsia="zh-Hans"/>
        </w:rPr>
        <w:t>二</w:t>
      </w:r>
      <w:r>
        <w:rPr>
          <w:rFonts w:hint="default"/>
          <w:lang w:eastAsia="zh-Hans"/>
        </w:rPr>
        <w:t>）</w:t>
      </w:r>
      <w:r>
        <w:rPr>
          <w:rFonts w:hint="eastAsia"/>
          <w:lang w:val="en-US" w:eastAsia="zh-Hans"/>
        </w:rPr>
        <w:t>用人单位招聘需求</w:t>
      </w:r>
      <w:r>
        <w:tab/>
      </w:r>
      <w:r>
        <w:fldChar w:fldCharType="begin"/>
      </w:r>
      <w:r>
        <w:instrText xml:space="preserve"> PAGEREF _Toc283154521 </w:instrText>
      </w:r>
      <w:r>
        <w:fldChar w:fldCharType="separate"/>
      </w:r>
      <w:r>
        <w:t>58</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_Toc154272695 </w:instrText>
      </w:r>
      <w:r>
        <w:rPr>
          <w:rFonts w:cs="Times New Roman" w:eastAsiaTheme="minorEastAsia"/>
          <w:szCs w:val="22"/>
        </w:rPr>
        <w:fldChar w:fldCharType="separate"/>
      </w:r>
      <w:r>
        <w:rPr>
          <w:rFonts w:hint="default"/>
          <w:lang w:eastAsia="zh-Hans"/>
        </w:rPr>
        <w:t>（</w:t>
      </w:r>
      <w:r>
        <w:rPr>
          <w:rFonts w:hint="eastAsia"/>
          <w:lang w:val="en-US" w:eastAsia="zh-Hans"/>
        </w:rPr>
        <w:t>三</w:t>
      </w:r>
      <w:r>
        <w:rPr>
          <w:rFonts w:hint="default"/>
          <w:lang w:eastAsia="zh-Hans"/>
        </w:rPr>
        <w:t>）</w:t>
      </w:r>
      <w:r>
        <w:rPr>
          <w:rFonts w:hint="eastAsia"/>
          <w:lang w:val="en-US" w:eastAsia="zh-Hans"/>
        </w:rPr>
        <w:t>用人单位对毕业生评价</w:t>
      </w:r>
      <w:r>
        <w:tab/>
      </w:r>
      <w:r>
        <w:fldChar w:fldCharType="begin"/>
      </w:r>
      <w:r>
        <w:instrText xml:space="preserve"> PAGEREF _Toc154272695 </w:instrText>
      </w:r>
      <w:r>
        <w:fldChar w:fldCharType="separate"/>
      </w:r>
      <w:r>
        <w:t>58</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_Toc848422936 </w:instrText>
      </w:r>
      <w:r>
        <w:rPr>
          <w:rFonts w:cs="Times New Roman" w:eastAsiaTheme="minorEastAsia"/>
          <w:szCs w:val="22"/>
        </w:rPr>
        <w:fldChar w:fldCharType="separate"/>
      </w:r>
      <w:r>
        <w:rPr>
          <w:rFonts w:hint="default"/>
          <w:lang w:eastAsia="zh-Hans"/>
        </w:rPr>
        <w:t>（</w:t>
      </w:r>
      <w:r>
        <w:rPr>
          <w:rFonts w:hint="eastAsia"/>
          <w:lang w:val="en-US" w:eastAsia="zh-Hans"/>
        </w:rPr>
        <w:t>四</w:t>
      </w:r>
      <w:r>
        <w:rPr>
          <w:rFonts w:hint="default"/>
          <w:lang w:eastAsia="zh-Hans"/>
        </w:rPr>
        <w:t>）</w:t>
      </w:r>
      <w:r>
        <w:rPr>
          <w:rFonts w:hint="eastAsia"/>
          <w:lang w:val="en-US" w:eastAsia="zh-Hans"/>
        </w:rPr>
        <w:t>用人单位对学校就业服务评价</w:t>
      </w:r>
      <w:r>
        <w:tab/>
      </w:r>
      <w:r>
        <w:fldChar w:fldCharType="begin"/>
      </w:r>
      <w:r>
        <w:instrText xml:space="preserve"> PAGEREF _Toc848422936 </w:instrText>
      </w:r>
      <w:r>
        <w:fldChar w:fldCharType="separate"/>
      </w:r>
      <w:r>
        <w:t>59</w:t>
      </w:r>
      <w:r>
        <w:fldChar w:fldCharType="end"/>
      </w:r>
      <w:r>
        <w:rPr>
          <w:rFonts w:cs="Times New Roman" w:eastAsiaTheme="minorEastAsia"/>
          <w:color w:val="auto"/>
          <w:szCs w:val="22"/>
        </w:rPr>
        <w:fldChar w:fldCharType="end"/>
      </w:r>
    </w:p>
    <w:p>
      <w:pPr>
        <w:pStyle w:val="22"/>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_Toc152869272 </w:instrText>
      </w:r>
      <w:r>
        <w:rPr>
          <w:rFonts w:cs="Times New Roman" w:eastAsiaTheme="minorEastAsia"/>
          <w:szCs w:val="22"/>
        </w:rPr>
        <w:fldChar w:fldCharType="separate"/>
      </w:r>
      <w:r>
        <w:rPr>
          <w:rFonts w:hint="eastAsia"/>
          <w:highlight w:val="none"/>
        </w:rPr>
        <w:t>第</w:t>
      </w:r>
      <w:r>
        <w:rPr>
          <w:rFonts w:hint="eastAsia"/>
          <w:highlight w:val="none"/>
          <w:lang w:val="en-US" w:eastAsia="zh-Hans"/>
        </w:rPr>
        <w:t>九章</w:t>
      </w:r>
      <w:r>
        <w:rPr>
          <w:rFonts w:hint="default"/>
          <w:highlight w:val="none"/>
        </w:rPr>
        <w:t xml:space="preserve"> </w:t>
      </w:r>
      <w:r>
        <w:rPr>
          <w:rFonts w:hint="eastAsia"/>
          <w:highlight w:val="none"/>
          <w:lang w:val="en-US" w:eastAsia="zh-Hans"/>
        </w:rPr>
        <w:t>毕业生</w:t>
      </w:r>
      <w:r>
        <w:rPr>
          <w:highlight w:val="none"/>
        </w:rPr>
        <w:t>就业发展趋势分析</w:t>
      </w:r>
      <w:r>
        <w:tab/>
      </w:r>
      <w:r>
        <w:fldChar w:fldCharType="begin"/>
      </w:r>
      <w:r>
        <w:instrText xml:space="preserve"> PAGEREF _Toc152869272 </w:instrText>
      </w:r>
      <w:r>
        <w:fldChar w:fldCharType="separate"/>
      </w:r>
      <w:r>
        <w:t>61</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_Toc883412692 </w:instrText>
      </w:r>
      <w:r>
        <w:rPr>
          <w:rFonts w:cs="Times New Roman" w:eastAsiaTheme="minorEastAsia"/>
          <w:szCs w:val="22"/>
        </w:rPr>
        <w:fldChar w:fldCharType="separate"/>
      </w:r>
      <w:r>
        <w:rPr>
          <w:rFonts w:hint="eastAsia"/>
          <w:highlight w:val="none"/>
        </w:rPr>
        <w:t>一、毕业生去向变化趋势</w:t>
      </w:r>
      <w:r>
        <w:tab/>
      </w:r>
      <w:r>
        <w:fldChar w:fldCharType="begin"/>
      </w:r>
      <w:r>
        <w:instrText xml:space="preserve"> PAGEREF _Toc883412692 </w:instrText>
      </w:r>
      <w:r>
        <w:fldChar w:fldCharType="separate"/>
      </w:r>
      <w:r>
        <w:t>61</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_Toc1962662733 </w:instrText>
      </w:r>
      <w:r>
        <w:rPr>
          <w:rFonts w:cs="Times New Roman" w:eastAsiaTheme="minorEastAsia"/>
          <w:szCs w:val="22"/>
        </w:rPr>
        <w:fldChar w:fldCharType="separate"/>
      </w:r>
      <w:r>
        <w:rPr>
          <w:rFonts w:hint="default"/>
          <w:lang w:eastAsia="zh-Hans"/>
        </w:rPr>
        <w:t>（</w:t>
      </w:r>
      <w:r>
        <w:rPr>
          <w:rFonts w:hint="eastAsia"/>
          <w:lang w:val="en-US" w:eastAsia="zh-Hans"/>
        </w:rPr>
        <w:t>一</w:t>
      </w:r>
      <w:r>
        <w:rPr>
          <w:rFonts w:hint="default"/>
          <w:lang w:eastAsia="zh-Hans"/>
        </w:rPr>
        <w:t>）</w:t>
      </w:r>
      <w:r>
        <w:rPr>
          <w:rFonts w:hint="eastAsia"/>
        </w:rPr>
        <w:t>毕业生规模及毕业生去向落实率变化趋势</w:t>
      </w:r>
      <w:r>
        <w:tab/>
      </w:r>
      <w:r>
        <w:fldChar w:fldCharType="begin"/>
      </w:r>
      <w:r>
        <w:instrText xml:space="preserve"> PAGEREF _Toc1962662733 </w:instrText>
      </w:r>
      <w:r>
        <w:fldChar w:fldCharType="separate"/>
      </w:r>
      <w:r>
        <w:t>61</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_Toc1123735611 </w:instrText>
      </w:r>
      <w:r>
        <w:rPr>
          <w:rFonts w:cs="Times New Roman" w:eastAsiaTheme="minorEastAsia"/>
          <w:szCs w:val="22"/>
        </w:rPr>
        <w:fldChar w:fldCharType="separate"/>
      </w:r>
      <w:r>
        <w:rPr>
          <w:rFonts w:hint="default"/>
          <w:szCs w:val="22"/>
          <w:lang w:eastAsia="zh-Hans"/>
        </w:rPr>
        <w:t>（</w:t>
      </w:r>
      <w:r>
        <w:rPr>
          <w:rFonts w:hint="eastAsia"/>
          <w:szCs w:val="22"/>
          <w:lang w:val="en-US" w:eastAsia="zh-Hans"/>
        </w:rPr>
        <w:t>二</w:t>
      </w:r>
      <w:r>
        <w:rPr>
          <w:rFonts w:hint="default"/>
          <w:szCs w:val="22"/>
          <w:lang w:eastAsia="zh-Hans"/>
        </w:rPr>
        <w:t>）</w:t>
      </w:r>
      <w:r>
        <w:rPr>
          <w:rFonts w:hint="default"/>
          <w:szCs w:val="22"/>
          <w:lang w:val="en-US" w:eastAsia="zh-CN"/>
        </w:rPr>
        <w:t>毕业去向变化趋势</w:t>
      </w:r>
      <w:r>
        <w:tab/>
      </w:r>
      <w:r>
        <w:fldChar w:fldCharType="begin"/>
      </w:r>
      <w:r>
        <w:instrText xml:space="preserve"> PAGEREF _Toc1123735611 </w:instrText>
      </w:r>
      <w:r>
        <w:fldChar w:fldCharType="separate"/>
      </w:r>
      <w:r>
        <w:t>61</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_Toc1653222359 </w:instrText>
      </w:r>
      <w:r>
        <w:rPr>
          <w:rFonts w:cs="Times New Roman" w:eastAsiaTheme="minorEastAsia"/>
          <w:szCs w:val="22"/>
        </w:rPr>
        <w:fldChar w:fldCharType="separate"/>
      </w:r>
      <w:r>
        <w:rPr>
          <w:rFonts w:hint="eastAsia"/>
          <w:highlight w:val="none"/>
          <w:lang w:val="en-US" w:eastAsia="zh-Hans"/>
        </w:rPr>
        <w:t>二</w:t>
      </w:r>
      <w:r>
        <w:rPr>
          <w:rFonts w:hint="default"/>
          <w:highlight w:val="none"/>
          <w:lang w:eastAsia="zh-Hans"/>
        </w:rPr>
        <w:t>、</w:t>
      </w:r>
      <w:r>
        <w:rPr>
          <w:rFonts w:hint="eastAsia"/>
          <w:highlight w:val="none"/>
          <w:lang w:val="en-US" w:eastAsia="zh-Hans"/>
        </w:rPr>
        <w:t>就业质量变化趋势</w:t>
      </w:r>
      <w:r>
        <w:tab/>
      </w:r>
      <w:r>
        <w:fldChar w:fldCharType="begin"/>
      </w:r>
      <w:r>
        <w:instrText xml:space="preserve"> PAGEREF _Toc1653222359 </w:instrText>
      </w:r>
      <w:r>
        <w:fldChar w:fldCharType="separate"/>
      </w:r>
      <w:r>
        <w:t>62</w:t>
      </w:r>
      <w:r>
        <w:fldChar w:fldCharType="end"/>
      </w:r>
      <w:r>
        <w:rPr>
          <w:rFonts w:cs="Times New Roman" w:eastAsiaTheme="minorEastAsia"/>
          <w:color w:val="auto"/>
          <w:szCs w:val="22"/>
        </w:rPr>
        <w:fldChar w:fldCharType="end"/>
      </w:r>
    </w:p>
    <w:p>
      <w:pPr>
        <w:pStyle w:val="2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_Toc1564762827 </w:instrText>
      </w:r>
      <w:r>
        <w:rPr>
          <w:rFonts w:cs="Times New Roman" w:eastAsiaTheme="minorEastAsia"/>
          <w:szCs w:val="22"/>
        </w:rPr>
        <w:fldChar w:fldCharType="separate"/>
      </w:r>
      <w:r>
        <w:rPr>
          <w:rFonts w:hint="eastAsia"/>
          <w:highlight w:val="none"/>
          <w:lang w:val="en-US" w:eastAsia="zh-Hans"/>
        </w:rPr>
        <w:t>三</w:t>
      </w:r>
      <w:r>
        <w:rPr>
          <w:rFonts w:hint="eastAsia"/>
          <w:highlight w:val="none"/>
        </w:rPr>
        <w:t>、就业流向变化趋势</w:t>
      </w:r>
      <w:r>
        <w:tab/>
      </w:r>
      <w:r>
        <w:fldChar w:fldCharType="begin"/>
      </w:r>
      <w:r>
        <w:instrText xml:space="preserve"> PAGEREF _Toc1564762827 </w:instrText>
      </w:r>
      <w:r>
        <w:fldChar w:fldCharType="separate"/>
      </w:r>
      <w:r>
        <w:t>63</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_Toc884092227 </w:instrText>
      </w:r>
      <w:r>
        <w:rPr>
          <w:rFonts w:cs="Times New Roman" w:eastAsiaTheme="minorEastAsia"/>
          <w:szCs w:val="22"/>
        </w:rPr>
        <w:fldChar w:fldCharType="separate"/>
      </w:r>
      <w:r>
        <w:rPr>
          <w:rFonts w:hint="default"/>
          <w:lang w:eastAsia="zh-Hans"/>
        </w:rPr>
        <w:t>（</w:t>
      </w:r>
      <w:r>
        <w:rPr>
          <w:rFonts w:hint="eastAsia"/>
          <w:lang w:val="en-US" w:eastAsia="zh-Hans"/>
        </w:rPr>
        <w:t>一</w:t>
      </w:r>
      <w:r>
        <w:rPr>
          <w:rFonts w:hint="default"/>
          <w:lang w:eastAsia="zh-Hans"/>
        </w:rPr>
        <w:t>）</w:t>
      </w:r>
      <w:r>
        <w:rPr>
          <w:rFonts w:hint="eastAsia"/>
          <w:lang w:val="en-US" w:eastAsia="zh-Hans"/>
        </w:rPr>
        <w:t>就业地区</w:t>
      </w:r>
      <w:r>
        <w:tab/>
      </w:r>
      <w:r>
        <w:fldChar w:fldCharType="begin"/>
      </w:r>
      <w:r>
        <w:instrText xml:space="preserve"> PAGEREF _Toc884092227 </w:instrText>
      </w:r>
      <w:r>
        <w:fldChar w:fldCharType="separate"/>
      </w:r>
      <w:r>
        <w:t>63</w:t>
      </w:r>
      <w:r>
        <w:fldChar w:fldCharType="end"/>
      </w:r>
      <w:r>
        <w:rPr>
          <w:rFonts w:cs="Times New Roman" w:eastAsiaTheme="minorEastAsia"/>
          <w:color w:val="auto"/>
          <w:szCs w:val="22"/>
        </w:rPr>
        <w:fldChar w:fldCharType="end"/>
      </w:r>
    </w:p>
    <w:p>
      <w:pPr>
        <w:pStyle w:val="17"/>
        <w:tabs>
          <w:tab w:val="right" w:leader="dot" w:pos="8788"/>
        </w:tabs>
      </w:pPr>
      <w:r>
        <w:rPr>
          <w:rFonts w:cs="Times New Roman" w:eastAsiaTheme="minorEastAsia"/>
          <w:color w:val="auto"/>
          <w:szCs w:val="22"/>
        </w:rPr>
        <w:fldChar w:fldCharType="begin"/>
      </w:r>
      <w:r>
        <w:rPr>
          <w:rFonts w:cs="Times New Roman" w:eastAsiaTheme="minorEastAsia"/>
          <w:szCs w:val="22"/>
        </w:rPr>
        <w:instrText xml:space="preserve"> HYPERLINK \l _Toc498705596 </w:instrText>
      </w:r>
      <w:r>
        <w:rPr>
          <w:rFonts w:cs="Times New Roman" w:eastAsiaTheme="minorEastAsia"/>
          <w:szCs w:val="22"/>
        </w:rPr>
        <w:fldChar w:fldCharType="separate"/>
      </w:r>
      <w:r>
        <w:rPr>
          <w:rFonts w:hint="eastAsia"/>
        </w:rPr>
        <w:t xml:space="preserve">（二） </w:t>
      </w:r>
      <w:r>
        <w:rPr>
          <w:rFonts w:hint="eastAsia"/>
          <w:highlight w:val="none"/>
          <w:lang w:val="en-US" w:eastAsia="zh-Hans"/>
        </w:rPr>
        <w:t>就业行业</w:t>
      </w:r>
      <w:r>
        <w:tab/>
      </w:r>
      <w:r>
        <w:fldChar w:fldCharType="begin"/>
      </w:r>
      <w:r>
        <w:instrText xml:space="preserve"> PAGEREF _Toc498705596 </w:instrText>
      </w:r>
      <w:r>
        <w:fldChar w:fldCharType="separate"/>
      </w:r>
      <w:r>
        <w:t>64</w:t>
      </w:r>
      <w:r>
        <w:fldChar w:fldCharType="end"/>
      </w:r>
      <w:r>
        <w:rPr>
          <w:rFonts w:cs="Times New Roman" w:eastAsiaTheme="minorEastAsia"/>
          <w:color w:val="auto"/>
          <w:szCs w:val="22"/>
        </w:rPr>
        <w:fldChar w:fldCharType="end"/>
      </w:r>
    </w:p>
    <w:p>
      <w:pPr>
        <w:pStyle w:val="88"/>
        <w:bidi w:val="0"/>
        <w:rPr>
          <w:rFonts w:cs="Times New Roman" w:eastAsiaTheme="minorEastAsia"/>
          <w:color w:val="auto"/>
          <w:szCs w:val="22"/>
        </w:rPr>
        <w:sectPr>
          <w:footerReference r:id="rId6" w:type="default"/>
          <w:pgSz w:w="11907" w:h="16160"/>
          <w:pgMar w:top="1418" w:right="1418" w:bottom="1418" w:left="1701" w:header="1020" w:footer="397" w:gutter="0"/>
          <w:pgBorders>
            <w:top w:val="none" w:sz="0" w:space="0"/>
            <w:left w:val="none" w:sz="0" w:space="0"/>
            <w:bottom w:val="none" w:sz="0" w:space="0"/>
            <w:right w:val="none" w:sz="0" w:space="0"/>
          </w:pgBorders>
          <w:pgNumType w:fmt="upperRoman" w:start="1"/>
          <w:cols w:space="720" w:num="1"/>
          <w:docGrid w:type="linesAndChars" w:linePitch="312" w:charSpace="0"/>
        </w:sectPr>
      </w:pPr>
      <w:r>
        <w:rPr>
          <w:rFonts w:cs="Times New Roman" w:eastAsiaTheme="minorEastAsia"/>
          <w:color w:val="auto"/>
          <w:szCs w:val="22"/>
        </w:rPr>
        <w:fldChar w:fldCharType="end"/>
      </w:r>
      <w:bookmarkStart w:id="7" w:name="_Toc487790044"/>
      <w:bookmarkStart w:id="8" w:name="_Toc487789863"/>
    </w:p>
    <w:p>
      <w:pPr>
        <w:pStyle w:val="88"/>
        <w:bidi w:val="0"/>
      </w:pPr>
      <w:bookmarkStart w:id="9" w:name="_Toc596135091"/>
      <w:r>
        <w:rPr>
          <w:rFonts w:hint="eastAsia"/>
        </w:rPr>
        <w:t>学校概况</w:t>
      </w:r>
      <w:bookmarkEnd w:id="7"/>
      <w:bookmarkEnd w:id="8"/>
      <w:bookmarkEnd w:id="9"/>
    </w:p>
    <w:p>
      <w:pPr>
        <w:pStyle w:val="136"/>
        <w:bidi w:val="0"/>
        <w:rPr>
          <w:rFonts w:hint="eastAsia"/>
        </w:rPr>
      </w:pPr>
      <w:r>
        <w:rPr>
          <w:rFonts w:hint="eastAsia"/>
        </w:rPr>
        <w:t>铜仁学院位于素有“武陵之都·仁义之城”美誉的贵州省铜仁市，坐落于梵净山麓、锦江河畔的川硐教育园区，泱泱校园，宏丽庄重，气象万千，是国家“十三五”产教融合发展工程项目建设高校、黄炎培职业教育奖“优秀学校奖”获奖高校、教育部科学工作能力提升计划建设院校、贵州省首批向应用型转型发展试点高校和全国及省级文明单位、全国民族团结进步教育基地、贵州省“三全育人”示范标杆高校，是中国高校水产学科发展联席会理事单位和中国新农科水产联盟单位。百年薪火相传，砥砺奋进，学校为国家和社会培养了数万人才，涌现出了一大批学术精英、行业翘楚、党政干部、教学名师，为国家和区域经济社会发展做出了重要贡献。 　</w:t>
      </w:r>
    </w:p>
    <w:p>
      <w:pPr>
        <w:pStyle w:val="136"/>
        <w:bidi w:val="0"/>
        <w:rPr>
          <w:rFonts w:hint="eastAsia"/>
        </w:rPr>
      </w:pPr>
      <w:r>
        <w:rPr>
          <w:rFonts w:hint="eastAsia"/>
        </w:rPr>
        <w:t>学校办学起源于1920年创办的明德学校，几经传承演进，2006年升格为本科院校。2010年通过学士学位授予单位评估；2013年通过本科教学工作合格评估；2020年增列为硕士学位授予单位，实现了办学层次的跃升，开启了高质量发展的崭新篇章。 　</w:t>
      </w:r>
    </w:p>
    <w:p>
      <w:pPr>
        <w:pStyle w:val="136"/>
        <w:bidi w:val="0"/>
        <w:rPr>
          <w:rFonts w:hint="eastAsia"/>
        </w:rPr>
      </w:pPr>
      <w:r>
        <w:rPr>
          <w:rFonts w:hint="default"/>
        </w:rPr>
        <w:t xml:space="preserve"> </w:t>
      </w:r>
      <w:r>
        <w:rPr>
          <w:rFonts w:hint="eastAsia"/>
        </w:rPr>
        <w:t xml:space="preserve">百年筚路蓝缕，弦歌不绝。学校围绕建设“高水平应用型大学”的愿景目标，立足贵州大地、黔东大地办教育，深入推进内涵发展、特色发展、融合发展，铸就了“明德·致用”的校训，培育了“苦心励志·追求卓越”的大学精神，凝练了“铜仁需求·国家标准”“依托梵净·服务发展”的办学理念和“依托山区·服务地方”的办学特色，深入实施“小而精”和“育人为本、科研先行”的发展战略，走出了一条具有自身特色的发展道路，推动形成了以区域一流学科为引领、学科专业一体化融合发展的办学新格局。 　　 </w:t>
      </w:r>
    </w:p>
    <w:p>
      <w:pPr>
        <w:pStyle w:val="136"/>
        <w:bidi w:val="0"/>
        <w:rPr>
          <w:rFonts w:hint="eastAsia"/>
        </w:rPr>
      </w:pPr>
      <w:r>
        <w:rPr>
          <w:rFonts w:hint="default"/>
        </w:rPr>
        <w:t xml:space="preserve"> </w:t>
      </w:r>
      <w:r>
        <w:rPr>
          <w:rFonts w:hint="eastAsia"/>
        </w:rPr>
        <w:t xml:space="preserve">学校占地853亩，建筑面积35.5万平方米，实验实训中心7.4万平方米，教学科研仪器设备总值近9300余万元。馆藏纸质图书107.6万册，电子图书300万册。 　　 </w:t>
      </w:r>
    </w:p>
    <w:p>
      <w:pPr>
        <w:pStyle w:val="136"/>
        <w:bidi w:val="0"/>
        <w:rPr>
          <w:rFonts w:hint="eastAsia"/>
        </w:rPr>
      </w:pPr>
      <w:r>
        <w:rPr>
          <w:rFonts w:hint="default"/>
        </w:rPr>
        <w:t xml:space="preserve"> </w:t>
      </w:r>
      <w:r>
        <w:rPr>
          <w:rFonts w:hint="eastAsia"/>
        </w:rPr>
        <w:t xml:space="preserve">学校现有10个二级学院，2个特色学院——乌江学院（校政协同办学示范学院）和写作研究院（专攻写作与沟通的特色学院），1个研究生院，1个国学院，1个继续教育学院。有34个本科招生专业，涵盖教育学、工学、理学、文学、管理学、艺术学、农学等学科门类，其中外国语言文学类、化工与制药类、林学类、教育学类、计算机类实现了大类招生。 　　 </w:t>
      </w:r>
    </w:p>
    <w:p>
      <w:pPr>
        <w:pStyle w:val="136"/>
        <w:bidi w:val="0"/>
        <w:rPr>
          <w:rFonts w:hint="eastAsia"/>
        </w:rPr>
      </w:pPr>
      <w:r>
        <w:rPr>
          <w:rFonts w:hint="default"/>
        </w:rPr>
        <w:t xml:space="preserve"> </w:t>
      </w:r>
      <w:r>
        <w:rPr>
          <w:rFonts w:hint="eastAsia"/>
        </w:rPr>
        <w:t xml:space="preserve">学校现有在校生9011人，教职工988人，博士174人，硕士326人；正高级职称168人（二级教授1人，三级教授18人）；博士生导师1人、校内研究生导师57人，校外兼职硕导112人；“双师双能型”教师357人。国务院政府特殊津贴专家1人，省管专家5人，省政府特殊津贴专家3人。贵州省优秀青年科技人才2人，贵州省“千”层次人才18人，贵州省千人创新创业人才1人，贵州省哲学社会科学学术带头人5人，贵州省青年哲学社会科学创新人才1人，贵州省社会科学学术先锋4人；贵州省哲学社会科学十大创新团队3个、贵州省社会科学学术先锋号1个；贵州省科技厅创新人才团队1个、贵州省高校科技创新团队12个和铜仁学院基础教育创新团队、铜仁学院民族学创新团队；省级教学团队1个，贵州省民汉双语服务基地1个，贵州省民族古籍研究基地1个,省级教学管理团队1个，校级人才创新团队22个。 　　 </w:t>
      </w:r>
    </w:p>
    <w:p>
      <w:pPr>
        <w:pStyle w:val="136"/>
        <w:bidi w:val="0"/>
        <w:rPr>
          <w:rFonts w:hint="eastAsia"/>
        </w:rPr>
      </w:pPr>
      <w:r>
        <w:rPr>
          <w:rFonts w:hint="default"/>
        </w:rPr>
        <w:t xml:space="preserve"> </w:t>
      </w:r>
      <w:r>
        <w:rPr>
          <w:rFonts w:hint="eastAsia"/>
        </w:rPr>
        <w:t>学校始终坚持高素质应用型人才培养的目标定位，凝练出独具特色的“山”字型人才培养新模式，人才培养能力逐步提升。现有国家二级师范认证专业2个（美术学、学前教育）、国家卓越农林人才教育培养计划专业1个（农村区域发展）、国家级民族文化传承与创新示范专业1个（视觉传达设计）、贵州省卓越人才教育培养计划专业4个、贵州省专业综合改革试点专业6个、贵州省特色专业2个、贵州省一流本科专业6个（学前教育、英语、园林、农村区域发展、视觉传达设计、美术学）、省级一流课程2门、省级课程思政示范课程3门。建有贵州省实验教学示范中心1个、省级辅导员工作室1个、贵州省大学生创新创业训练中心1个（铜仁学院食品科学与工程大学生创新创业训练中心）、省级双创示范基地1个。三年来，学校获省部级教学改革项目及产教融合项目40项、国家级大学生实践创新训练计划93项、省级204项。 　　</w:t>
      </w:r>
    </w:p>
    <w:p>
      <w:pPr>
        <w:pStyle w:val="136"/>
        <w:bidi w:val="0"/>
        <w:rPr>
          <w:rFonts w:hint="eastAsia"/>
        </w:rPr>
      </w:pPr>
      <w:r>
        <w:rPr>
          <w:rFonts w:hint="eastAsia"/>
        </w:rPr>
        <w:t xml:space="preserve">  　　学校主动适应区域经济社会发展需要，不断加强学科建设和科学研究。现有“教育发展与山区乡村振兴”区域内一流建设学科I类学科群1个，贵州省区域内一流建设培育学科1个（教育学）、省级特色重点学科1个（民族学）、省级重点学科5个（含支持）。建有省级重点实验室1个、博士后科研工作站1个、省高校2011协同创新中心1个、省级大学科技园1个、省级众创空间1个、全国民族团结进步教育基地1个、国家民委民族理论政策研究基地1个、省级科普示范基地1个、省级人文社科示范基地1个、省高校特色重点实验室3个、省高校工程中心4个、省高校产学研基地5个、省高校人文社科基地1个、省教育厅国别区域研究中心1个，省级专业技术基地1个、省民族传统体育训练基地1个，以及梵净教育研究院、梵净民族文化研究院、梵净生态研究院等校级科研机构13个。三年来，学校获科研项目总经费10754.3万元、承担课题922项，其中国家级课题27项、省部级课题106项。发表学术论文2148篇，其中，在核心期刊上发表论文557篇；获得授权专利875项，出版专著133部、教材91部；获得省部级以上科研成果奖励20项，其中，贵州省哲学社会科学优秀成果奖14项，贵州省科技奖4项。 　　 </w:t>
      </w:r>
    </w:p>
    <w:p>
      <w:pPr>
        <w:pStyle w:val="136"/>
        <w:bidi w:val="0"/>
        <w:rPr>
          <w:rFonts w:hint="eastAsia"/>
        </w:rPr>
      </w:pPr>
      <w:r>
        <w:rPr>
          <w:rFonts w:hint="eastAsia"/>
        </w:rPr>
        <w:t>学校积极发展研究生教育。2016年成立了研究生院，是最早经教育厅批准与贵州师范大学联合培养硕士研究生的市州高校，累计培养100余人，与重庆大学、中南民族大学等其他高校联合培养硕士研究生累计100余人。经国务院学位委员会审核批准，学校成为2020年审核增列的硕士学位授予单位，马克思主义理论一级学科和材料与化工硕士、农业硕士增列为硕士学位授权点。 　</w:t>
      </w:r>
    </w:p>
    <w:p>
      <w:pPr>
        <w:pStyle w:val="136"/>
        <w:bidi w:val="0"/>
        <w:rPr>
          <w:rFonts w:hint="eastAsia"/>
        </w:rPr>
      </w:pPr>
      <w:r>
        <w:rPr>
          <w:rFonts w:hint="eastAsia"/>
        </w:rPr>
        <w:t>学校主动服务贵州省乡村振兴和大数据、大生态发展战略和铜仁创建绿色先发展行示范区的定位，不断深化与政府、行业企业的务实合作，深入推进社会服务和产教融合发展，创造性地形成了“引社会服务之水，灌人才培养之田”的社会服务与人才培养融合模式。三年来，横向项目到账经费超过5700万元，高素质应用型人才培养质量和“双师双能型”教师队伍建设水平显著提升，服务经济社会发展能力和水平提升明显。 　</w:t>
      </w:r>
    </w:p>
    <w:p>
      <w:pPr>
        <w:pStyle w:val="136"/>
        <w:bidi w:val="0"/>
        <w:rPr>
          <w:rFonts w:hint="eastAsia"/>
        </w:rPr>
      </w:pPr>
      <w:r>
        <w:rPr>
          <w:rFonts w:hint="eastAsia"/>
        </w:rPr>
        <w:t>学校坚持国际化办学战略，积极开展国际交流合作。为“一带一路”沿线国家培养高级工程技术人才和管理人才1635人次。与柬埔寨王国教育青年体育部、老挝琅南塔省教育厅、老挝沙湾那吉省教育厅、沙耶武里省教育厅、万象省教育厅共建“人才培养基地”。与美国、英国、韩国、泰国、柬埔寨、老挝、马来西亚、印度尼西亚等国（境）外80余所高校和教育机构建立了友好合作关系，选派学生517人次、教师186人次赴国（境）外交流访学。在泰国、老挝、柬埔寨等国家建立海外实习实训基地10个。建立了集学术研究、人才培养、政策咨询为一体的国别研究机构——“老挝研究中心”。 　</w:t>
      </w:r>
    </w:p>
    <w:p>
      <w:pPr>
        <w:pStyle w:val="136"/>
        <w:bidi w:val="0"/>
        <w:rPr>
          <w:rFonts w:hint="eastAsia"/>
        </w:rPr>
      </w:pPr>
      <w:r>
        <w:rPr>
          <w:rFonts w:hint="eastAsia"/>
        </w:rPr>
        <w:t xml:space="preserve">学校一贯重视校风和学风建设，坚持用社会主义核心价值观涵育人，注重加强学生思想政治教育，形成了“明德印记”思政工作体系，锤炼“厚重·灵性·担当”的大山品格，人才培养质量不断跃升。材料与化学工程学院材料化学研究团队党支部和农林工程与规划学院第一支部入选“全国党建工作样板支部”。先后涌现出第三届“全国道德模范”和“中国五四青年奖章”张蕾，贵州最美警嫂、铜城仁者田仁碧，“全国优秀学生干部”王时江，明德学生最高奖获得者、不顾伤痛勇救伤者的90后女孩何林霞，“贵州省最美大学生”王满怀等一批明德楷模。 　　 </w:t>
      </w:r>
    </w:p>
    <w:p>
      <w:pPr>
        <w:pStyle w:val="136"/>
        <w:bidi w:val="0"/>
        <w:rPr>
          <w:rFonts w:hint="eastAsia"/>
        </w:rPr>
      </w:pPr>
      <w:r>
        <w:rPr>
          <w:rFonts w:hint="eastAsia"/>
        </w:rPr>
        <w:t xml:space="preserve">赓续百年初心、担当育人使命。展望未来，铜仁学院将始终高举中国特色社会主义伟大旗帜，坚持以习近平新时代中国特色社会主义思想为指引，坚持以高质量发展统揽全局，全面落实好立德树人根本任务，坚定不移地推进内涵发展、特色发展、融合发展，不断增强学校的核心竞争力，努力把铜仁学院建设成为特色鲜明的高水平教学研究服务型大学，为谱写百姓富生态美多彩贵州新未来的铜仁篇章贡献铜仁学院的澎湃力量！ </w:t>
      </w:r>
    </w:p>
    <w:p>
      <w:pPr>
        <w:pStyle w:val="113"/>
        <w:bidi w:val="0"/>
        <w:jc w:val="right"/>
      </w:pPr>
      <w:r>
        <w:rPr>
          <w:rFonts w:hint="eastAsia"/>
        </w:rPr>
        <w:t>　（数据截止2021年10月24日）</w:t>
      </w:r>
    </w:p>
    <w:p>
      <w:pPr>
        <w:rPr>
          <w:rFonts w:hint="eastAsia"/>
        </w:rPr>
      </w:pPr>
      <w:bookmarkStart w:id="10" w:name="_Toc487789864"/>
      <w:bookmarkStart w:id="11" w:name="_Toc487790045"/>
      <w:r>
        <w:rPr>
          <w:rFonts w:hint="eastAsia"/>
        </w:rPr>
        <w:br w:type="page"/>
      </w:r>
    </w:p>
    <w:p>
      <w:pPr>
        <w:pStyle w:val="88"/>
        <w:bidi w:val="0"/>
      </w:pPr>
      <w:bookmarkStart w:id="12" w:name="_Toc1231261182"/>
      <w:r>
        <w:rPr>
          <w:rFonts w:hint="eastAsia"/>
        </w:rPr>
        <w:t>报告说明</w:t>
      </w:r>
      <w:bookmarkEnd w:id="10"/>
      <w:bookmarkEnd w:id="11"/>
      <w:bookmarkEnd w:id="12"/>
    </w:p>
    <w:p>
      <w:pPr>
        <w:pStyle w:val="144"/>
        <w:bidi w:val="0"/>
        <w:rPr>
          <w:rFonts w:hint="eastAsia"/>
          <w:lang w:val="zh-CN"/>
        </w:rPr>
      </w:pPr>
      <w:r>
        <w:rPr>
          <w:rFonts w:hint="eastAsia"/>
          <w:lang w:val="zh-CN"/>
        </w:rPr>
        <w:t>根据《教育部关于做好2021届全国普通高等学校毕业生就业创业工作的通知》（教学〔2020〕5号）、《教育部办公厅关于编制发布高校毕业生就业质量年度报告的通知》（教学厅函〔2013〕25号）等文件要求，结合学校实际情况，编制和正式发布《铜仁学院2021届毕业生就业质量年度报告》。本报告数据主要来源于三个方面：</w:t>
      </w:r>
    </w:p>
    <w:p>
      <w:pPr>
        <w:pStyle w:val="144"/>
        <w:bidi w:val="0"/>
      </w:pPr>
      <w:r>
        <w:rPr>
          <w:rFonts w:hint="eastAsia"/>
        </w:rPr>
        <w:t>1.派遣数据库来源于全国大学生就业信息管理系统2021届毕业生派遣数据库，数据统计截至2021年8月31日，主要涵盖2021届</w:t>
      </w:r>
      <w:r>
        <w:rPr>
          <w:rFonts w:hint="default"/>
        </w:rPr>
        <w:t>1899</w:t>
      </w:r>
      <w:r>
        <w:rPr>
          <w:rFonts w:hint="eastAsia"/>
        </w:rPr>
        <w:t>名毕业生就业派遣信息。数据分析为全样本分析，数据使用主要涉及第一章毕业生就业基本情况、第二章毕业生单位就业情况、第三章毕业生继续深造情况、第四章毕业生自主创业情况。</w:t>
      </w:r>
    </w:p>
    <w:p>
      <w:pPr>
        <w:pStyle w:val="144"/>
        <w:bidi w:val="0"/>
        <w:rPr>
          <w:rFonts w:hint="eastAsia"/>
        </w:rPr>
      </w:pPr>
      <w:r>
        <w:rPr>
          <w:rFonts w:hint="eastAsia"/>
        </w:rPr>
        <w:t>2．毕业生就业质量调研数据</w:t>
      </w:r>
    </w:p>
    <w:p>
      <w:pPr>
        <w:pStyle w:val="144"/>
        <w:bidi w:val="0"/>
        <w:rPr>
          <w:rFonts w:hint="eastAsia"/>
        </w:rPr>
      </w:pPr>
      <w:r>
        <w:rPr>
          <w:rFonts w:hint="eastAsia"/>
        </w:rPr>
        <w:t>毕业生就业质量调研数据来源于“铜仁学院2021届毕业生就业质量调研问卷”，问卷回收</w:t>
      </w:r>
      <w:r>
        <w:rPr>
          <w:rFonts w:hint="default"/>
        </w:rPr>
        <w:t>1074</w:t>
      </w:r>
      <w:r>
        <w:rPr>
          <w:rFonts w:hint="eastAsia"/>
          <w:lang w:val="en-US" w:eastAsia="zh-Hans"/>
        </w:rPr>
        <w:t>份</w:t>
      </w:r>
      <w:r>
        <w:rPr>
          <w:rFonts w:hint="eastAsia"/>
        </w:rPr>
        <w:t>，有效问卷回收率为</w:t>
      </w:r>
      <w:r>
        <w:rPr>
          <w:rFonts w:hint="default"/>
        </w:rPr>
        <w:t>56.56</w:t>
      </w:r>
      <w:r>
        <w:rPr>
          <w:rFonts w:hint="eastAsia"/>
        </w:rPr>
        <w:t>%。</w:t>
      </w:r>
    </w:p>
    <w:p>
      <w:pPr>
        <w:pStyle w:val="144"/>
        <w:bidi w:val="0"/>
        <w:rPr>
          <w:rFonts w:hint="eastAsia"/>
        </w:rPr>
      </w:pPr>
      <w:r>
        <w:rPr>
          <w:rFonts w:hint="eastAsia"/>
        </w:rPr>
        <w:t>3．用人单位调研数据</w:t>
      </w:r>
    </w:p>
    <w:p>
      <w:pPr>
        <w:pStyle w:val="144"/>
        <w:bidi w:val="0"/>
        <w:rPr>
          <w:rFonts w:hint="eastAsia" w:ascii="Times New Roman" w:hAnsi="Times New Roman"/>
          <w:color w:val="000000"/>
          <w:szCs w:val="24"/>
        </w:rPr>
      </w:pPr>
      <w:r>
        <w:rPr>
          <w:rFonts w:hint="eastAsia"/>
        </w:rPr>
        <w:t>用人单位调研数据来源于“铜仁学院2021年用人单位调研问卷”，有效问卷</w:t>
      </w:r>
      <w:r>
        <w:rPr>
          <w:rFonts w:hint="default"/>
        </w:rPr>
        <w:t>75</w:t>
      </w:r>
      <w:r>
        <w:rPr>
          <w:rFonts w:hint="eastAsia"/>
        </w:rPr>
        <w:t>份。</w:t>
      </w:r>
    </w:p>
    <w:p>
      <w:pPr>
        <w:rPr>
          <w:rFonts w:hint="eastAsia"/>
        </w:rPr>
      </w:pPr>
      <w:bookmarkStart w:id="13" w:name="_Toc487790046"/>
      <w:bookmarkStart w:id="14" w:name="_Toc487789865"/>
      <w:r>
        <w:rPr>
          <w:rFonts w:hint="eastAsia"/>
        </w:rPr>
        <w:br w:type="page"/>
      </w:r>
    </w:p>
    <w:p>
      <w:pPr>
        <w:pStyle w:val="88"/>
        <w:bidi w:val="0"/>
      </w:pPr>
      <w:bookmarkStart w:id="15" w:name="_Toc654263382"/>
      <w:r>
        <w:rPr>
          <w:rFonts w:hint="eastAsia"/>
        </w:rPr>
        <w:t>第一</w:t>
      </w:r>
      <w:r>
        <w:rPr>
          <w:rFonts w:hint="eastAsia"/>
          <w:lang w:val="en-US" w:eastAsia="zh-Hans"/>
        </w:rPr>
        <w:t>章</w:t>
      </w:r>
      <w:r>
        <w:rPr>
          <w:rFonts w:hint="default"/>
          <w:lang w:eastAsia="zh-Hans"/>
        </w:rPr>
        <w:t xml:space="preserve"> </w:t>
      </w:r>
      <w:r>
        <w:rPr>
          <w:rFonts w:hint="eastAsia"/>
        </w:rPr>
        <w:t>毕业生就业基本情况</w:t>
      </w:r>
      <w:bookmarkEnd w:id="13"/>
      <w:bookmarkEnd w:id="14"/>
      <w:bookmarkEnd w:id="15"/>
    </w:p>
    <w:p>
      <w:pPr>
        <w:pStyle w:val="142"/>
        <w:rPr>
          <w:color w:val="4F81BD" w:themeColor="accent1"/>
          <w14:textFill>
            <w14:solidFill>
              <w14:schemeClr w14:val="accent1"/>
            </w14:solidFill>
          </w14:textFill>
        </w:rPr>
      </w:pPr>
      <w:bookmarkStart w:id="16" w:name="_Toc520328889"/>
      <w:bookmarkStart w:id="17" w:name="_Toc487789866"/>
      <w:bookmarkStart w:id="18" w:name="_Toc487790047"/>
      <w:bookmarkStart w:id="19" w:name="_Toc1088388634"/>
      <w:bookmarkStart w:id="20" w:name="_Toc421112581"/>
      <w:r>
        <w:rPr>
          <w:rFonts w:hint="eastAsia"/>
          <w:color w:val="4F81BD" w:themeColor="accent1"/>
          <w14:textFill>
            <w14:solidFill>
              <w14:schemeClr w14:val="accent1"/>
            </w14:solidFill>
          </w14:textFill>
        </w:rPr>
        <w:t>一、毕业生的规模和结构</w:t>
      </w:r>
      <w:bookmarkEnd w:id="16"/>
      <w:bookmarkEnd w:id="17"/>
      <w:bookmarkEnd w:id="18"/>
      <w:bookmarkEnd w:id="19"/>
      <w:bookmarkEnd w:id="20"/>
    </w:p>
    <w:p>
      <w:pPr>
        <w:pStyle w:val="152"/>
        <w:spacing w:before="156" w:after="156"/>
      </w:pPr>
      <w:bookmarkStart w:id="21" w:name="_Toc282066492"/>
      <w:bookmarkStart w:id="22" w:name="_Toc487789867"/>
      <w:bookmarkStart w:id="23" w:name="_Toc487790048"/>
      <w:bookmarkStart w:id="24" w:name="_Toc520328890"/>
      <w:r>
        <w:rPr>
          <w:rFonts w:hint="eastAsia"/>
        </w:rPr>
        <w:t>（一）总体规模</w:t>
      </w:r>
      <w:bookmarkEnd w:id="21"/>
      <w:bookmarkEnd w:id="22"/>
      <w:bookmarkEnd w:id="23"/>
      <w:bookmarkEnd w:id="24"/>
    </w:p>
    <w:p>
      <w:pPr>
        <w:pStyle w:val="199"/>
        <w:ind w:firstLine="480"/>
      </w:pPr>
      <w:bookmarkStart w:id="25" w:name="_Toc408233738"/>
      <w:bookmarkStart w:id="26" w:name="_Toc393891185"/>
      <w:bookmarkStart w:id="27" w:name="_Toc408233642"/>
      <w:bookmarkStart w:id="28" w:name="_Toc408233532"/>
      <w:bookmarkStart w:id="29" w:name="_Toc435780384"/>
      <w:r>
        <w:rPr>
          <w:rFonts w:hint="default"/>
        </w:rPr>
        <w:t>铜仁学院</w:t>
      </w:r>
      <w:r>
        <w:t>2021届毕业生共</w:t>
      </w:r>
      <w:r>
        <w:rPr>
          <w:rFonts w:hint="eastAsia" w:cs="Times New Roman"/>
        </w:rPr>
        <w:t>1899</w:t>
      </w:r>
      <w:r>
        <w:t>人。其中，男生</w:t>
      </w:r>
      <w:r>
        <w:rPr>
          <w:rFonts w:hint="eastAsia"/>
          <w:color w:val="000000" w:themeColor="text1"/>
          <w14:textFill>
            <w14:solidFill>
              <w14:schemeClr w14:val="tx1"/>
            </w14:solidFill>
          </w14:textFill>
        </w:rPr>
        <w:t>691</w:t>
      </w:r>
      <w:r>
        <w:t>人，占毕业生总人数的</w:t>
      </w:r>
      <w:r>
        <w:rPr>
          <w:rFonts w:hint="eastAsia"/>
        </w:rPr>
        <w:t>36.39%</w:t>
      </w:r>
      <w:r>
        <w:t>；女生</w:t>
      </w:r>
      <w:r>
        <w:rPr>
          <w:rFonts w:hint="eastAsia"/>
        </w:rPr>
        <w:t>1208</w:t>
      </w:r>
      <w:r>
        <w:t>人，占毕业生总人数的</w:t>
      </w:r>
      <w:r>
        <w:rPr>
          <w:rFonts w:hint="eastAsia"/>
        </w:rPr>
        <w:t>63.61%</w:t>
      </w:r>
      <w:r>
        <w:t>，男女性别比为</w:t>
      </w:r>
      <w:r>
        <w:rPr>
          <w:rFonts w:hint="default"/>
        </w:rPr>
        <w:t>1</w:t>
      </w:r>
      <w:r>
        <w:t>:1.75。</w:t>
      </w:r>
      <w:bookmarkEnd w:id="25"/>
      <w:bookmarkEnd w:id="26"/>
      <w:bookmarkEnd w:id="27"/>
      <w:bookmarkEnd w:id="28"/>
      <w:bookmarkEnd w:id="29"/>
    </w:p>
    <w:tbl>
      <w:tblPr>
        <w:tblStyle w:val="33"/>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2297"/>
        <w:gridCol w:w="229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248" w:type="pct"/>
            <w:tcBorders>
              <w:top w:val="single" w:color="FFFFFF" w:sz="18" w:space="0"/>
              <w:left w:val="single" w:color="FFFFFF" w:sz="18" w:space="0"/>
              <w:bottom w:val="single" w:color="FFFFFF" w:sz="18" w:space="0"/>
              <w:right w:val="single" w:color="FFFFFF" w:sz="18" w:space="0"/>
            </w:tcBorders>
            <w:shd w:val="clear" w:color="auto" w:fill="4BACC6" w:themeFill="accent5"/>
            <w:vAlign w:val="top"/>
          </w:tcPr>
          <w:p>
            <w:pPr>
              <w:pStyle w:val="203"/>
              <w:spacing w:before="156" w:after="156"/>
              <w:rPr>
                <w:rFonts w:hint="eastAsia"/>
                <w:color w:val="CCE8CF" w:themeColor="background1"/>
                <w:vertAlign w:val="baseline"/>
                <w:lang w:val="en-US" w:eastAsia="zh-Hans"/>
                <w14:textFill>
                  <w14:solidFill>
                    <w14:schemeClr w14:val="bg1"/>
                  </w14:solidFill>
                </w14:textFill>
              </w:rPr>
            </w:pPr>
            <w:r>
              <w:rPr>
                <w:rFonts w:hint="eastAsia"/>
                <w:color w:val="CCE8CF" w:themeColor="background1"/>
                <w:vertAlign w:val="baseline"/>
                <w:lang w:val="en-US" w:eastAsia="zh-Hans"/>
                <w14:textFill>
                  <w14:solidFill>
                    <w14:schemeClr w14:val="bg1"/>
                  </w14:solidFill>
                </w14:textFill>
              </w:rPr>
              <w:t>性别</w:t>
            </w:r>
          </w:p>
        </w:tc>
        <w:tc>
          <w:tcPr>
            <w:tcW w:w="1251" w:type="pct"/>
            <w:tcBorders>
              <w:top w:val="single" w:color="FFFFFF" w:sz="18" w:space="0"/>
              <w:left w:val="single" w:color="FFFFFF" w:sz="18" w:space="0"/>
              <w:bottom w:val="single" w:color="FFFFFF" w:sz="18" w:space="0"/>
              <w:right w:val="single" w:color="FFFFFF" w:sz="18" w:space="0"/>
            </w:tcBorders>
            <w:shd w:val="clear" w:color="auto" w:fill="4BACC6" w:themeFill="accent5"/>
            <w:vAlign w:val="top"/>
          </w:tcPr>
          <w:p>
            <w:pPr>
              <w:pStyle w:val="203"/>
              <w:spacing w:before="156" w:after="156"/>
              <w:rPr>
                <w:rFonts w:hint="eastAsia" w:eastAsia="黑体"/>
                <w:color w:val="CCE8CF" w:themeColor="background1"/>
                <w:vertAlign w:val="baseline"/>
                <w:lang w:val="en-US" w:eastAsia="zh-Hans"/>
                <w14:textFill>
                  <w14:solidFill>
                    <w14:schemeClr w14:val="bg1"/>
                  </w14:solidFill>
                </w14:textFill>
              </w:rPr>
            </w:pPr>
            <w:r>
              <w:rPr>
                <w:rFonts w:hint="eastAsia"/>
                <w:color w:val="CCE8CF" w:themeColor="background1"/>
                <w14:textFill>
                  <w14:solidFill>
                    <w14:schemeClr w14:val="bg1"/>
                  </w14:solidFill>
                </w14:textFill>
              </w:rPr>
              <w:drawing>
                <wp:anchor distT="0" distB="0" distL="114300" distR="114300" simplePos="0" relativeHeight="252312576" behindDoc="0" locked="0" layoutInCell="1" allowOverlap="1">
                  <wp:simplePos x="0" y="0"/>
                  <wp:positionH relativeFrom="column">
                    <wp:posOffset>1327150</wp:posOffset>
                  </wp:positionH>
                  <wp:positionV relativeFrom="paragraph">
                    <wp:posOffset>344805</wp:posOffset>
                  </wp:positionV>
                  <wp:extent cx="914400" cy="914400"/>
                  <wp:effectExtent l="0" t="0" r="0" b="0"/>
                  <wp:wrapNone/>
                  <wp:docPr id="2" name="图片 2" descr="469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696300"/>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Pr>
                <w:rFonts w:hint="eastAsia"/>
                <w:color w:val="CCE8CF" w:themeColor="background1"/>
                <w:vertAlign w:val="baseline"/>
                <w:lang w:val="en-US" w:eastAsia="zh-Hans"/>
                <w14:textFill>
                  <w14:solidFill>
                    <w14:schemeClr w14:val="bg1"/>
                  </w14:solidFill>
                </w14:textFill>
              </w:rPr>
              <w:t>人数</w:t>
            </w:r>
          </w:p>
        </w:tc>
        <w:tc>
          <w:tcPr>
            <w:tcW w:w="1250" w:type="pct"/>
            <w:tcBorders>
              <w:top w:val="single" w:color="FFFFFF" w:sz="18" w:space="0"/>
              <w:left w:val="single" w:color="FFFFFF" w:sz="18" w:space="0"/>
              <w:bottom w:val="single" w:color="FFFFFF" w:sz="18" w:space="0"/>
              <w:right w:val="single" w:color="FFFFFF" w:sz="18" w:space="0"/>
            </w:tcBorders>
            <w:shd w:val="clear" w:color="auto" w:fill="CCE8CF" w:themeFill="background1"/>
            <w:vAlign w:val="top"/>
          </w:tcPr>
          <w:p>
            <w:pPr>
              <w:pStyle w:val="203"/>
              <w:spacing w:before="156" w:after="156"/>
            </w:pPr>
            <w:r>
              <w:rPr>
                <w:rFonts w:hint="eastAsia"/>
              </w:rPr>
              <w:drawing>
                <wp:anchor distT="0" distB="0" distL="114300" distR="114300" simplePos="0" relativeHeight="252313600" behindDoc="0" locked="0" layoutInCell="1" allowOverlap="1">
                  <wp:simplePos x="0" y="0"/>
                  <wp:positionH relativeFrom="column">
                    <wp:posOffset>744855</wp:posOffset>
                  </wp:positionH>
                  <wp:positionV relativeFrom="paragraph">
                    <wp:posOffset>332105</wp:posOffset>
                  </wp:positionV>
                  <wp:extent cx="914400" cy="914400"/>
                  <wp:effectExtent l="0" t="0" r="0" b="0"/>
                  <wp:wrapNone/>
                  <wp:docPr id="3" name="图片 3" descr="469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696289"/>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p>
        </w:tc>
        <w:tc>
          <w:tcPr>
            <w:tcW w:w="1250" w:type="pct"/>
            <w:vMerge w:val="restart"/>
            <w:tcBorders>
              <w:top w:val="single" w:color="FFFFFF" w:sz="18" w:space="0"/>
              <w:left w:val="single" w:color="FFFFFF" w:sz="18" w:space="0"/>
              <w:right w:val="single" w:color="FFFFFF" w:sz="18" w:space="0"/>
            </w:tcBorders>
            <w:shd w:val="clear" w:color="auto" w:fill="CCE8CF" w:themeFill="background1"/>
            <w:vAlign w:val="center"/>
          </w:tcPr>
          <w:p>
            <w:pPr>
              <w:pStyle w:val="203"/>
              <w:spacing w:before="156" w:after="156"/>
              <w:jc w:val="center"/>
              <w:rPr>
                <w:color w:val="000000"/>
                <w:vertAlign w:val="baseline"/>
              </w:rPr>
            </w:pPr>
            <w:r>
              <w:rPr>
                <w:color w:val="4F81BD" w:themeColor="accent1"/>
                <w:sz w:val="32"/>
                <w:szCs w:val="52"/>
                <w:vertAlign w:val="baseline"/>
                <w14:textFill>
                  <w14:solidFill>
                    <w14:schemeClr w14:val="accent1"/>
                  </w14:solidFill>
                </w14:textFill>
              </w:rPr>
              <w:t>1</w:t>
            </w:r>
            <w:r>
              <w:rPr>
                <w:rFonts w:hint="eastAsia"/>
                <w:color w:val="4F81BD" w:themeColor="accent1"/>
                <w:sz w:val="32"/>
                <w:szCs w:val="52"/>
                <w:vertAlign w:val="baseline"/>
                <w:lang w:val="en-US" w:eastAsia="zh-Hans"/>
                <w14:textFill>
                  <w14:solidFill>
                    <w14:schemeClr w14:val="accent1"/>
                  </w14:solidFill>
                </w14:textFill>
              </w:rPr>
              <w:t>:</w:t>
            </w:r>
            <w:r>
              <w:rPr>
                <w:rFonts w:hint="default"/>
                <w:color w:val="4F81BD" w:themeColor="accent1"/>
                <w:sz w:val="32"/>
                <w:szCs w:val="52"/>
                <w:vertAlign w:val="baseline"/>
                <w:lang w:eastAsia="zh-Hans"/>
                <w14:textFill>
                  <w14:solidFill>
                    <w14:schemeClr w14:val="accent1"/>
                  </w14:solidFill>
                </w14:textFill>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248" w:type="pct"/>
            <w:tcBorders>
              <w:top w:val="single" w:color="FFFFFF" w:sz="18" w:space="0"/>
              <w:left w:val="single" w:color="FFFFFF" w:sz="18" w:space="0"/>
              <w:bottom w:val="single" w:color="FFFFFF" w:sz="18" w:space="0"/>
              <w:right w:val="single" w:color="FFFFFF" w:sz="18" w:space="0"/>
            </w:tcBorders>
            <w:shd w:val="clear" w:color="auto" w:fill="DBEEF3" w:themeFill="accent5" w:themeFillTint="32"/>
            <w:vAlign w:val="top"/>
          </w:tcPr>
          <w:p>
            <w:pPr>
              <w:pStyle w:val="203"/>
              <w:spacing w:before="156" w:after="156"/>
              <w:rPr>
                <w:rFonts w:hint="eastAsia" w:ascii="宋体" w:hAnsi="宋体" w:eastAsia="宋体" w:cs="宋体"/>
                <w:color w:val="000000" w:themeColor="text1"/>
                <w:vertAlign w:val="baseline"/>
                <w:lang w:val="en-US" w:eastAsia="zh-Hans"/>
                <w14:textFill>
                  <w14:solidFill>
                    <w14:schemeClr w14:val="tx1"/>
                  </w14:solidFill>
                </w14:textFill>
              </w:rPr>
            </w:pPr>
            <w:bookmarkStart w:id="30" w:name="_Toc17276244"/>
            <w:bookmarkStart w:id="31" w:name="_Toc487790049"/>
            <w:bookmarkStart w:id="32" w:name="_Toc487789868"/>
            <w:r>
              <w:rPr>
                <w:rFonts w:hint="eastAsia" w:ascii="宋体" w:hAnsi="宋体" w:eastAsia="宋体" w:cs="宋体"/>
                <w:color w:val="000000" w:themeColor="text1"/>
                <w:vertAlign w:val="baseline"/>
                <w:lang w:val="en-US" w:eastAsia="zh-Hans"/>
                <w14:textFill>
                  <w14:solidFill>
                    <w14:schemeClr w14:val="tx1"/>
                  </w14:solidFill>
                </w14:textFill>
              </w:rPr>
              <w:t>男生</w:t>
            </w:r>
          </w:p>
        </w:tc>
        <w:tc>
          <w:tcPr>
            <w:tcW w:w="1251" w:type="pct"/>
            <w:tcBorders>
              <w:top w:val="single" w:color="FFFFFF" w:sz="18" w:space="0"/>
              <w:left w:val="single" w:color="FFFFFF" w:sz="18" w:space="0"/>
              <w:bottom w:val="single" w:color="FFFFFF" w:sz="18" w:space="0"/>
              <w:right w:val="single" w:color="FFFFFF" w:sz="18" w:space="0"/>
            </w:tcBorders>
            <w:shd w:val="clear" w:color="auto" w:fill="DBEEF3" w:themeFill="accent5" w:themeFillTint="32"/>
            <w:vAlign w:val="top"/>
          </w:tcPr>
          <w:p>
            <w:pPr>
              <w:pStyle w:val="203"/>
              <w:spacing w:before="156" w:after="156"/>
              <w:rPr>
                <w:rFonts w:hint="eastAsia" w:ascii="宋体" w:hAnsi="宋体" w:eastAsia="宋体" w:cs="宋体"/>
                <w:color w:val="000000" w:themeColor="text1"/>
                <w:vertAlign w:val="baseline"/>
                <w14:textFill>
                  <w14:solidFill>
                    <w14:schemeClr w14:val="tx1"/>
                  </w14:solidFill>
                </w14:textFill>
              </w:rPr>
            </w:pPr>
            <w:r>
              <w:rPr>
                <w:rFonts w:hint="default" w:ascii="Times New Roman Regular" w:hAnsi="Times New Roman Regular" w:eastAsia="宋体" w:cs="Times New Roman Regular"/>
                <w:b w:val="0"/>
                <w:color w:val="000000" w:themeColor="text1"/>
                <w:vertAlign w:val="baseline"/>
                <w14:textFill>
                  <w14:solidFill>
                    <w14:schemeClr w14:val="tx1"/>
                  </w14:solidFill>
                </w14:textFill>
              </w:rPr>
              <w:t>691</w:t>
            </w:r>
            <w:r>
              <w:rPr>
                <w:rFonts w:hint="eastAsia" w:ascii="宋体" w:hAnsi="宋体" w:eastAsia="宋体" w:cs="宋体"/>
                <w:color w:val="000000" w:themeColor="text1"/>
                <w:vertAlign w:val="baseline"/>
                <w:lang w:val="en-US" w:eastAsia="zh-Hans"/>
                <w14:textFill>
                  <w14:solidFill>
                    <w14:schemeClr w14:val="tx1"/>
                  </w14:solidFill>
                </w14:textFill>
              </w:rPr>
              <w:t>人</w:t>
            </w:r>
          </w:p>
        </w:tc>
        <w:tc>
          <w:tcPr>
            <w:tcW w:w="1250" w:type="pct"/>
            <w:tcBorders>
              <w:top w:val="single" w:color="FFFFFF" w:sz="18" w:space="0"/>
              <w:left w:val="single" w:color="FFFFFF" w:sz="18" w:space="0"/>
              <w:bottom w:val="single" w:color="FFFFFF" w:sz="18" w:space="0"/>
              <w:right w:val="single" w:color="FFFFFF" w:sz="18" w:space="0"/>
            </w:tcBorders>
            <w:shd w:val="clear" w:color="auto" w:fill="CCE8CF" w:themeFill="background1"/>
            <w:vAlign w:val="top"/>
          </w:tcPr>
          <w:p>
            <w:pPr>
              <w:pStyle w:val="203"/>
              <w:spacing w:before="156" w:after="156"/>
              <w:rPr>
                <w:rFonts w:hint="eastAsia" w:eastAsia="黑体"/>
                <w:color w:val="000000"/>
                <w:vertAlign w:val="baseline"/>
                <w:lang w:val="en-US" w:eastAsia="zh-Hans"/>
              </w:rPr>
            </w:pPr>
            <w:r>
              <w:rPr>
                <w:rFonts w:hint="default"/>
                <w:color w:val="000000"/>
                <w:sz w:val="32"/>
                <w:szCs w:val="52"/>
                <w:vertAlign w:val="baseline"/>
                <w:lang w:eastAsia="zh-Hans"/>
              </w:rPr>
              <w:t xml:space="preserve">  </w:t>
            </w:r>
            <w:r>
              <w:rPr>
                <w:rFonts w:hint="eastAsia"/>
                <w:color w:val="4F81BD" w:themeColor="accent1"/>
                <w:sz w:val="36"/>
                <w:szCs w:val="56"/>
                <w:vertAlign w:val="baseline"/>
                <w:lang w:val="en-US" w:eastAsia="zh-Hans"/>
                <w14:textFill>
                  <w14:solidFill>
                    <w14:schemeClr w14:val="accent1"/>
                  </w14:solidFill>
                </w14:textFill>
              </w:rPr>
              <w:t>:</w:t>
            </w:r>
          </w:p>
        </w:tc>
        <w:tc>
          <w:tcPr>
            <w:tcW w:w="1250" w:type="pct"/>
            <w:vMerge w:val="continue"/>
            <w:tcBorders>
              <w:left w:val="single" w:color="FFFFFF" w:sz="18" w:space="0"/>
              <w:right w:val="single" w:color="FFFFFF" w:sz="18" w:space="0"/>
            </w:tcBorders>
            <w:shd w:val="clear" w:color="auto" w:fill="CCE8CF" w:themeFill="background1"/>
            <w:vAlign w:val="top"/>
          </w:tcPr>
          <w:p>
            <w:pPr>
              <w:pStyle w:val="203"/>
              <w:spacing w:before="156" w:after="156"/>
              <w:rPr>
                <w:color w:val="00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248" w:type="pct"/>
            <w:tcBorders>
              <w:top w:val="single" w:color="FFFFFF" w:sz="18" w:space="0"/>
              <w:left w:val="single" w:color="FFFFFF" w:sz="18" w:space="0"/>
              <w:bottom w:val="single" w:color="FFFFFF" w:sz="18" w:space="0"/>
              <w:right w:val="single" w:color="FFFFFF" w:sz="18" w:space="0"/>
            </w:tcBorders>
            <w:shd w:val="clear" w:color="auto" w:fill="DBEEF3" w:themeFill="accent5" w:themeFillTint="32"/>
            <w:vAlign w:val="top"/>
          </w:tcPr>
          <w:p>
            <w:pPr>
              <w:pStyle w:val="203"/>
              <w:spacing w:before="156" w:after="156"/>
              <w:rPr>
                <w:rFonts w:hint="eastAsia" w:ascii="宋体" w:hAnsi="宋体" w:eastAsia="宋体" w:cs="宋体"/>
                <w:color w:val="000000" w:themeColor="text1"/>
                <w:lang w:val="en-US" w:eastAsia="zh-Hans"/>
                <w14:textFill>
                  <w14:solidFill>
                    <w14:schemeClr w14:val="tx1"/>
                  </w14:solidFill>
                </w14:textFill>
              </w:rPr>
            </w:pPr>
            <w:r>
              <w:rPr>
                <w:rFonts w:hint="eastAsia" w:ascii="宋体" w:hAnsi="宋体" w:eastAsia="宋体" w:cs="宋体"/>
                <w:color w:val="000000" w:themeColor="text1"/>
                <w:lang w:val="en-US" w:eastAsia="zh-Hans"/>
                <w14:textFill>
                  <w14:solidFill>
                    <w14:schemeClr w14:val="tx1"/>
                  </w14:solidFill>
                </w14:textFill>
              </w:rPr>
              <w:t>女生</w:t>
            </w:r>
          </w:p>
        </w:tc>
        <w:tc>
          <w:tcPr>
            <w:tcW w:w="1251" w:type="pct"/>
            <w:tcBorders>
              <w:top w:val="single" w:color="FFFFFF" w:sz="18" w:space="0"/>
              <w:left w:val="single" w:color="FFFFFF" w:sz="18" w:space="0"/>
              <w:bottom w:val="single" w:color="FFFFFF" w:sz="18" w:space="0"/>
              <w:right w:val="single" w:color="FFFFFF" w:sz="18" w:space="0"/>
            </w:tcBorders>
            <w:shd w:val="clear" w:color="auto" w:fill="DBEEF3" w:themeFill="accent5" w:themeFillTint="32"/>
            <w:vAlign w:val="top"/>
          </w:tcPr>
          <w:p>
            <w:pPr>
              <w:pStyle w:val="203"/>
              <w:spacing w:before="156" w:after="156"/>
              <w:rPr>
                <w:rFonts w:hint="eastAsia" w:ascii="宋体" w:hAnsi="宋体" w:eastAsia="宋体" w:cs="宋体"/>
                <w:color w:val="000000" w:themeColor="text1"/>
                <w:vertAlign w:val="baseline"/>
                <w14:textFill>
                  <w14:solidFill>
                    <w14:schemeClr w14:val="tx1"/>
                  </w14:solidFill>
                </w14:textFill>
              </w:rPr>
            </w:pPr>
            <w:r>
              <w:rPr>
                <w:rFonts w:hint="default" w:ascii="Times New Roman Regular" w:hAnsi="Times New Roman Regular" w:eastAsia="宋体" w:cs="Times New Roman Regular"/>
                <w:b w:val="0"/>
                <w:color w:val="000000" w:themeColor="text1"/>
                <w:vertAlign w:val="baseline"/>
                <w14:textFill>
                  <w14:solidFill>
                    <w14:schemeClr w14:val="tx1"/>
                  </w14:solidFill>
                </w14:textFill>
              </w:rPr>
              <w:t>1208</w:t>
            </w:r>
            <w:r>
              <w:rPr>
                <w:rFonts w:hint="eastAsia" w:ascii="宋体" w:hAnsi="宋体" w:eastAsia="宋体" w:cs="宋体"/>
                <w:color w:val="000000" w:themeColor="text1"/>
                <w:vertAlign w:val="baseline"/>
                <w:lang w:val="en-US" w:eastAsia="zh-Hans"/>
                <w14:textFill>
                  <w14:solidFill>
                    <w14:schemeClr w14:val="tx1"/>
                  </w14:solidFill>
                </w14:textFill>
              </w:rPr>
              <w:t>人</w:t>
            </w:r>
          </w:p>
        </w:tc>
        <w:tc>
          <w:tcPr>
            <w:tcW w:w="1250" w:type="pct"/>
            <w:tcBorders>
              <w:top w:val="single" w:color="FFFFFF" w:sz="18" w:space="0"/>
              <w:left w:val="single" w:color="FFFFFF" w:sz="18" w:space="0"/>
              <w:bottom w:val="single" w:color="FFFFFF" w:sz="18" w:space="0"/>
              <w:right w:val="single" w:color="FFFFFF" w:sz="18" w:space="0"/>
            </w:tcBorders>
            <w:shd w:val="clear" w:color="auto" w:fill="CCE8CF" w:themeFill="background1"/>
            <w:vAlign w:val="top"/>
          </w:tcPr>
          <w:p>
            <w:pPr>
              <w:pStyle w:val="203"/>
              <w:spacing w:before="156" w:after="156"/>
              <w:rPr>
                <w:color w:val="000000"/>
                <w:vertAlign w:val="baseline"/>
              </w:rPr>
            </w:pPr>
          </w:p>
        </w:tc>
        <w:tc>
          <w:tcPr>
            <w:tcW w:w="1250" w:type="pct"/>
            <w:vMerge w:val="continue"/>
            <w:tcBorders>
              <w:left w:val="single" w:color="FFFFFF" w:sz="18" w:space="0"/>
              <w:bottom w:val="single" w:color="FFFFFF" w:sz="18" w:space="0"/>
              <w:right w:val="single" w:color="FFFFFF" w:sz="18" w:space="0"/>
            </w:tcBorders>
            <w:shd w:val="clear" w:color="auto" w:fill="CCE8CF" w:themeFill="background1"/>
            <w:vAlign w:val="top"/>
          </w:tcPr>
          <w:p>
            <w:pPr>
              <w:pStyle w:val="203"/>
              <w:spacing w:before="156" w:after="156"/>
              <w:rPr>
                <w:color w:val="000000"/>
                <w:vertAlign w:val="baseline"/>
              </w:rPr>
            </w:pPr>
          </w:p>
        </w:tc>
      </w:tr>
    </w:tbl>
    <w:p>
      <w:pPr>
        <w:pStyle w:val="203"/>
        <w:spacing w:before="156" w:after="156"/>
      </w:pPr>
      <w:bookmarkStart w:id="33" w:name="_Toc55919978"/>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rPr>
          <w:rFonts w:hint="eastAsia"/>
        </w:rPr>
        <w:t>1</w:t>
      </w:r>
      <w:r>
        <w:fldChar w:fldCharType="end"/>
      </w:r>
      <w:r>
        <w:t xml:space="preserve">  2021届毕业生</w:t>
      </w:r>
      <w:r>
        <w:rPr>
          <w:rFonts w:hint="eastAsia"/>
        </w:rPr>
        <w:t>男女</w:t>
      </w:r>
      <w:r>
        <w:t>比例</w:t>
      </w:r>
      <w:bookmarkEnd w:id="30"/>
      <w:bookmarkEnd w:id="33"/>
    </w:p>
    <w:p>
      <w:pPr>
        <w:pStyle w:val="152"/>
        <w:spacing w:before="156" w:after="156"/>
      </w:pPr>
      <w:bookmarkStart w:id="34" w:name="_Toc520328891"/>
      <w:bookmarkStart w:id="35" w:name="_Toc42074241"/>
      <w:bookmarkStart w:id="36" w:name="_Toc1195122115"/>
      <w:r>
        <w:rPr>
          <w:rFonts w:hint="eastAsia"/>
        </w:rPr>
        <w:t>（二</w:t>
      </w:r>
      <w:r>
        <w:t>）</w:t>
      </w:r>
      <w:r>
        <w:rPr>
          <w:rFonts w:hint="eastAsia"/>
          <w:lang w:val="en-US" w:eastAsia="zh-Hans"/>
        </w:rPr>
        <w:t>生源</w:t>
      </w:r>
      <w:r>
        <w:t>结构</w:t>
      </w:r>
      <w:bookmarkEnd w:id="31"/>
      <w:bookmarkEnd w:id="32"/>
      <w:r>
        <w:rPr>
          <w:rFonts w:hint="eastAsia"/>
        </w:rPr>
        <w:t>分布</w:t>
      </w:r>
      <w:bookmarkEnd w:id="34"/>
      <w:bookmarkEnd w:id="35"/>
      <w:bookmarkEnd w:id="36"/>
    </w:p>
    <w:p>
      <w:pPr>
        <w:pStyle w:val="199"/>
        <w:ind w:firstLine="482"/>
        <w:rPr>
          <w:color w:val="000000" w:themeColor="text1"/>
          <w14:textFill>
            <w14:solidFill>
              <w14:schemeClr w14:val="tx1"/>
            </w14:solidFill>
          </w14:textFill>
        </w:rPr>
      </w:pPr>
      <w:r>
        <w:rPr>
          <w:rFonts w:hint="default"/>
          <w:b/>
          <w:color w:val="4F81BD" w:themeColor="accent1"/>
          <w:lang w:eastAsia="zh-Hans"/>
          <w14:textFill>
            <w14:solidFill>
              <w14:schemeClr w14:val="accent1"/>
            </w14:solidFill>
          </w14:textFill>
        </w:rPr>
        <w:t>学院</w:t>
      </w:r>
      <w:r>
        <w:rPr>
          <w:rFonts w:hint="eastAsia"/>
          <w:b/>
          <w:color w:val="4F81BD" w:themeColor="accent1"/>
          <w14:textFill>
            <w14:solidFill>
              <w14:schemeClr w14:val="accent1"/>
            </w14:solidFill>
          </w14:textFill>
        </w:rPr>
        <w:t>结构：</w:t>
      </w:r>
      <w:r>
        <w:rPr>
          <w:rFonts w:hint="eastAsia"/>
        </w:rPr>
        <w:t>学校</w:t>
      </w:r>
      <w:r>
        <w:t>2021届毕业生</w:t>
      </w:r>
      <w:r>
        <w:rPr>
          <w:rFonts w:hint="eastAsia"/>
        </w:rPr>
        <w:t>共分布在</w:t>
      </w:r>
      <w:r>
        <w:rPr>
          <w:color w:val="000000" w:themeColor="text1"/>
          <w14:textFill>
            <w14:solidFill>
              <w14:schemeClr w14:val="tx1"/>
            </w14:solidFill>
          </w14:textFill>
        </w:rPr>
        <w:t>10</w:t>
      </w:r>
      <w:r>
        <w:rPr>
          <w:rFonts w:hint="eastAsia"/>
        </w:rPr>
        <w:t>个</w:t>
      </w:r>
      <w:r>
        <w:rPr>
          <w:rFonts w:hint="eastAsia"/>
          <w:lang w:val="en-US" w:eastAsia="zh-Hans"/>
        </w:rPr>
        <w:t>学院</w:t>
      </w:r>
      <w:r>
        <w:rPr>
          <w:rFonts w:hint="default"/>
          <w:color w:val="000000" w:themeColor="text1"/>
          <w14:textFill>
            <w14:solidFill>
              <w14:schemeClr w14:val="tx1"/>
            </w14:solidFill>
          </w14:textFill>
        </w:rPr>
        <w:t>43</w:t>
      </w:r>
      <w:r>
        <w:rPr>
          <w:rFonts w:hint="eastAsia"/>
        </w:rPr>
        <w:t>个专业。</w:t>
      </w:r>
      <w:r>
        <w:rPr>
          <w:rFonts w:hint="eastAsia"/>
          <w:color w:val="000000" w:themeColor="text1"/>
          <w14:textFill>
            <w14:solidFill>
              <w14:schemeClr w14:val="tx1"/>
            </w14:solidFill>
          </w14:textFill>
        </w:rPr>
        <w:t>其中，大数据学院</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人文学院</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农林工程与规划学院</w:t>
      </w:r>
      <w:r>
        <w:rPr>
          <w:rFonts w:hint="eastAsia"/>
        </w:rPr>
        <w:t>人数位居前三</w:t>
      </w:r>
      <w:r>
        <w:rPr>
          <w:rFonts w:hint="eastAsia"/>
          <w:color w:val="000000" w:themeColor="text1"/>
          <w14:textFill>
            <w14:solidFill>
              <w14:schemeClr w14:val="tx1"/>
            </w14:solidFill>
          </w14:textFill>
        </w:rPr>
        <w:t>，人数占比分别为15.43%、13.43%、12.43%。</w:t>
      </w:r>
    </w:p>
    <w:p>
      <w:pPr>
        <w:pStyle w:val="203"/>
        <w:bidi w:val="0"/>
        <w:rPr>
          <w:rFonts w:hint="eastAsia"/>
        </w:rPr>
      </w:pPr>
      <w:bookmarkStart w:id="37" w:name="_Toc42074226"/>
      <w:bookmarkStart w:id="38" w:name="_Toc55919979"/>
      <w:r>
        <w:rPr>
          <w:rFonts w:hint="eastAsia"/>
        </w:rPr>
        <w:t xml:space="preserve">表1- </w:t>
      </w:r>
      <w:r>
        <w:rPr>
          <w:rFonts w:hint="eastAsia"/>
        </w:rPr>
        <w:fldChar w:fldCharType="begin"/>
      </w:r>
      <w:r>
        <w:rPr>
          <w:rFonts w:hint="eastAsia"/>
        </w:rPr>
        <w:instrText xml:space="preserve"> SEQ 表1- \* ARABIC </w:instrText>
      </w:r>
      <w:r>
        <w:rPr>
          <w:rFonts w:hint="eastAsia"/>
        </w:rPr>
        <w:fldChar w:fldCharType="separate"/>
      </w:r>
      <w:r>
        <w:rPr>
          <w:rFonts w:hint="eastAsia"/>
        </w:rPr>
        <w:t>1</w:t>
      </w:r>
      <w:r>
        <w:rPr>
          <w:rFonts w:hint="eastAsia"/>
        </w:rPr>
        <w:fldChar w:fldCharType="end"/>
      </w:r>
      <w:r>
        <w:rPr>
          <w:rFonts w:hint="eastAsia"/>
        </w:rPr>
        <w:t xml:space="preserve">  </w:t>
      </w:r>
      <w:r>
        <w:t>2021届毕业生</w:t>
      </w:r>
      <w:r>
        <w:rPr>
          <w:rFonts w:hint="eastAsia"/>
          <w:lang w:val="en-US" w:eastAsia="zh-Hans"/>
        </w:rPr>
        <w:t>学院</w:t>
      </w:r>
      <w:r>
        <w:rPr>
          <w:rFonts w:hint="eastAsia"/>
        </w:rPr>
        <w:t>及专业分布</w:t>
      </w:r>
      <w:bookmarkEnd w:id="37"/>
      <w:bookmarkEnd w:id="38"/>
    </w:p>
    <w:tbl>
      <w:tblPr>
        <w:tblStyle w:val="3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010"/>
        <w:gridCol w:w="3163"/>
        <w:gridCol w:w="1215"/>
        <w:gridCol w:w="1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blHeader/>
        </w:trPr>
        <w:tc>
          <w:tcPr>
            <w:tcW w:w="1708" w:type="pct"/>
            <w:tcBorders>
              <w:top w:val="single" w:color="4BACC6" w:sz="8" w:space="0"/>
              <w:left w:val="single" w:color="4BACC6" w:sz="8" w:space="0"/>
              <w:bottom w:val="single" w:color="FFFFFF" w:sz="8" w:space="0"/>
              <w:right w:val="single" w:color="4BACC6" w:sz="8" w:space="0"/>
            </w:tcBorders>
            <w:shd w:val="clear" w:color="auto" w:fill="4BACC6"/>
            <w:vAlign w:val="center"/>
          </w:tcPr>
          <w:p>
            <w:pPr>
              <w:pStyle w:val="117"/>
              <w:bidi w:val="0"/>
              <w:rPr>
                <w:rFonts w:hint="eastAsia"/>
                <w:b/>
                <w:bCs w:val="0"/>
                <w:color w:val="FFFFFF"/>
              </w:rPr>
            </w:pPr>
            <w:r>
              <w:rPr>
                <w:rFonts w:hint="eastAsia"/>
                <w:b/>
                <w:bCs w:val="0"/>
                <w:color w:val="FFFFFF"/>
                <w:lang w:val="en-US" w:eastAsia="zh-CN"/>
              </w:rPr>
              <w:t>学院</w:t>
            </w:r>
          </w:p>
        </w:tc>
        <w:tc>
          <w:tcPr>
            <w:tcW w:w="1793" w:type="pct"/>
            <w:tcBorders>
              <w:top w:val="single" w:color="4BACC6" w:sz="8" w:space="0"/>
              <w:left w:val="single" w:color="4BACC6" w:sz="8" w:space="0"/>
              <w:bottom w:val="single" w:color="FFFFFF" w:sz="8" w:space="0"/>
              <w:right w:val="single" w:color="4BACC6" w:sz="8" w:space="0"/>
            </w:tcBorders>
            <w:shd w:val="clear" w:color="auto" w:fill="4BACC6"/>
            <w:vAlign w:val="center"/>
          </w:tcPr>
          <w:p>
            <w:pPr>
              <w:pStyle w:val="117"/>
              <w:bidi w:val="0"/>
              <w:rPr>
                <w:rFonts w:hint="eastAsia"/>
                <w:b/>
                <w:bCs w:val="0"/>
                <w:color w:val="FFFFFF"/>
              </w:rPr>
            </w:pPr>
            <w:r>
              <w:rPr>
                <w:rFonts w:hint="eastAsia"/>
                <w:b/>
                <w:bCs w:val="0"/>
                <w:color w:val="FFFFFF"/>
                <w:lang w:val="en-US" w:eastAsia="zh-CN"/>
              </w:rPr>
              <w:t>专业</w:t>
            </w:r>
          </w:p>
        </w:tc>
        <w:tc>
          <w:tcPr>
            <w:tcW w:w="689" w:type="pct"/>
            <w:tcBorders>
              <w:top w:val="single" w:color="4BACC6" w:sz="8" w:space="0"/>
              <w:left w:val="single" w:color="4BACC6" w:sz="8" w:space="0"/>
              <w:bottom w:val="single" w:color="FFFFFF" w:sz="8" w:space="0"/>
              <w:right w:val="single" w:color="4BACC6" w:sz="8" w:space="0"/>
            </w:tcBorders>
            <w:shd w:val="clear" w:color="auto" w:fill="4BACC6"/>
            <w:vAlign w:val="center"/>
          </w:tcPr>
          <w:p>
            <w:pPr>
              <w:pStyle w:val="117"/>
              <w:bidi w:val="0"/>
              <w:rPr>
                <w:rFonts w:hint="eastAsia"/>
                <w:b/>
                <w:bCs w:val="0"/>
                <w:color w:val="FFFFFF"/>
              </w:rPr>
            </w:pPr>
            <w:r>
              <w:rPr>
                <w:rFonts w:hint="eastAsia"/>
                <w:b/>
                <w:bCs w:val="0"/>
                <w:color w:val="FFFFFF"/>
                <w:lang w:val="en-US" w:eastAsia="zh-CN"/>
              </w:rPr>
              <w:t>各专业人数</w:t>
            </w:r>
          </w:p>
        </w:tc>
        <w:tc>
          <w:tcPr>
            <w:tcW w:w="808" w:type="pct"/>
            <w:tcBorders>
              <w:top w:val="single" w:color="4BACC6" w:sz="8" w:space="0"/>
              <w:left w:val="single" w:color="4BACC6" w:sz="8" w:space="0"/>
              <w:bottom w:val="single" w:color="FFFFFF" w:sz="8" w:space="0"/>
              <w:right w:val="single" w:color="4BACC6" w:sz="8" w:space="0"/>
            </w:tcBorders>
            <w:shd w:val="clear" w:color="auto" w:fill="4BACC6"/>
            <w:vAlign w:val="center"/>
          </w:tcPr>
          <w:p>
            <w:pPr>
              <w:pStyle w:val="117"/>
              <w:bidi w:val="0"/>
              <w:rPr>
                <w:rFonts w:hint="eastAsia"/>
                <w:b/>
                <w:bCs w:val="0"/>
                <w:color w:val="FFFFFF"/>
              </w:rPr>
            </w:pPr>
            <w:r>
              <w:rPr>
                <w:rFonts w:hint="eastAsia"/>
                <w:b/>
                <w:bCs w:val="0"/>
                <w:color w:val="FFFFFF"/>
                <w:lang w:val="en-US" w:eastAsia="zh-CN"/>
              </w:rPr>
              <w:t>各专业比例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restart"/>
            <w:tcBorders>
              <w:top w:val="single" w:color="FFFFFF"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r>
              <w:rPr>
                <w:rFonts w:hint="eastAsia"/>
                <w:lang w:val="en-US" w:eastAsia="zh-CN"/>
              </w:rPr>
              <w:t>大数据学院</w:t>
            </w:r>
          </w:p>
        </w:tc>
        <w:tc>
          <w:tcPr>
            <w:tcW w:w="1793"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计算机科学与技术</w:t>
            </w:r>
          </w:p>
        </w:tc>
        <w:tc>
          <w:tcPr>
            <w:tcW w:w="689"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60</w:t>
            </w:r>
          </w:p>
        </w:tc>
        <w:tc>
          <w:tcPr>
            <w:tcW w:w="808"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信息工程</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48</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数学与应用数学</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45</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物理学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33</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自动化</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29</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统计学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28</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pPr>
            <w:r>
              <w:rPr>
                <w:rFonts w:hint="eastAsia"/>
                <w:lang w:val="en-US" w:eastAsia="zh-CN"/>
              </w:rPr>
              <w:t>软件工程</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27</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应用物理学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23</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大数据学院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293</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restar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人文学院</w:t>
            </w: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汉语言文学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98</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秘书学</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51</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pPr>
            <w:r>
              <w:rPr>
                <w:rFonts w:hint="eastAsia"/>
                <w:lang w:val="en-US" w:eastAsia="zh-CN"/>
              </w:rPr>
              <w:t>历史学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45</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网络与新媒体</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36</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教育技术学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25</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人文学院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255</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restart"/>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r>
              <w:rPr>
                <w:rFonts w:hint="eastAsia"/>
                <w:lang w:val="en-US" w:eastAsia="zh-CN"/>
              </w:rPr>
              <w:t>农林工程与规划学院</w:t>
            </w: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园林</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46</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风景园林</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45</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水利水电工程</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42</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林学</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42</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城乡规划</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32</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pPr>
            <w:r>
              <w:rPr>
                <w:rFonts w:hint="eastAsia"/>
                <w:lang w:val="en-US" w:eastAsia="zh-CN"/>
              </w:rPr>
              <w:t>土木工程</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28</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农林工程与规划学院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236</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restar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教育学院</w:t>
            </w: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pPr>
            <w:r>
              <w:rPr>
                <w:rFonts w:hint="eastAsia"/>
                <w:lang w:val="en-US" w:eastAsia="zh-CN"/>
              </w:rPr>
              <w:t>学前教育</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120</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小学教育</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87</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特殊教育</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28</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教育学院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235</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restart"/>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r>
              <w:rPr>
                <w:rFonts w:hint="eastAsia"/>
                <w:lang w:val="en-US" w:eastAsia="zh-CN"/>
              </w:rPr>
              <w:t>材料与化学工程学院</w:t>
            </w: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pPr>
            <w:r>
              <w:rPr>
                <w:rFonts w:hint="eastAsia"/>
                <w:lang w:val="en-US" w:eastAsia="zh-CN"/>
              </w:rPr>
              <w:t>材料科学与工程</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50</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食品科学与工程</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41</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化学工程与工艺</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41</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制药工程</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40</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化学</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40</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材料物理</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材料与化学工程学院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213</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restar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经济管理学院</w:t>
            </w: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金融工程</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77</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pPr>
            <w:r>
              <w:rPr>
                <w:rFonts w:hint="eastAsia"/>
                <w:lang w:val="en-US" w:eastAsia="zh-CN"/>
              </w:rPr>
              <w:t>旅游管理类</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45</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地理科学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31</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农村区域发展</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27</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旅游管理</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15</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经济管理学院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194</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restart"/>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r>
              <w:rPr>
                <w:rFonts w:hint="eastAsia"/>
                <w:lang w:val="en-US" w:eastAsia="zh-CN"/>
              </w:rPr>
              <w:t>艺术学院</w:t>
            </w: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音乐学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61</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视觉传达设计</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54</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pPr>
            <w:r>
              <w:rPr>
                <w:rFonts w:hint="eastAsia"/>
                <w:lang w:val="en-US" w:eastAsia="zh-CN"/>
              </w:rPr>
              <w:t>美术学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46</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艺术学院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161</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restar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大健康学院</w:t>
            </w: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体育教育</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49</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休闲体育</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38</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护理学</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38</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社会工作</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26</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大健康学院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151</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vMerge w:val="restart"/>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r>
              <w:rPr>
                <w:rFonts w:hint="eastAsia"/>
                <w:lang w:val="en-US" w:eastAsia="zh-CN"/>
              </w:rPr>
              <w:t>国际学院</w:t>
            </w:r>
          </w:p>
        </w:tc>
        <w:tc>
          <w:tcPr>
            <w:tcW w:w="179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英语</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76</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708" w:type="pct"/>
            <w:vMerge w:val="continue"/>
            <w:tcBorders>
              <w:top w:val="single" w:color="4BACC6" w:sz="8" w:space="0"/>
              <w:left w:val="single" w:color="4BACC6" w:sz="8" w:space="0"/>
              <w:bottom w:val="single" w:color="4BACC6" w:sz="8" w:space="0"/>
              <w:right w:val="single" w:color="4BACC6" w:sz="8" w:space="0"/>
            </w:tcBorders>
            <w:shd w:val="clear" w:color="auto" w:fill="CCE8CF" w:themeFill="background1"/>
            <w:vAlign w:val="center"/>
          </w:tcPr>
          <w:p>
            <w:pPr>
              <w:pStyle w:val="117"/>
              <w:bidi w:val="0"/>
              <w:rPr>
                <w:rFonts w:hint="eastAsia"/>
              </w:rPr>
            </w:pP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商务英语</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26</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国际学院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102</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7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马克思主义学院</w:t>
            </w:r>
          </w:p>
        </w:tc>
        <w:tc>
          <w:tcPr>
            <w:tcW w:w="179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pPr>
            <w:r>
              <w:rPr>
                <w:rFonts w:hint="eastAsia"/>
                <w:lang w:val="en-US" w:eastAsia="zh-CN"/>
              </w:rPr>
              <w:t>思想政治教育</w:t>
            </w:r>
          </w:p>
        </w:tc>
        <w:tc>
          <w:tcPr>
            <w:tcW w:w="6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59</w:t>
            </w:r>
          </w:p>
        </w:tc>
        <w:tc>
          <w:tcPr>
            <w:tcW w:w="80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3502" w:type="pct"/>
            <w:gridSpan w:val="2"/>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马克思主义学院 汇总</w:t>
            </w:r>
          </w:p>
        </w:tc>
        <w:tc>
          <w:tcPr>
            <w:tcW w:w="68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59</w:t>
            </w:r>
          </w:p>
        </w:tc>
        <w:tc>
          <w:tcPr>
            <w:tcW w:w="80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6173" w:type="dxa"/>
            <w:gridSpan w:val="2"/>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b/>
                <w:bCs w:val="0"/>
                <w:lang w:val="en-US" w:eastAsia="zh-CN"/>
              </w:rPr>
            </w:pPr>
            <w:r>
              <w:rPr>
                <w:rFonts w:hint="eastAsia"/>
                <w:b/>
                <w:bCs w:val="0"/>
                <w:lang w:val="en-US" w:eastAsia="zh-CN"/>
              </w:rPr>
              <w:t>总计</w:t>
            </w:r>
          </w:p>
        </w:tc>
        <w:tc>
          <w:tcPr>
            <w:tcW w:w="1215"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b/>
                <w:bCs w:val="0"/>
                <w:lang w:val="en-US" w:eastAsia="zh-CN"/>
              </w:rPr>
            </w:pPr>
            <w:r>
              <w:rPr>
                <w:rFonts w:hint="eastAsia"/>
                <w:b/>
                <w:bCs w:val="0"/>
                <w:lang w:val="en-US" w:eastAsia="zh-CN"/>
              </w:rPr>
              <w:t>1899</w:t>
            </w:r>
          </w:p>
        </w:tc>
        <w:tc>
          <w:tcPr>
            <w:tcW w:w="1425"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b/>
                <w:bCs w:val="0"/>
                <w:lang w:val="en-US" w:eastAsia="zh-CN"/>
              </w:rPr>
            </w:pPr>
            <w:r>
              <w:rPr>
                <w:rFonts w:hint="eastAsia"/>
                <w:b/>
                <w:bCs w:val="0"/>
                <w:lang w:val="en-US" w:eastAsia="zh-CN"/>
              </w:rPr>
              <w:t>100.00%</w:t>
            </w:r>
          </w:p>
        </w:tc>
      </w:tr>
    </w:tbl>
    <w:p>
      <w:pPr>
        <w:pStyle w:val="132"/>
        <w:ind w:firstLine="360"/>
      </w:pPr>
      <w:r>
        <w:rPr>
          <w:rFonts w:hint="eastAsia"/>
        </w:rPr>
        <w:t>注：因四舍五入保留两位小数，各分项占比之和可能存在±</w:t>
      </w:r>
      <w:r>
        <w:t>0.01%</w:t>
      </w:r>
      <w:r>
        <w:rPr>
          <w:rFonts w:hint="eastAsia"/>
        </w:rPr>
        <w:t>的误差。</w:t>
      </w:r>
    </w:p>
    <w:p>
      <w:pPr>
        <w:pStyle w:val="113"/>
        <w:bidi w:val="0"/>
      </w:pPr>
      <w:bookmarkStart w:id="39" w:name="_Toc520328893"/>
      <w:bookmarkStart w:id="40" w:name="_Toc487789872"/>
      <w:bookmarkStart w:id="41" w:name="_Toc487790053"/>
      <w:r>
        <w:rPr>
          <w:rFonts w:hint="eastAsia"/>
          <w:b/>
          <w:bCs/>
          <w:color w:val="4F81BD" w:themeColor="accent1"/>
          <w:lang w:val="en-US" w:eastAsia="zh-Hans"/>
          <w14:textFill>
            <w14:solidFill>
              <w14:schemeClr w14:val="accent1"/>
            </w14:solidFill>
          </w14:textFill>
        </w:rPr>
        <w:t>生源结构</w:t>
      </w:r>
      <w:r>
        <w:rPr>
          <w:rFonts w:hint="default"/>
          <w:b/>
          <w:bCs/>
          <w:color w:val="4F81BD" w:themeColor="accent1"/>
          <w:lang w:eastAsia="zh-Hans"/>
          <w14:textFill>
            <w14:solidFill>
              <w14:schemeClr w14:val="accent1"/>
            </w14:solidFill>
          </w14:textFill>
        </w:rPr>
        <w:t>：</w:t>
      </w:r>
      <w:r>
        <w:rPr>
          <w:rFonts w:hint="eastAsia"/>
        </w:rPr>
        <w:t>学校 2021 届毕业生以</w:t>
      </w:r>
      <w:r>
        <w:rPr>
          <w:rFonts w:hint="eastAsia"/>
          <w:lang w:val="en-US" w:eastAsia="zh-Hans"/>
        </w:rPr>
        <w:t>贵州</w:t>
      </w:r>
      <w:r>
        <w:rPr>
          <w:rFonts w:hint="eastAsia"/>
        </w:rPr>
        <w:t>省生源为主，</w:t>
      </w:r>
      <w:r>
        <w:rPr>
          <w:rFonts w:hint="eastAsia"/>
          <w:lang w:val="en-US" w:eastAsia="zh-Hans"/>
        </w:rPr>
        <w:t>贵州</w:t>
      </w:r>
      <w:r>
        <w:rPr>
          <w:rFonts w:hint="eastAsia"/>
        </w:rPr>
        <w:t>省生源 1734人，占毕业生总人数的91.31%。</w:t>
      </w:r>
      <w:r>
        <w:rPr>
          <w:rFonts w:hint="eastAsia"/>
          <w:lang w:val="en-US" w:eastAsia="zh-Hans"/>
        </w:rPr>
        <w:t>贵州</w:t>
      </w:r>
      <w:r>
        <w:rPr>
          <w:rFonts w:hint="eastAsia"/>
        </w:rPr>
        <w:t>省外生源</w:t>
      </w:r>
      <w:r>
        <w:t>165</w:t>
      </w:r>
      <w:r>
        <w:rPr>
          <w:rFonts w:hint="eastAsia"/>
        </w:rPr>
        <w:t xml:space="preserve">人，占毕业生总人数的 </w:t>
      </w:r>
      <w:r>
        <w:t>8.69%</w:t>
      </w:r>
      <w:r>
        <w:rPr>
          <w:rFonts w:hint="default"/>
        </w:rPr>
        <w:t>，</w:t>
      </w:r>
      <w:r>
        <w:rPr>
          <w:rFonts w:hint="eastAsia"/>
          <w:lang w:val="en-US" w:eastAsia="zh-Hans"/>
        </w:rPr>
        <w:t>省外生源</w:t>
      </w:r>
      <w:r>
        <w:rPr>
          <w:rFonts w:hint="eastAsia"/>
        </w:rPr>
        <w:t>主要集中在</w:t>
      </w:r>
      <w:r>
        <w:rPr>
          <w:rFonts w:hint="eastAsia"/>
          <w:lang w:eastAsia="zh-Hans"/>
        </w:rPr>
        <w:t>湖南省</w:t>
      </w:r>
      <w:r>
        <w:rPr>
          <w:rFonts w:hint="default"/>
          <w:lang w:eastAsia="zh-Hans"/>
        </w:rPr>
        <w:t>、</w:t>
      </w:r>
      <w:r>
        <w:rPr>
          <w:rFonts w:hint="eastAsia"/>
          <w:lang w:eastAsia="zh-Hans"/>
        </w:rPr>
        <w:t>四川省</w:t>
      </w:r>
      <w:r>
        <w:rPr>
          <w:rFonts w:hint="default"/>
          <w:lang w:eastAsia="zh-Hans"/>
        </w:rPr>
        <w:t>、</w:t>
      </w:r>
      <w:r>
        <w:rPr>
          <w:rFonts w:hint="eastAsia"/>
          <w:lang w:eastAsia="zh-Hans"/>
        </w:rPr>
        <w:t>重庆市</w:t>
      </w:r>
      <w:r>
        <w:rPr>
          <w:rFonts w:hint="eastAsia"/>
        </w:rPr>
        <w:t>等地。</w:t>
      </w:r>
      <w:r>
        <w:rPr>
          <w:rFonts w:hint="eastAsia"/>
          <w:lang w:val="en-US" w:eastAsia="zh-Hans"/>
        </w:rPr>
        <w:t>详细生源分布见表</w:t>
      </w:r>
      <w:r>
        <w:rPr>
          <w:rFonts w:hint="default"/>
          <w:lang w:eastAsia="zh-Hans"/>
        </w:rPr>
        <w:t>1-2。</w:t>
      </w:r>
    </w:p>
    <w:p>
      <w:pPr>
        <w:spacing w:after="163" w:line="360" w:lineRule="auto"/>
        <w:ind w:left="400" w:leftChars="200" w:firstLine="480" w:firstLineChars="200"/>
        <w:jc w:val="both"/>
        <w:rPr>
          <w:rFonts w:ascii="Times New Roman" w:hAnsi="Times New Roman" w:cstheme="minorBidi"/>
          <w:color w:val="000000"/>
          <w:sz w:val="24"/>
          <w:szCs w:val="24"/>
          <w:lang w:eastAsia="zh-Hans"/>
        </w:rPr>
      </w:pPr>
      <w:r>
        <w:rPr>
          <w:rFonts w:hint="eastAsia" w:ascii="Times New Roman" w:hAnsi="Times New Roman" w:cstheme="minorBidi"/>
          <w:color w:val="000000"/>
          <w:sz w:val="24"/>
          <w:szCs w:val="24"/>
        </w:rPr>
        <w:drawing>
          <wp:anchor distT="0" distB="0" distL="114300" distR="114300" simplePos="0" relativeHeight="251977728" behindDoc="0" locked="0" layoutInCell="1" allowOverlap="1">
            <wp:simplePos x="0" y="0"/>
            <wp:positionH relativeFrom="column">
              <wp:posOffset>0</wp:posOffset>
            </wp:positionH>
            <wp:positionV relativeFrom="paragraph">
              <wp:posOffset>122555</wp:posOffset>
            </wp:positionV>
            <wp:extent cx="5946140" cy="3217545"/>
            <wp:effectExtent l="0" t="0" r="0" b="0"/>
            <wp:wrapTopAndBottom/>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pStyle w:val="203"/>
        <w:spacing w:before="156" w:after="156"/>
        <w:rPr>
          <w:rFonts w:hint="eastAsia"/>
          <w:lang w:val="en-US" w:eastAsia="zh-Hans"/>
        </w:rPr>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rPr>
          <w:rFonts w:hint="eastAsia"/>
        </w:rPr>
        <w:t>2</w:t>
      </w:r>
      <w:r>
        <w:fldChar w:fldCharType="end"/>
      </w:r>
      <w:r>
        <w:t xml:space="preserve">  2021届</w:t>
      </w:r>
      <w:r>
        <w:rPr>
          <w:rFonts w:hint="eastAsia"/>
        </w:rPr>
        <w:t>毕业生</w:t>
      </w:r>
      <w:r>
        <w:rPr>
          <w:rFonts w:hint="eastAsia"/>
          <w:lang w:val="en-US" w:eastAsia="zh-Hans"/>
        </w:rPr>
        <w:t>生源地分布</w:t>
      </w:r>
    </w:p>
    <w:p>
      <w:pPr>
        <w:pStyle w:val="203"/>
        <w:spacing w:before="156" w:after="156"/>
        <w:rPr>
          <w:rFonts w:hint="eastAsia"/>
          <w:lang w:val="en-US" w:eastAsia="zh-Hans"/>
        </w:rPr>
      </w:pPr>
    </w:p>
    <w:p>
      <w:pPr>
        <w:pStyle w:val="203"/>
        <w:bidi w:val="0"/>
        <w:rPr>
          <w:rFonts w:hint="eastAsia"/>
        </w:rPr>
      </w:pPr>
      <w:r>
        <w:rPr>
          <w:rFonts w:hint="eastAsia"/>
        </w:rPr>
        <w:t xml:space="preserve">表1- </w:t>
      </w:r>
      <w:r>
        <w:rPr>
          <w:rFonts w:hint="eastAsia"/>
        </w:rPr>
        <w:fldChar w:fldCharType="begin"/>
      </w:r>
      <w:r>
        <w:rPr>
          <w:rFonts w:hint="eastAsia"/>
        </w:rPr>
        <w:instrText xml:space="preserve"> SEQ 表1- \* ARABIC </w:instrText>
      </w:r>
      <w:r>
        <w:rPr>
          <w:rFonts w:hint="eastAsia"/>
        </w:rPr>
        <w:fldChar w:fldCharType="separate"/>
      </w:r>
      <w:r>
        <w:rPr>
          <w:rFonts w:hint="eastAsia"/>
        </w:rPr>
        <w:t>2</w:t>
      </w:r>
      <w:r>
        <w:rPr>
          <w:rFonts w:hint="eastAsia"/>
        </w:rPr>
        <w:fldChar w:fldCharType="end"/>
      </w:r>
      <w:r>
        <w:rPr>
          <w:rFonts w:hint="eastAsia"/>
        </w:rPr>
        <w:t xml:space="preserve">  </w:t>
      </w:r>
      <w:r>
        <w:t>2021届毕业生</w:t>
      </w:r>
      <w:r>
        <w:rPr>
          <w:rFonts w:hint="eastAsia"/>
          <w:lang w:val="en-US" w:eastAsia="zh-Hans"/>
        </w:rPr>
        <w:t>生源地</w:t>
      </w:r>
      <w:r>
        <w:rPr>
          <w:rFonts w:hint="eastAsia"/>
        </w:rPr>
        <w:t>分布</w:t>
      </w:r>
    </w:p>
    <w:tbl>
      <w:tblPr>
        <w:tblStyle w:val="3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99"/>
        <w:gridCol w:w="2599"/>
        <w:gridCol w:w="3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jc w:val="center"/>
              <w:rPr>
                <w:rFonts w:hint="eastAsia"/>
                <w:color w:val="FFFFFF"/>
              </w:rPr>
            </w:pPr>
            <w:r>
              <w:rPr>
                <w:rFonts w:hint="eastAsia"/>
                <w:color w:val="FFFFFF"/>
                <w:lang w:val="en-US" w:eastAsia="zh-CN"/>
              </w:rPr>
              <w:t>生源地</w:t>
            </w:r>
          </w:p>
        </w:tc>
        <w:tc>
          <w:tcPr>
            <w:tcW w:w="1474"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jc w:val="center"/>
              <w:rPr>
                <w:rFonts w:hint="eastAsia"/>
                <w:color w:val="FFFFFF"/>
              </w:rPr>
            </w:pPr>
            <w:r>
              <w:rPr>
                <w:rFonts w:hint="eastAsia"/>
                <w:color w:val="FFFFFF"/>
                <w:lang w:val="en-US" w:eastAsia="zh-CN"/>
              </w:rPr>
              <w:t>人数</w:t>
            </w:r>
          </w:p>
        </w:tc>
        <w:tc>
          <w:tcPr>
            <w:tcW w:w="2051"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jc w:val="center"/>
              <w:rPr>
                <w:rFonts w:hint="eastAsia"/>
                <w:color w:val="FFFFFF"/>
              </w:rPr>
            </w:pPr>
            <w:r>
              <w:rPr>
                <w:rFonts w:hint="eastAsia"/>
                <w:color w:val="FFFFFF"/>
                <w:lang w:val="en-US" w:eastAsia="zh-CN"/>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b/>
                <w:bCs w:val="0"/>
              </w:rPr>
            </w:pPr>
            <w:r>
              <w:rPr>
                <w:rFonts w:hint="eastAsia"/>
                <w:b/>
                <w:bCs w:val="0"/>
                <w:lang w:val="en-US" w:eastAsia="zh-CN"/>
              </w:rPr>
              <w:t>贵州省内生源</w:t>
            </w:r>
          </w:p>
        </w:tc>
        <w:tc>
          <w:tcPr>
            <w:tcW w:w="1474"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b/>
                <w:bCs w:val="0"/>
              </w:rPr>
            </w:pPr>
            <w:r>
              <w:rPr>
                <w:rFonts w:hint="eastAsia"/>
                <w:b/>
                <w:bCs w:val="0"/>
                <w:lang w:val="en-US" w:eastAsia="zh-CN"/>
              </w:rPr>
              <w:t>1734</w:t>
            </w:r>
          </w:p>
        </w:tc>
        <w:tc>
          <w:tcPr>
            <w:tcW w:w="2051"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b/>
                <w:bCs w:val="0"/>
              </w:rPr>
            </w:pPr>
            <w:r>
              <w:rPr>
                <w:rFonts w:hint="eastAsia"/>
                <w:b/>
                <w:bCs w:val="0"/>
                <w:lang w:val="en-US" w:eastAsia="zh-CN"/>
              </w:rPr>
              <w:t>91.31%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铜仁市</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778</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40.97%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黔东南苗族侗族自治州</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313</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16.48%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遵义市</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155</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毕节市</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147</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黔南布依族苗族自治州</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139</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黔西南布依族苗族自治州</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76</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六盘水市</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62</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安顺市</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34</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贵阳市</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30</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b/>
                <w:bCs w:val="0"/>
              </w:rPr>
            </w:pPr>
            <w:r>
              <w:rPr>
                <w:rFonts w:hint="eastAsia"/>
                <w:b/>
                <w:bCs w:val="0"/>
                <w:lang w:val="en-US" w:eastAsia="zh-CN"/>
              </w:rPr>
              <w:t>贵州省外生源</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b/>
                <w:bCs w:val="0"/>
              </w:rPr>
            </w:pPr>
            <w:r>
              <w:rPr>
                <w:rFonts w:hint="eastAsia"/>
                <w:b/>
                <w:bCs w:val="0"/>
                <w:lang w:val="en-US" w:eastAsia="zh-CN"/>
              </w:rPr>
              <w:t>165</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b/>
                <w:bCs w:val="0"/>
              </w:rPr>
            </w:pPr>
            <w:r>
              <w:rPr>
                <w:rFonts w:hint="eastAsia"/>
                <w:b/>
                <w:bCs w:val="0"/>
                <w:lang w:val="en-US" w:eastAsia="zh-CN"/>
              </w:rPr>
              <w:t>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湖南省</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41</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四川省</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36</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重庆市</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31</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河南省</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14</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江西省</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13</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广西壮族自治区</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11</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云南省</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9</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福建省</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8</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甘肃省</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1</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jc w:val="center"/>
              <w:rPr>
                <w:rFonts w:hint="eastAsia"/>
              </w:rPr>
            </w:pPr>
            <w:r>
              <w:rPr>
                <w:rFonts w:hint="eastAsia"/>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湖北省</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1</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jc w:val="center"/>
              <w:rPr>
                <w:rFonts w:hint="eastAsia"/>
              </w:rPr>
            </w:pPr>
            <w:r>
              <w:rPr>
                <w:rFonts w:hint="eastAsia"/>
                <w:lang w:val="en-US" w:eastAsia="zh-CN"/>
              </w:rPr>
              <w:t>0.05%</w:t>
            </w:r>
          </w:p>
        </w:tc>
      </w:tr>
    </w:tbl>
    <w:p>
      <w:pPr>
        <w:pStyle w:val="136"/>
        <w:bidi w:val="0"/>
        <w:rPr>
          <w:rFonts w:hint="eastAsia"/>
          <w:lang w:val="en-US" w:eastAsia="zh-Hans"/>
        </w:rPr>
      </w:pPr>
    </w:p>
    <w:p>
      <w:pPr>
        <w:pStyle w:val="113"/>
        <w:bidi w:val="0"/>
        <w:rPr>
          <w:rFonts w:hint="eastAsia"/>
        </w:rPr>
      </w:pPr>
      <w:r>
        <w:rPr>
          <w:rFonts w:hint="eastAsia"/>
          <w:b/>
          <w:bCs/>
          <w:color w:val="4F81BD" w:themeColor="accent1"/>
          <w:lang w:val="en-US" w:eastAsia="zh-Hans"/>
          <w14:textFill>
            <w14:solidFill>
              <w14:schemeClr w14:val="accent1"/>
            </w14:solidFill>
          </w14:textFill>
        </w:rPr>
        <w:t>困难生结构</w:t>
      </w:r>
      <w:r>
        <w:rPr>
          <w:rFonts w:hint="default"/>
          <w:b/>
          <w:bCs/>
          <w:color w:val="4F81BD" w:themeColor="accent1"/>
          <w:lang w:eastAsia="zh-Hans"/>
          <w14:textFill>
            <w14:solidFill>
              <w14:schemeClr w14:val="accent1"/>
            </w14:solidFill>
          </w14:textFill>
        </w:rPr>
        <w:t>：</w:t>
      </w:r>
      <w:r>
        <w:rPr>
          <w:rFonts w:hint="eastAsia"/>
          <w:lang w:val="en-US" w:eastAsia="zh-Hans"/>
        </w:rPr>
        <w:t>学校</w:t>
      </w:r>
      <w:r>
        <w:rPr>
          <w:rFonts w:hint="eastAsia"/>
        </w:rPr>
        <w:t>202</w:t>
      </w:r>
      <w:r>
        <w:rPr>
          <w:rFonts w:hint="default"/>
        </w:rPr>
        <w:t>1</w:t>
      </w:r>
      <w:r>
        <w:rPr>
          <w:rFonts w:hint="eastAsia"/>
        </w:rPr>
        <w:t>届毕业生中，非建档立卡贫困家庭毕业生共6</w:t>
      </w:r>
      <w:r>
        <w:t>50</w:t>
      </w:r>
      <w:r>
        <w:rPr>
          <w:rFonts w:hint="eastAsia"/>
        </w:rPr>
        <w:t>人，占毕业生总人数的3</w:t>
      </w:r>
      <w:r>
        <w:t>4.23</w:t>
      </w:r>
      <w:r>
        <w:rPr>
          <w:rFonts w:hint="eastAsia"/>
        </w:rPr>
        <w:t>%；建档立卡贫困家庭毕业生共1</w:t>
      </w:r>
      <w:r>
        <w:t>249</w:t>
      </w:r>
      <w:r>
        <w:rPr>
          <w:rFonts w:hint="eastAsia"/>
        </w:rPr>
        <w:t>人，占毕业生总人数的65.77%</w:t>
      </w:r>
    </w:p>
    <w:p>
      <w:pPr>
        <w:pStyle w:val="203"/>
        <w:spacing w:before="156" w:after="156"/>
      </w:pPr>
      <w:r>
        <w:drawing>
          <wp:inline distT="0" distB="0" distL="114300" distR="114300">
            <wp:extent cx="5269865" cy="2560320"/>
            <wp:effectExtent l="0" t="0" r="13335" b="508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203"/>
        <w:spacing w:before="156" w:after="156"/>
        <w:rPr>
          <w:rFonts w:hint="eastAsia"/>
          <w:lang w:val="en-US" w:eastAsia="zh-Hans"/>
        </w:rPr>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rPr>
          <w:rFonts w:hint="eastAsia"/>
        </w:rPr>
        <w:t>3</w:t>
      </w:r>
      <w:r>
        <w:fldChar w:fldCharType="end"/>
      </w:r>
      <w:r>
        <w:t xml:space="preserve">  2021届</w:t>
      </w:r>
      <w:r>
        <w:rPr>
          <w:rFonts w:hint="eastAsia"/>
          <w:lang w:val="en-US" w:eastAsia="zh-Hans"/>
        </w:rPr>
        <w:t>建档立卡贫困家庭/非建档立卡贫困家庭的毕业生结构</w:t>
      </w:r>
    </w:p>
    <w:p>
      <w:pPr>
        <w:pStyle w:val="136"/>
        <w:bidi w:val="0"/>
        <w:rPr>
          <w:rFonts w:hint="eastAsia"/>
        </w:rPr>
      </w:pPr>
      <w:r>
        <w:rPr>
          <w:rFonts w:hint="eastAsia"/>
          <w:b/>
          <w:bCs/>
          <w:color w:val="4F81BD" w:themeColor="accent1"/>
          <w:lang w:val="en-US" w:eastAsia="zh-Hans"/>
          <w14:textFill>
            <w14:solidFill>
              <w14:schemeClr w14:val="accent1"/>
            </w14:solidFill>
          </w14:textFill>
        </w:rPr>
        <w:t>民族结构</w:t>
      </w:r>
      <w:r>
        <w:rPr>
          <w:rFonts w:hint="default"/>
          <w:b/>
          <w:bCs/>
          <w:color w:val="4F81BD" w:themeColor="accent1"/>
          <w:lang w:eastAsia="zh-Hans"/>
          <w14:textFill>
            <w14:solidFill>
              <w14:schemeClr w14:val="accent1"/>
            </w14:solidFill>
          </w14:textFill>
        </w:rPr>
        <w:t>：</w:t>
      </w:r>
      <w:r>
        <w:rPr>
          <w:rFonts w:hint="eastAsia"/>
          <w:lang w:val="en-US" w:eastAsia="zh-Hans"/>
        </w:rPr>
        <w:t>学校</w:t>
      </w:r>
      <w:r>
        <w:rPr>
          <w:rFonts w:hint="eastAsia"/>
        </w:rPr>
        <w:t>202</w:t>
      </w:r>
      <w:r>
        <w:rPr>
          <w:rFonts w:hint="default"/>
        </w:rPr>
        <w:t>1</w:t>
      </w:r>
      <w:r>
        <w:rPr>
          <w:rFonts w:hint="eastAsia"/>
        </w:rPr>
        <w:t>届毕业生主要来自汉族（</w:t>
      </w:r>
      <w:r>
        <w:rPr>
          <w:rFonts w:hint="eastAsia"/>
          <w:lang w:val="en-US" w:eastAsia="zh-CN"/>
        </w:rPr>
        <w:t>31.54%</w:t>
      </w:r>
      <w:r>
        <w:rPr>
          <w:rFonts w:hint="eastAsia"/>
        </w:rPr>
        <w:t>）、土家族（</w:t>
      </w:r>
      <w:r>
        <w:rPr>
          <w:rFonts w:hint="eastAsia"/>
          <w:lang w:val="en-US" w:eastAsia="zh-CN"/>
        </w:rPr>
        <w:t>22.01%</w:t>
      </w:r>
      <w:r>
        <w:rPr>
          <w:rFonts w:hint="eastAsia"/>
        </w:rPr>
        <w:t>）、苗族（</w:t>
      </w:r>
      <w:r>
        <w:rPr>
          <w:rFonts w:hint="eastAsia"/>
          <w:lang w:val="en-US" w:eastAsia="zh-CN"/>
        </w:rPr>
        <w:t>21.01%</w:t>
      </w:r>
      <w:r>
        <w:rPr>
          <w:rFonts w:hint="eastAsia"/>
        </w:rPr>
        <w:t>）</w:t>
      </w:r>
      <w:r>
        <w:rPr>
          <w:rFonts w:hint="eastAsia"/>
          <w:lang w:val="en-US" w:eastAsia="zh-Hans"/>
        </w:rPr>
        <w:t>等</w:t>
      </w:r>
      <w:r>
        <w:rPr>
          <w:rFonts w:hint="eastAsia"/>
        </w:rPr>
        <w:t>。</w:t>
      </w:r>
    </w:p>
    <w:p>
      <w:pPr>
        <w:pStyle w:val="203"/>
        <w:spacing w:before="156" w:after="156"/>
        <w:rPr>
          <w:rFonts w:hint="eastAsia"/>
        </w:rPr>
      </w:pPr>
      <w:r>
        <w:rPr>
          <w:rFonts w:hint="eastAsia"/>
        </w:rPr>
        <w:t>表</w:t>
      </w:r>
      <w:r>
        <w:rPr>
          <w:rFonts w:eastAsia="宋体"/>
        </w:rPr>
        <w:t>1</w:t>
      </w:r>
      <w:r>
        <w:t xml:space="preserve">- </w:t>
      </w:r>
      <w:r>
        <w:fldChar w:fldCharType="begin"/>
      </w:r>
      <w:r>
        <w:instrText xml:space="preserve"> SEQ </w:instrText>
      </w:r>
      <w:r>
        <w:rPr>
          <w:rFonts w:hint="eastAsia"/>
        </w:rPr>
        <w:instrText xml:space="preserve">表</w:instrText>
      </w:r>
      <w:r>
        <w:instrText xml:space="preserve">1- \* ARABIC </w:instrText>
      </w:r>
      <w:r>
        <w:fldChar w:fldCharType="separate"/>
      </w:r>
      <w:r>
        <w:t>3</w:t>
      </w:r>
      <w:r>
        <w:fldChar w:fldCharType="end"/>
      </w:r>
      <w:r>
        <w:rPr>
          <w:rStyle w:val="37"/>
          <w:b/>
        </w:rPr>
        <w:t xml:space="preserve">  </w:t>
      </w:r>
      <w:r>
        <w:rPr>
          <w:rStyle w:val="37"/>
          <w:rFonts w:eastAsia="宋体"/>
          <w:b/>
        </w:rPr>
        <w:t>2021</w:t>
      </w:r>
      <w:r>
        <w:rPr>
          <w:rStyle w:val="37"/>
          <w:rFonts w:hint="eastAsia" w:ascii="黑体" w:hAnsi="黑体" w:eastAsia="黑体" w:cs="黑体"/>
          <w:b/>
        </w:rPr>
        <w:t>届毕业生</w:t>
      </w:r>
      <w:r>
        <w:rPr>
          <w:rStyle w:val="37"/>
          <w:rFonts w:hint="eastAsia" w:ascii="黑体" w:hAnsi="黑体" w:cs="黑体"/>
          <w:b/>
          <w:lang w:val="en-US" w:eastAsia="zh-Hans"/>
        </w:rPr>
        <w:t>民族</w:t>
      </w:r>
      <w:r>
        <w:rPr>
          <w:rStyle w:val="37"/>
          <w:rFonts w:hint="eastAsia"/>
          <w:b/>
        </w:rPr>
        <w:t>分布</w:t>
      </w:r>
    </w:p>
    <w:tbl>
      <w:tblPr>
        <w:tblStyle w:val="3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99"/>
        <w:gridCol w:w="2599"/>
        <w:gridCol w:w="3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rPr>
                <w:rFonts w:hint="eastAsia"/>
                <w:color w:val="FFFFFF"/>
                <w:lang w:val="en-US" w:eastAsia="zh-Hans"/>
              </w:rPr>
            </w:pPr>
            <w:r>
              <w:rPr>
                <w:rFonts w:hint="eastAsia"/>
                <w:color w:val="FFFFFF"/>
                <w:lang w:val="en-US" w:eastAsia="zh-Hans"/>
              </w:rPr>
              <w:t>民族</w:t>
            </w:r>
          </w:p>
        </w:tc>
        <w:tc>
          <w:tcPr>
            <w:tcW w:w="1474"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rPr>
                <w:rFonts w:hint="eastAsia"/>
                <w:color w:val="FFFFFF"/>
                <w:lang w:val="en-US" w:eastAsia="zh-Hans"/>
              </w:rPr>
            </w:pPr>
            <w:r>
              <w:rPr>
                <w:rFonts w:hint="eastAsia"/>
                <w:color w:val="FFFFFF"/>
                <w:lang w:val="en-US" w:eastAsia="zh-Hans"/>
              </w:rPr>
              <w:t>人数</w:t>
            </w:r>
          </w:p>
        </w:tc>
        <w:tc>
          <w:tcPr>
            <w:tcW w:w="2051"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rPr>
                <w:rFonts w:hint="eastAsia"/>
                <w:color w:val="FFFFFF"/>
                <w:lang w:val="en-US" w:eastAsia="zh-Hans"/>
              </w:rPr>
            </w:pPr>
            <w:r>
              <w:rPr>
                <w:rFonts w:hint="eastAsia"/>
                <w:color w:val="FFFFFF"/>
                <w:lang w:val="en-US" w:eastAsia="zh-Hans"/>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汉族</w:t>
            </w:r>
          </w:p>
        </w:tc>
        <w:tc>
          <w:tcPr>
            <w:tcW w:w="1474"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599</w:t>
            </w:r>
          </w:p>
        </w:tc>
        <w:tc>
          <w:tcPr>
            <w:tcW w:w="2051"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土家族</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418</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苗族</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399</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侗族</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188</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布依族</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105</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仡佬族</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62</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水族</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33</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彝族</w:t>
            </w:r>
          </w:p>
        </w:tc>
        <w:tc>
          <w:tcPr>
            <w:tcW w:w="147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30</w:t>
            </w:r>
          </w:p>
        </w:tc>
        <w:tc>
          <w:tcPr>
            <w:tcW w:w="20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其他民族</w:t>
            </w:r>
          </w:p>
        </w:tc>
        <w:tc>
          <w:tcPr>
            <w:tcW w:w="1474"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65</w:t>
            </w:r>
          </w:p>
        </w:tc>
        <w:tc>
          <w:tcPr>
            <w:tcW w:w="2051"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3.42%</w:t>
            </w:r>
          </w:p>
        </w:tc>
      </w:tr>
    </w:tbl>
    <w:p>
      <w:pPr>
        <w:pStyle w:val="132"/>
        <w:ind w:firstLine="360"/>
        <w:rPr>
          <w:rFonts w:hint="eastAsia"/>
        </w:rPr>
      </w:pPr>
    </w:p>
    <w:p>
      <w:pPr>
        <w:pStyle w:val="142"/>
        <w:rPr>
          <w:color w:val="4F81BD" w:themeColor="accent1"/>
          <w14:textFill>
            <w14:solidFill>
              <w14:schemeClr w14:val="accent1"/>
            </w14:solidFill>
          </w14:textFill>
        </w:rPr>
      </w:pPr>
      <w:bookmarkStart w:id="42" w:name="_Toc1002836414"/>
      <w:r>
        <w:rPr>
          <w:rFonts w:hint="eastAsia"/>
          <w:color w:val="4F81BD" w:themeColor="accent1"/>
          <w14:textFill>
            <w14:solidFill>
              <w14:schemeClr w14:val="accent1"/>
            </w14:solidFill>
          </w14:textFill>
        </w:rPr>
        <w:t>二、</w:t>
      </w:r>
      <w:r>
        <w:rPr>
          <w:rFonts w:hint="default"/>
          <w:color w:val="4F81BD" w:themeColor="accent1"/>
          <w14:textFill>
            <w14:solidFill>
              <w14:schemeClr w14:val="accent1"/>
            </w14:solidFill>
          </w14:textFill>
        </w:rPr>
        <w:t>毕业去向落实率</w:t>
      </w:r>
      <w:r>
        <w:rPr>
          <w:rFonts w:hint="eastAsia"/>
          <w:color w:val="4F81BD" w:themeColor="accent1"/>
          <w14:textFill>
            <w14:solidFill>
              <w14:schemeClr w14:val="accent1"/>
            </w14:solidFill>
          </w14:textFill>
        </w:rPr>
        <w:t>及</w:t>
      </w:r>
      <w:r>
        <w:rPr>
          <w:color w:val="4F81BD" w:themeColor="accent1"/>
          <w14:textFill>
            <w14:solidFill>
              <w14:schemeClr w14:val="accent1"/>
            </w14:solidFill>
          </w14:textFill>
        </w:rPr>
        <w:t>毕业去向</w:t>
      </w:r>
      <w:bookmarkEnd w:id="39"/>
      <w:bookmarkEnd w:id="42"/>
    </w:p>
    <w:p>
      <w:pPr>
        <w:pStyle w:val="199"/>
        <w:ind w:firstLine="480"/>
      </w:pPr>
      <w:r>
        <w:rPr>
          <w:rFonts w:hint="default"/>
        </w:rPr>
        <w:t>毕业去向落实率</w:t>
      </w:r>
      <w:r>
        <w:rPr>
          <w:rFonts w:hint="eastAsia"/>
        </w:rPr>
        <w:t>是反映大学生就业情况和社会对学校毕业生需求程度的重要指标和参考依据，根据教育部发布的《教育部办公厅关于进一步加强和完善高校毕业生就业状况统计报告工作的通知》，高校毕业生的</w:t>
      </w:r>
      <w:r>
        <w:rPr>
          <w:rFonts w:hint="default"/>
        </w:rPr>
        <w:t>毕业去向落实率</w:t>
      </w:r>
      <w:r>
        <w:rPr>
          <w:rFonts w:hint="eastAsia"/>
        </w:rPr>
        <w:t>的计算公式为：毕业生</w:t>
      </w:r>
      <w:r>
        <w:rPr>
          <w:rFonts w:hint="default"/>
        </w:rPr>
        <w:t>毕业去向落实率</w:t>
      </w:r>
      <w:r>
        <w:t>=</w:t>
      </w:r>
      <w:r>
        <w:rPr>
          <w:rFonts w:hint="eastAsia"/>
        </w:rPr>
        <w:t>（已就业毕业生人数</w:t>
      </w:r>
      <w:r>
        <w:rPr>
          <w:rFonts w:asciiTheme="minorEastAsia" w:hAnsiTheme="minorEastAsia" w:eastAsiaTheme="minorEastAsia"/>
        </w:rPr>
        <w:t>÷</w:t>
      </w:r>
      <w:r>
        <w:rPr>
          <w:rFonts w:hint="eastAsia"/>
        </w:rPr>
        <w:t>毕业生总人数）</w:t>
      </w:r>
      <w:r>
        <w:rPr>
          <w:rFonts w:asciiTheme="minorEastAsia" w:hAnsiTheme="minorEastAsia" w:eastAsiaTheme="minorEastAsia"/>
        </w:rPr>
        <w:t>×</w:t>
      </w:r>
      <w:r>
        <w:t>100.00%</w:t>
      </w:r>
      <w:r>
        <w:rPr>
          <w:rFonts w:hint="eastAsia"/>
        </w:rPr>
        <w:t>。</w:t>
      </w:r>
    </w:p>
    <w:p>
      <w:pPr>
        <w:pStyle w:val="152"/>
        <w:spacing w:before="156" w:after="156"/>
      </w:pPr>
      <w:bookmarkStart w:id="43" w:name="_Toc1219948442"/>
      <w:bookmarkStart w:id="44" w:name="_Toc487789870"/>
      <w:bookmarkStart w:id="45" w:name="_Toc487790051"/>
      <w:bookmarkStart w:id="46" w:name="_Toc520328894"/>
      <w:r>
        <w:rPr>
          <w:rFonts w:hint="eastAsia"/>
        </w:rPr>
        <w:t>（一）</w:t>
      </w:r>
      <w:r>
        <w:t>总体</w:t>
      </w:r>
      <w:r>
        <w:rPr>
          <w:rFonts w:hint="eastAsia"/>
        </w:rPr>
        <w:t>毕业去向落实率及</w:t>
      </w:r>
      <w:r>
        <w:t>毕业去向</w:t>
      </w:r>
      <w:bookmarkEnd w:id="43"/>
      <w:bookmarkEnd w:id="44"/>
      <w:bookmarkEnd w:id="45"/>
      <w:bookmarkEnd w:id="46"/>
    </w:p>
    <w:p>
      <w:pPr>
        <w:pStyle w:val="199"/>
        <w:ind w:firstLine="480"/>
        <w:rPr>
          <w:rStyle w:val="137"/>
        </w:rPr>
      </w:pPr>
      <w:r>
        <w:rPr>
          <w:rFonts w:hint="eastAsia"/>
        </w:rPr>
        <w:t>学校</w:t>
      </w:r>
      <w:r>
        <w:t>2021届毕业生</w:t>
      </w:r>
      <w:r>
        <w:rPr>
          <w:rFonts w:hint="eastAsia"/>
        </w:rPr>
        <w:t>毕业去向落实率为</w:t>
      </w:r>
      <w:r>
        <w:rPr>
          <w:color w:val="000000" w:themeColor="text1"/>
          <w14:textFill>
            <w14:solidFill>
              <w14:schemeClr w14:val="tx1"/>
            </w14:solidFill>
          </w14:textFill>
        </w:rPr>
        <w:t>92.79</w:t>
      </w:r>
      <w:r>
        <w:rPr>
          <w:rFonts w:hint="eastAsia"/>
          <w:color w:val="000000" w:themeColor="text1"/>
          <w14:textFill>
            <w14:solidFill>
              <w14:schemeClr w14:val="tx1"/>
            </w14:solidFill>
          </w14:textFill>
        </w:rPr>
        <w:t>%</w:t>
      </w:r>
      <w:r>
        <w:rPr>
          <w:rFonts w:hint="eastAsia"/>
        </w:rPr>
        <w:t>，基本实现充分就业。从具体毕业去向来看，</w:t>
      </w:r>
      <w:r>
        <w:rPr>
          <w:rStyle w:val="137"/>
          <w:rFonts w:hint="eastAsia"/>
          <w:lang w:eastAsia="zh-Hans"/>
        </w:rPr>
        <w:t>“</w:t>
      </w:r>
      <w:r>
        <w:rPr>
          <w:rStyle w:val="137"/>
        </w:rPr>
        <w:t>签劳动合同形式就业</w:t>
      </w:r>
      <w:bookmarkStart w:id="47" w:name="OLE_LINK1"/>
      <w:bookmarkEnd w:id="47"/>
      <w:r>
        <w:rPr>
          <w:rStyle w:val="137"/>
          <w:rFonts w:hint="eastAsia"/>
          <w:lang w:eastAsia="zh-Hans"/>
        </w:rPr>
        <w:t>”</w:t>
      </w:r>
      <w:r>
        <w:rPr>
          <w:rStyle w:val="137"/>
          <w:rFonts w:hint="eastAsia"/>
        </w:rPr>
        <w:t>为毕业生主要去向选择，占比为31.60%；</w:t>
      </w:r>
      <w:r>
        <w:rPr>
          <w:rStyle w:val="137"/>
          <w:rFonts w:hint="eastAsia"/>
          <w:lang w:eastAsia="zh-Hans"/>
        </w:rPr>
        <w:t>“</w:t>
      </w:r>
      <w:r>
        <w:rPr>
          <w:rStyle w:val="137"/>
          <w:rFonts w:hint="eastAsia"/>
        </w:rPr>
        <w:t>其他录用形式就业</w:t>
      </w:r>
      <w:r>
        <w:rPr>
          <w:rStyle w:val="137"/>
          <w:rFonts w:hint="eastAsia"/>
          <w:lang w:eastAsia="zh-Hans"/>
        </w:rPr>
        <w:t>”</w:t>
      </w:r>
      <w:r>
        <w:rPr>
          <w:rStyle w:val="137"/>
          <w:rFonts w:hint="eastAsia"/>
        </w:rPr>
        <w:t>次之，占比为31.38%。</w:t>
      </w:r>
    </w:p>
    <w:p>
      <w:pPr>
        <w:pStyle w:val="203"/>
        <w:spacing w:before="156" w:after="156"/>
        <w:rPr>
          <w:rStyle w:val="37"/>
          <w:b/>
        </w:rPr>
      </w:pPr>
      <w:bookmarkStart w:id="48" w:name="_Toc42074227"/>
      <w:bookmarkStart w:id="49" w:name="_Toc55919980"/>
      <w:r>
        <w:rPr>
          <w:rFonts w:hint="eastAsia"/>
        </w:rPr>
        <w:t>表</w:t>
      </w:r>
      <w:r>
        <w:rPr>
          <w:rFonts w:eastAsia="宋体"/>
        </w:rPr>
        <w:t>1</w:t>
      </w:r>
      <w:r>
        <w:t xml:space="preserve">- </w:t>
      </w:r>
      <w:r>
        <w:fldChar w:fldCharType="begin"/>
      </w:r>
      <w:r>
        <w:instrText xml:space="preserve"> SEQ </w:instrText>
      </w:r>
      <w:r>
        <w:rPr>
          <w:rFonts w:hint="eastAsia"/>
        </w:rPr>
        <w:instrText xml:space="preserve">表</w:instrText>
      </w:r>
      <w:r>
        <w:instrText xml:space="preserve">1- \* ARABIC </w:instrText>
      </w:r>
      <w:r>
        <w:fldChar w:fldCharType="separate"/>
      </w:r>
      <w:r>
        <w:t>4</w:t>
      </w:r>
      <w:r>
        <w:fldChar w:fldCharType="end"/>
      </w:r>
      <w:r>
        <w:rPr>
          <w:rStyle w:val="37"/>
          <w:b/>
        </w:rPr>
        <w:t xml:space="preserve">  </w:t>
      </w:r>
      <w:r>
        <w:rPr>
          <w:rStyle w:val="37"/>
          <w:rFonts w:eastAsia="宋体"/>
          <w:b/>
        </w:rPr>
        <w:t>2021</w:t>
      </w:r>
      <w:r>
        <w:rPr>
          <w:rStyle w:val="37"/>
          <w:rFonts w:hint="eastAsia" w:ascii="黑体" w:hAnsi="黑体" w:eastAsia="黑体" w:cs="黑体"/>
          <w:b/>
        </w:rPr>
        <w:t>届毕业生</w:t>
      </w:r>
      <w:r>
        <w:rPr>
          <w:rStyle w:val="37"/>
          <w:rFonts w:hint="eastAsia"/>
          <w:b/>
        </w:rPr>
        <w:t>毕业去向分布</w:t>
      </w:r>
      <w:bookmarkEnd w:id="48"/>
      <w:bookmarkEnd w:id="49"/>
    </w:p>
    <w:tbl>
      <w:tblPr>
        <w:tblStyle w:val="212"/>
        <w:tblW w:w="9018" w:type="dxa"/>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4246"/>
        <w:gridCol w:w="1286"/>
        <w:gridCol w:w="1743"/>
        <w:gridCol w:w="1743"/>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blHeader/>
        </w:trPr>
        <w:tc>
          <w:tcPr>
            <w:tcW w:w="4246"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jc w:val="center"/>
              <w:rPr>
                <w:color w:val="FFFFFF"/>
              </w:rPr>
            </w:pPr>
            <w:r>
              <w:rPr>
                <w:rFonts w:hint="eastAsia"/>
                <w:color w:val="FFFFFF"/>
              </w:rPr>
              <w:t>毕业去向</w:t>
            </w:r>
          </w:p>
        </w:tc>
        <w:tc>
          <w:tcPr>
            <w:tcW w:w="1286"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jc w:val="center"/>
              <w:rPr>
                <w:color w:val="FFFFFF"/>
              </w:rPr>
            </w:pPr>
            <w:r>
              <w:rPr>
                <w:rFonts w:hint="eastAsia"/>
                <w:color w:val="FFFFFF"/>
              </w:rPr>
              <w:t>人数</w:t>
            </w:r>
          </w:p>
        </w:tc>
        <w:tc>
          <w:tcPr>
            <w:tcW w:w="1743"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jc w:val="center"/>
              <w:rPr>
                <w:color w:val="FFFFFF"/>
              </w:rPr>
            </w:pPr>
            <w:r>
              <w:rPr>
                <w:rFonts w:hint="eastAsia"/>
                <w:color w:val="FFFFFF"/>
              </w:rPr>
              <w:t>比例</w:t>
            </w:r>
          </w:p>
        </w:tc>
        <w:tc>
          <w:tcPr>
            <w:tcW w:w="1743"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jc w:val="center"/>
              <w:rPr>
                <w:rFonts w:hint="eastAsia"/>
                <w:color w:val="FFFFFF"/>
                <w:lang w:val="en-US" w:eastAsia="zh-Hans"/>
              </w:rPr>
            </w:pPr>
            <w:r>
              <w:rPr>
                <w:rFonts w:hint="eastAsia"/>
                <w:color w:val="FFFFFF"/>
                <w:lang w:val="en-US" w:eastAsia="zh-Hans"/>
              </w:rPr>
              <w:t>毕业去向落实率</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98" w:hRule="atLeast"/>
        </w:trPr>
        <w:tc>
          <w:tcPr>
            <w:tcW w:w="4246"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签劳动合同形式就业</w:t>
            </w:r>
          </w:p>
        </w:tc>
        <w:tc>
          <w:tcPr>
            <w:tcW w:w="1286"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600</w:t>
            </w:r>
          </w:p>
        </w:tc>
        <w:tc>
          <w:tcPr>
            <w:tcW w:w="1743"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31.60%</w:t>
            </w:r>
          </w:p>
        </w:tc>
        <w:tc>
          <w:tcPr>
            <w:tcW w:w="1743" w:type="dxa"/>
            <w:vMerge w:val="restar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default"/>
              </w:rPr>
              <w:t>92.79%</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其他录用形式就业</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596</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31.38%</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签就业协议形式就业</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300</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15.80%</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研究生</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131</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6.90%</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西部计划</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31</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1.63%</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科研助理、管理助理</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29</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1.53%</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应征义务兵</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22</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1.16%</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地方特岗教师</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21</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1.11%</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国家特岗教师</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12</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0.63%</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rPr>
            </w:pPr>
            <w:r>
              <w:rPr>
                <w:rFonts w:hint="eastAsia"/>
                <w:lang w:val="en-US" w:eastAsia="zh-CN"/>
              </w:rPr>
              <w:t>自主创业</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10</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0.53%</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rPr>
            </w:pPr>
            <w:r>
              <w:rPr>
                <w:rFonts w:hint="eastAsia"/>
                <w:lang w:val="en-US" w:eastAsia="zh-CN"/>
              </w:rPr>
              <w:t>三支一扶</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4</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0.21%</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rPr>
            </w:pPr>
            <w:r>
              <w:rPr>
                <w:rFonts w:hint="eastAsia"/>
                <w:lang w:val="en-US" w:eastAsia="zh-CN"/>
              </w:rPr>
              <w:t>乡村教师</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2</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0.11%</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rPr>
            </w:pPr>
            <w:r>
              <w:rPr>
                <w:rFonts w:hint="eastAsia"/>
                <w:lang w:val="en-US" w:eastAsia="zh-CN"/>
              </w:rPr>
              <w:t>选调生</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2</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r>
              <w:rPr>
                <w:rFonts w:hint="eastAsia"/>
                <w:lang w:val="en-US" w:eastAsia="zh-CN"/>
              </w:rPr>
              <w:t>0.11%</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rPr>
            </w:pPr>
            <w:r>
              <w:rPr>
                <w:rFonts w:hint="eastAsia"/>
                <w:lang w:val="en-US" w:eastAsia="zh-CN"/>
              </w:rPr>
              <w:t>出国、出境</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1</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rPr>
                <w:rFonts w:hint="eastAsia"/>
                <w:lang w:val="en-US" w:eastAsia="zh-CN"/>
              </w:rPr>
              <w:t>0.05%</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自由职业</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1</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0.05%</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求职中</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102</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0.21%</w:t>
            </w:r>
          </w:p>
        </w:tc>
        <w:tc>
          <w:tcPr>
            <w:tcW w:w="1743" w:type="dxa"/>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r>
              <w: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不就业拟升学</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10</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5.37%</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拟参加公招考试</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10</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0.53%</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暂不就业</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9</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0.53%</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签约中</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4</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0.47%</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5" w:hRule="atLeast"/>
        </w:trPr>
        <w:tc>
          <w:tcPr>
            <w:tcW w:w="424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拟创业</w:t>
            </w:r>
          </w:p>
        </w:tc>
        <w:tc>
          <w:tcPr>
            <w:tcW w:w="1286"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1</w:t>
            </w:r>
          </w:p>
        </w:tc>
        <w:tc>
          <w:tcPr>
            <w:tcW w:w="17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rPr>
                <w:rFonts w:hint="eastAsia"/>
                <w:lang w:val="en-US" w:eastAsia="zh-CN"/>
              </w:rPr>
            </w:pPr>
            <w:r>
              <w:rPr>
                <w:rFonts w:hint="eastAsia"/>
                <w:lang w:val="en-US" w:eastAsia="zh-CN"/>
              </w:rPr>
              <w:t>0.05%</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jc w:val="center"/>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19" w:hRule="atLeast"/>
        </w:trPr>
        <w:tc>
          <w:tcPr>
            <w:tcW w:w="424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拟应征入伍</w:t>
            </w:r>
          </w:p>
        </w:tc>
        <w:tc>
          <w:tcPr>
            <w:tcW w:w="128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1</w:t>
            </w:r>
          </w:p>
        </w:tc>
        <w:tc>
          <w:tcPr>
            <w:tcW w:w="17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rPr>
                <w:rFonts w:hint="eastAsia"/>
                <w:lang w:val="en-US" w:eastAsia="zh-CN"/>
              </w:rPr>
            </w:pPr>
            <w:r>
              <w:rPr>
                <w:rFonts w:hint="eastAsia"/>
                <w:lang w:val="en-US" w:eastAsia="zh-CN"/>
              </w:rPr>
              <w:t>0.05%</w:t>
            </w:r>
          </w:p>
        </w:tc>
        <w:tc>
          <w:tcPr>
            <w:tcW w:w="174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jc w:val="center"/>
            </w:pPr>
          </w:p>
        </w:tc>
      </w:tr>
    </w:tbl>
    <w:p>
      <w:pPr>
        <w:pStyle w:val="132"/>
        <w:ind w:firstLine="360"/>
        <w:jc w:val="both"/>
      </w:pPr>
      <w:r>
        <w:rPr>
          <w:rFonts w:hint="eastAsia"/>
        </w:rPr>
        <w:t>注</w:t>
      </w:r>
      <w:r>
        <w:t>：毕业去向落实率=</w:t>
      </w:r>
      <w:r>
        <w:rPr>
          <w:rFonts w:hint="eastAsia"/>
        </w:rPr>
        <w:t>（</w:t>
      </w:r>
      <w:r>
        <w:t>1-</w:t>
      </w:r>
      <w:r>
        <w:rPr>
          <w:rFonts w:hint="eastAsia"/>
        </w:rPr>
        <w:t>未就业人数</w:t>
      </w:r>
      <w:r>
        <w:t>÷</w:t>
      </w:r>
      <w:r>
        <w:rPr>
          <w:rFonts w:hint="eastAsia"/>
        </w:rPr>
        <w:t>毕业生</w:t>
      </w:r>
      <w:r>
        <w:t>总人数</w:t>
      </w:r>
      <w:r>
        <w:rPr>
          <w:rFonts w:hint="eastAsia"/>
        </w:rPr>
        <w:t>）</w:t>
      </w:r>
      <w:r>
        <w:t>×100.00%</w:t>
      </w:r>
      <w:r>
        <w:rPr>
          <w:rFonts w:hint="eastAsia"/>
        </w:rPr>
        <w:t>。</w:t>
      </w:r>
    </w:p>
    <w:p>
      <w:pPr>
        <w:pStyle w:val="152"/>
        <w:spacing w:before="156" w:after="156"/>
      </w:pPr>
      <w:bookmarkStart w:id="50" w:name="_Toc487789871"/>
      <w:bookmarkStart w:id="51" w:name="_Toc520328895"/>
      <w:bookmarkStart w:id="52" w:name="_Toc427050508"/>
      <w:bookmarkStart w:id="53" w:name="_Toc487790052"/>
      <w:bookmarkStart w:id="54" w:name="_Toc42074244"/>
      <w:bookmarkStart w:id="55" w:name="_Toc1647086785"/>
      <w:r>
        <w:rPr>
          <w:rFonts w:hint="eastAsia"/>
        </w:rPr>
        <w:t>（二</w:t>
      </w:r>
      <w:r>
        <w:t>）</w:t>
      </w:r>
      <w:r>
        <w:rPr>
          <w:rFonts w:hint="eastAsia"/>
        </w:rPr>
        <w:t>各</w:t>
      </w:r>
      <w:r>
        <w:rPr>
          <w:rFonts w:hint="eastAsia"/>
          <w:lang w:val="en-US" w:eastAsia="zh-Hans"/>
        </w:rPr>
        <w:t>学院</w:t>
      </w:r>
      <w:r>
        <w:rPr>
          <w:rFonts w:hint="eastAsia"/>
        </w:rPr>
        <w:t>/专业</w:t>
      </w:r>
      <w:r>
        <w:t>的</w:t>
      </w:r>
      <w:bookmarkEnd w:id="50"/>
      <w:bookmarkEnd w:id="51"/>
      <w:bookmarkEnd w:id="52"/>
      <w:bookmarkEnd w:id="53"/>
      <w:bookmarkEnd w:id="54"/>
      <w:r>
        <w:t>毕业去向落实率</w:t>
      </w:r>
      <w:bookmarkEnd w:id="55"/>
    </w:p>
    <w:p>
      <w:pPr>
        <w:pStyle w:val="199"/>
        <w:ind w:firstLine="480"/>
      </w:pPr>
      <w:r>
        <w:rPr>
          <w:rFonts w:hint="eastAsia"/>
          <w:lang w:val="en-US" w:eastAsia="zh-Hans"/>
        </w:rPr>
        <w:t>学校</w:t>
      </w:r>
      <w:r>
        <w:t>2021届毕业生分布在</w:t>
      </w:r>
      <w:r>
        <w:rPr>
          <w:color w:val="000000" w:themeColor="text1"/>
          <w14:textFill>
            <w14:solidFill>
              <w14:schemeClr w14:val="tx1"/>
            </w14:solidFill>
          </w14:textFill>
        </w:rPr>
        <w:t>10</w:t>
      </w:r>
      <w:r>
        <w:rPr>
          <w:rFonts w:hint="eastAsia"/>
        </w:rPr>
        <w:t>个</w:t>
      </w:r>
      <w:r>
        <w:rPr>
          <w:rFonts w:hint="default"/>
          <w:lang w:eastAsia="zh-Hans"/>
        </w:rPr>
        <w:t>学院</w:t>
      </w:r>
      <w:r>
        <w:rPr>
          <w:rFonts w:hint="default"/>
        </w:rPr>
        <w:t>，毕业去向落实率</w:t>
      </w:r>
      <w:r>
        <w:rPr>
          <w:rFonts w:hint="eastAsia"/>
        </w:rPr>
        <w:t>相对较高的</w:t>
      </w:r>
      <w:r>
        <w:rPr>
          <w:rFonts w:hint="eastAsia"/>
          <w:lang w:val="en-US" w:eastAsia="zh-Hans"/>
        </w:rPr>
        <w:t>学院</w:t>
      </w:r>
      <w:r>
        <w:rPr>
          <w:rFonts w:hint="eastAsia"/>
        </w:rPr>
        <w:t>是</w:t>
      </w:r>
      <w:r>
        <w:rPr>
          <w:rFonts w:hint="eastAsia"/>
          <w:lang w:eastAsia="zh-Hans"/>
        </w:rPr>
        <w:t>教育学院</w:t>
      </w:r>
      <w:r>
        <w:t>，</w:t>
      </w:r>
      <w:r>
        <w:rPr>
          <w:rFonts w:hint="default"/>
          <w:lang w:eastAsia="zh-Hans"/>
        </w:rPr>
        <w:t>毕业去向落实率</w:t>
      </w:r>
      <w:r>
        <w:rPr>
          <w:rFonts w:hint="eastAsia"/>
          <w:lang w:eastAsia="zh-Hans"/>
        </w:rPr>
        <w:t>达到了96.17%</w:t>
      </w:r>
      <w:r>
        <w:rPr>
          <w:rFonts w:hint="eastAsia"/>
        </w:rPr>
        <w:t>。</w:t>
      </w:r>
    </w:p>
    <w:p>
      <w:pPr>
        <w:pStyle w:val="136"/>
        <w:ind w:firstLine="480"/>
        <w:jc w:val="center"/>
      </w:pPr>
      <w:r>
        <w:drawing>
          <wp:inline distT="0" distB="0" distL="0" distR="0">
            <wp:extent cx="5857875" cy="4095115"/>
            <wp:effectExtent l="0" t="0" r="9525" b="19685"/>
            <wp:docPr id="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203"/>
        <w:spacing w:before="156" w:after="156"/>
      </w:pPr>
      <w:bookmarkStart w:id="56" w:name="_Toc42074228"/>
      <w:bookmarkStart w:id="57" w:name="_Toc55919981"/>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rPr>
          <w:rFonts w:hint="eastAsia"/>
        </w:rPr>
        <w:t>4</w:t>
      </w:r>
      <w:r>
        <w:fldChar w:fldCharType="end"/>
      </w:r>
      <w:r>
        <w:t xml:space="preserve">  2021届</w:t>
      </w:r>
      <w:r>
        <w:rPr>
          <w:rFonts w:hint="eastAsia"/>
        </w:rPr>
        <w:t>各</w:t>
      </w:r>
      <w:r>
        <w:rPr>
          <w:rFonts w:hint="eastAsia"/>
          <w:lang w:val="en-US" w:eastAsia="zh-Hans"/>
        </w:rPr>
        <w:t>学院</w:t>
      </w:r>
      <w:r>
        <w:rPr>
          <w:rFonts w:hint="eastAsia"/>
        </w:rPr>
        <w:t>毕业生</w:t>
      </w:r>
      <w:bookmarkEnd w:id="56"/>
      <w:bookmarkEnd w:id="57"/>
      <w:r>
        <w:rPr>
          <w:rFonts w:hint="default"/>
        </w:rPr>
        <w:t>毕业去向落实率</w:t>
      </w:r>
    </w:p>
    <w:p>
      <w:pPr>
        <w:pStyle w:val="199"/>
        <w:ind w:firstLine="480"/>
      </w:pPr>
      <w:r>
        <w:rPr>
          <w:rFonts w:hint="eastAsia"/>
        </w:rPr>
        <w:t>学校</w:t>
      </w:r>
      <w:r>
        <w:t>2021届毕业生分布在43</w:t>
      </w:r>
      <w:r>
        <w:rPr>
          <w:rFonts w:hint="eastAsia"/>
        </w:rPr>
        <w:t>个</w:t>
      </w:r>
      <w:r>
        <w:t>专业</w:t>
      </w:r>
      <w:r>
        <w:rPr>
          <w:rFonts w:hint="default"/>
        </w:rPr>
        <w:t>，</w:t>
      </w:r>
      <w:r>
        <w:rPr>
          <w:rFonts w:hint="eastAsia"/>
          <w:lang w:val="en-US" w:eastAsia="zh-Hans"/>
        </w:rPr>
        <w:t>材料物理</w:t>
      </w:r>
      <w:r>
        <w:rPr>
          <w:rFonts w:hint="default"/>
          <w:lang w:eastAsia="zh-Hans"/>
        </w:rPr>
        <w:t>、</w:t>
      </w:r>
      <w:r>
        <w:rPr>
          <w:rFonts w:hint="eastAsia"/>
          <w:lang w:val="en-US" w:eastAsia="zh-Hans"/>
        </w:rPr>
        <w:t>视觉传达设计</w:t>
      </w:r>
      <w:r>
        <w:rPr>
          <w:rFonts w:hint="default"/>
          <w:lang w:eastAsia="zh-Hans"/>
        </w:rPr>
        <w:t>、</w:t>
      </w:r>
      <w:r>
        <w:rPr>
          <w:rFonts w:hint="eastAsia"/>
          <w:lang w:val="en-US" w:eastAsia="zh-Hans"/>
        </w:rPr>
        <w:t>特殊教育</w:t>
      </w:r>
      <w:r>
        <w:rPr>
          <w:rFonts w:hint="default"/>
        </w:rPr>
        <w:t>3</w:t>
      </w:r>
      <w:r>
        <w:rPr>
          <w:rFonts w:hint="eastAsia"/>
          <w:highlight w:val="none"/>
        </w:rPr>
        <w:t>个专业</w:t>
      </w:r>
      <w:r>
        <w:rPr>
          <w:rFonts w:hint="default"/>
          <w:color w:val="000000" w:themeColor="text1"/>
          <w14:textFill>
            <w14:solidFill>
              <w14:schemeClr w14:val="tx1"/>
            </w14:solidFill>
          </w14:textFill>
        </w:rPr>
        <w:t>毕业去向落实率</w:t>
      </w:r>
      <w:r>
        <w:rPr>
          <w:rFonts w:hint="eastAsia"/>
          <w:color w:val="000000" w:themeColor="text1"/>
          <w14:textFill>
            <w14:solidFill>
              <w14:schemeClr w14:val="tx1"/>
            </w14:solidFill>
          </w14:textFill>
        </w:rPr>
        <w:t>相对较高，均达到100.00%</w:t>
      </w:r>
      <w:r>
        <w:t>。</w:t>
      </w:r>
      <w:bookmarkStart w:id="186" w:name="_GoBack"/>
      <w:bookmarkEnd w:id="186"/>
    </w:p>
    <w:p>
      <w:pPr>
        <w:pStyle w:val="203"/>
        <w:bidi w:val="0"/>
      </w:pPr>
      <w:bookmarkStart w:id="58" w:name="_Toc42074229"/>
      <w:bookmarkStart w:id="59" w:name="_Toc55919982"/>
      <w:r>
        <w:rPr>
          <w:rFonts w:hint="eastAsia"/>
        </w:rPr>
        <w:t xml:space="preserve">表1- </w:t>
      </w:r>
      <w:r>
        <w:fldChar w:fldCharType="begin"/>
      </w:r>
      <w:r>
        <w:instrText xml:space="preserve"> </w:instrText>
      </w:r>
      <w:r>
        <w:rPr>
          <w:rFonts w:hint="eastAsia"/>
        </w:rPr>
        <w:instrText xml:space="preserve">SEQ 表1- \* ARABIC</w:instrText>
      </w:r>
      <w:r>
        <w:instrText xml:space="preserve"> </w:instrText>
      </w:r>
      <w:r>
        <w:fldChar w:fldCharType="separate"/>
      </w:r>
      <w:r>
        <w:rPr>
          <w:rFonts w:hint="eastAsia"/>
        </w:rPr>
        <w:t>5</w:t>
      </w:r>
      <w:r>
        <w:fldChar w:fldCharType="end"/>
      </w:r>
      <w:r>
        <w:t xml:space="preserve">  2021届</w:t>
      </w:r>
      <w:r>
        <w:rPr>
          <w:rFonts w:hint="eastAsia"/>
        </w:rPr>
        <w:t>各专业毕业生</w:t>
      </w:r>
      <w:bookmarkEnd w:id="58"/>
      <w:bookmarkEnd w:id="59"/>
      <w:r>
        <w:rPr>
          <w:rFonts w:hint="default"/>
        </w:rPr>
        <w:t>毕业去向落实率</w:t>
      </w:r>
    </w:p>
    <w:tbl>
      <w:tblPr>
        <w:tblStyle w:val="3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07"/>
        <w:gridCol w:w="2007"/>
        <w:gridCol w:w="2007"/>
        <w:gridCol w:w="27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FFFFFF" w:sz="0" w:space="0"/>
              <w:right w:val="single" w:color="4BACC6" w:sz="8" w:space="0"/>
            </w:tcBorders>
            <w:shd w:val="clear" w:color="DDEBF7" w:fill="4BACC6"/>
            <w:vAlign w:val="center"/>
          </w:tcPr>
          <w:p>
            <w:pPr>
              <w:pStyle w:val="117"/>
              <w:bidi w:val="0"/>
              <w:rPr>
                <w:rFonts w:hint="eastAsia"/>
                <w:color w:val="FFFFFF"/>
              </w:rPr>
            </w:pPr>
            <w:r>
              <w:rPr>
                <w:rFonts w:hint="eastAsia"/>
                <w:color w:val="FFFFFF"/>
                <w:lang w:val="en-US" w:eastAsia="zh-CN"/>
              </w:rPr>
              <w:t>专业</w:t>
            </w:r>
          </w:p>
        </w:tc>
        <w:tc>
          <w:tcPr>
            <w:tcW w:w="1138" w:type="pct"/>
            <w:tcBorders>
              <w:top w:val="single" w:color="4BACC6" w:sz="8" w:space="0"/>
              <w:left w:val="single" w:color="4BACC6" w:sz="8" w:space="0"/>
              <w:bottom w:val="single" w:color="FFFFFF" w:sz="0" w:space="0"/>
              <w:right w:val="single" w:color="4BACC6" w:sz="8" w:space="0"/>
            </w:tcBorders>
            <w:shd w:val="clear" w:color="DDEBF7" w:fill="4BACC6"/>
            <w:vAlign w:val="center"/>
          </w:tcPr>
          <w:p>
            <w:pPr>
              <w:pStyle w:val="117"/>
              <w:bidi w:val="0"/>
              <w:rPr>
                <w:rFonts w:hint="eastAsia"/>
                <w:color w:val="FFFFFF"/>
                <w:lang w:eastAsia="zh-Hans"/>
              </w:rPr>
            </w:pPr>
            <w:r>
              <w:rPr>
                <w:rFonts w:hint="eastAsia"/>
                <w:color w:val="FFFFFF"/>
                <w:lang w:val="en-US" w:eastAsia="zh-CN"/>
              </w:rPr>
              <w:t>就业</w:t>
            </w:r>
            <w:r>
              <w:rPr>
                <w:rFonts w:hint="eastAsia"/>
                <w:color w:val="FFFFFF"/>
                <w:lang w:val="en-US" w:eastAsia="zh-Hans"/>
              </w:rPr>
              <w:t>人数</w:t>
            </w:r>
          </w:p>
        </w:tc>
        <w:tc>
          <w:tcPr>
            <w:tcW w:w="1138"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rPr>
                <w:rFonts w:hint="eastAsia"/>
                <w:color w:val="FFFFFF"/>
                <w:lang w:val="en-US" w:eastAsia="zh-Hans"/>
              </w:rPr>
            </w:pPr>
            <w:r>
              <w:rPr>
                <w:rFonts w:hint="eastAsia"/>
                <w:color w:val="FFFFFF"/>
                <w:lang w:val="en-US" w:eastAsia="zh-CN"/>
              </w:rPr>
              <w:t>专业</w:t>
            </w:r>
            <w:r>
              <w:rPr>
                <w:rFonts w:hint="eastAsia"/>
                <w:color w:val="FFFFFF"/>
                <w:lang w:val="en-US" w:eastAsia="zh-Hans"/>
              </w:rPr>
              <w:t>人数</w:t>
            </w:r>
          </w:p>
        </w:tc>
        <w:tc>
          <w:tcPr>
            <w:tcW w:w="1585"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rPr>
                <w:rFonts w:hint="eastAsia"/>
                <w:color w:val="FFFFFF"/>
              </w:rPr>
            </w:pPr>
            <w:r>
              <w:rPr>
                <w:rFonts w:hint="eastAsia"/>
                <w:color w:val="FFFFFF"/>
                <w:lang w:val="en-US" w:eastAsia="zh-CN"/>
              </w:rPr>
              <w:t>就业</w:t>
            </w:r>
            <w:r>
              <w:rPr>
                <w:rFonts w:hint="eastAsia"/>
                <w:color w:val="FFFFFF"/>
                <w:lang w:val="en-US" w:eastAsia="zh-Hans"/>
              </w:rPr>
              <w:t>去向落实率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材料物理</w:t>
            </w:r>
          </w:p>
        </w:tc>
        <w:tc>
          <w:tcPr>
            <w:tcW w:w="1138"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w:t>
            </w:r>
          </w:p>
        </w:tc>
        <w:tc>
          <w:tcPr>
            <w:tcW w:w="1138"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w:t>
            </w:r>
          </w:p>
        </w:tc>
        <w:tc>
          <w:tcPr>
            <w:tcW w:w="1585" w:type="pc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视觉传达设计</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54</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54</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特殊教育</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28</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28</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小学教育</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85</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87</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97.70%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休闲体育</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37</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38</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地理科学</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30</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31</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计算机科学与技术</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58</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60</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农村区域发展</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26</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27</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金融工程</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74</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77</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信息工程</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46</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48</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旅游管理类</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43</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45</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水利水电工程</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40</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42</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音乐学</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58</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61</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学前教育</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113</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120</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秘书学</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48</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51</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园林</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43</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46</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风景园林</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42</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45</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历史学</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42</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45</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思想政治教育</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55</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59</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自动化</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27</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29</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汉语言文学</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91</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98</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林学</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39</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42</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统计学</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26</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28</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土木工程</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26</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28</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食品科学与工程</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38</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41</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软件工程</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25</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27</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商务英语</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24</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26</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社会工作</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24</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26</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护理学</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35</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38</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材料科学与工程</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46</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50</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教育技术学</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23</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25</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体育教育</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45</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49</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网络与新媒体</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33</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36</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美术学</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42</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46</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应用物理学</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21</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23</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数学与应用数学</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41</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45</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城乡规划</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29</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32</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90.63%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制药工程</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36</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40</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英语</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65</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76</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85.53%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化学工程与工艺</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35</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41</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85.37%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物理学</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28</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33</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84.85%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旅游管理</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12</w:t>
            </w:r>
          </w:p>
        </w:tc>
        <w:tc>
          <w:tcPr>
            <w:tcW w:w="113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15</w:t>
            </w:r>
          </w:p>
        </w:tc>
        <w:tc>
          <w:tcPr>
            <w:tcW w:w="15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rPr>
                <w:rFonts w:hint="eastAsia"/>
              </w:rPr>
            </w:pPr>
            <w:r>
              <w:rPr>
                <w:rFonts w:hint="eastAsia"/>
                <w:lang w:val="en-US" w:eastAsia="zh-CN"/>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化学</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28</w:t>
            </w:r>
          </w:p>
        </w:tc>
        <w:tc>
          <w:tcPr>
            <w:tcW w:w="113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40</w:t>
            </w:r>
          </w:p>
        </w:tc>
        <w:tc>
          <w:tcPr>
            <w:tcW w:w="1585"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rPr>
                <w:rFonts w:hint="eastAsia"/>
              </w:rPr>
            </w:pPr>
            <w:r>
              <w:rPr>
                <w:rFonts w:hint="eastAsia"/>
                <w:lang w:val="en-US" w:eastAsia="zh-CN"/>
              </w:rPr>
              <w:t>70.00%</w:t>
            </w:r>
          </w:p>
        </w:tc>
      </w:tr>
      <w:bookmarkEnd w:id="40"/>
      <w:bookmarkEnd w:id="41"/>
    </w:tbl>
    <w:p>
      <w:pPr>
        <w:pStyle w:val="152"/>
        <w:spacing w:before="156" w:after="156"/>
        <w:rPr>
          <w:rFonts w:hint="eastAsia"/>
        </w:rPr>
      </w:pPr>
      <w:bookmarkStart w:id="60" w:name="_Toc1523385665"/>
      <w:bookmarkStart w:id="61" w:name="_Toc487790054"/>
      <w:bookmarkStart w:id="62" w:name="_Toc520328897"/>
      <w:bookmarkStart w:id="63" w:name="_Toc487789873"/>
      <w:r>
        <w:rPr>
          <w:rFonts w:hint="eastAsia"/>
        </w:rPr>
        <w:t>（</w:t>
      </w:r>
      <w:r>
        <w:rPr>
          <w:rFonts w:hint="eastAsia"/>
          <w:lang w:val="en-US" w:eastAsia="zh-Hans"/>
        </w:rPr>
        <w:t>三</w:t>
      </w:r>
      <w:r>
        <w:t>）</w:t>
      </w:r>
      <w:r>
        <w:rPr>
          <w:rFonts w:hint="eastAsia"/>
          <w:lang w:val="en-US" w:eastAsia="zh-Hans"/>
        </w:rPr>
        <w:t>不同类别毕业生</w:t>
      </w:r>
      <w:r>
        <w:t>毕业去向落实率</w:t>
      </w:r>
      <w:bookmarkEnd w:id="60"/>
    </w:p>
    <w:p>
      <w:pPr>
        <w:pStyle w:val="199"/>
        <w:ind w:firstLine="480"/>
      </w:pPr>
      <w:r>
        <w:rPr>
          <w:rFonts w:hint="eastAsia"/>
        </w:rPr>
        <w:t>学校</w:t>
      </w:r>
      <w:r>
        <w:t>2021届</w:t>
      </w:r>
      <w:r>
        <w:rPr>
          <w:rFonts w:hint="eastAsia"/>
          <w:lang w:val="en-US" w:eastAsia="zh-Hans"/>
        </w:rPr>
        <w:t>建档立卡</w:t>
      </w:r>
      <w:r>
        <w:t>毕业生</w:t>
      </w:r>
      <w:r>
        <w:rPr>
          <w:rFonts w:hint="eastAsia"/>
        </w:rPr>
        <w:t>毕业去向落实率为</w:t>
      </w:r>
      <w:r>
        <w:rPr>
          <w:rFonts w:hint="eastAsia"/>
          <w:color w:val="000000" w:themeColor="text1"/>
          <w14:textFill>
            <w14:solidFill>
              <w14:schemeClr w14:val="tx1"/>
            </w14:solidFill>
          </w14:textFill>
        </w:rPr>
        <w:t>96.15%</w:t>
      </w:r>
      <w:r>
        <w:rPr>
          <w:rFonts w:hint="default"/>
          <w:color w:val="000000" w:themeColor="text1"/>
          <w14:textFill>
            <w14:solidFill>
              <w14:schemeClr w14:val="tx1"/>
            </w14:solidFill>
          </w14:textFill>
        </w:rPr>
        <w:t>。</w:t>
      </w:r>
      <w:r>
        <w:rPr>
          <w:rFonts w:hint="eastAsia"/>
        </w:rPr>
        <w:t>从具体毕业去向来看，</w:t>
      </w:r>
      <w:r>
        <w:rPr>
          <w:rFonts w:hint="eastAsia"/>
          <w:lang w:eastAsia="zh-Hans"/>
        </w:rPr>
        <w:t>“</w:t>
      </w:r>
      <w:r>
        <w:t>签劳动合同形式就业</w:t>
      </w:r>
      <w:r>
        <w:rPr>
          <w:rFonts w:hint="eastAsia"/>
          <w:lang w:eastAsia="zh-Hans"/>
        </w:rPr>
        <w:t>”</w:t>
      </w:r>
      <w:r>
        <w:rPr>
          <w:rFonts w:hint="eastAsia"/>
        </w:rPr>
        <w:t>为毕业生主要去向选择，占比为</w:t>
      </w:r>
      <w:r>
        <w:rPr>
          <w:rFonts w:hint="eastAsia"/>
          <w:color w:val="000000" w:themeColor="text1"/>
          <w14:textFill>
            <w14:solidFill>
              <w14:schemeClr w14:val="tx1"/>
            </w14:solidFill>
          </w14:textFill>
        </w:rPr>
        <w:t>34.62%</w:t>
      </w:r>
      <w:r>
        <w:rPr>
          <w:rFonts w:hint="eastAsia"/>
        </w:rPr>
        <w:t>；</w:t>
      </w:r>
      <w:r>
        <w:rPr>
          <w:rFonts w:hint="eastAsia"/>
          <w:lang w:eastAsia="zh-Hans"/>
        </w:rPr>
        <w:t>“</w:t>
      </w:r>
      <w:r>
        <w:rPr>
          <w:rFonts w:hint="eastAsia"/>
          <w:color w:val="000000" w:themeColor="text1"/>
          <w14:textFill>
            <w14:solidFill>
              <w14:schemeClr w14:val="tx1"/>
            </w14:solidFill>
          </w14:textFill>
        </w:rPr>
        <w:t>其他录用形式就业</w:t>
      </w:r>
      <w:r>
        <w:rPr>
          <w:rFonts w:hint="eastAsia"/>
          <w:lang w:eastAsia="zh-Hans"/>
        </w:rPr>
        <w:t>”</w:t>
      </w:r>
      <w:r>
        <w:rPr>
          <w:rFonts w:hint="eastAsia"/>
        </w:rPr>
        <w:t>次之，占比为31.38%。</w:t>
      </w:r>
    </w:p>
    <w:p>
      <w:pPr>
        <w:pStyle w:val="203"/>
        <w:spacing w:before="156" w:after="156"/>
        <w:rPr>
          <w:rStyle w:val="37"/>
          <w:b/>
        </w:rPr>
      </w:pPr>
      <w:r>
        <w:rPr>
          <w:rFonts w:hint="eastAsia"/>
        </w:rPr>
        <w:t>表</w:t>
      </w:r>
      <w:r>
        <w:rPr>
          <w:rFonts w:eastAsia="宋体"/>
        </w:rPr>
        <w:t>1</w:t>
      </w:r>
      <w:r>
        <w:t xml:space="preserve">- </w:t>
      </w:r>
      <w:r>
        <w:fldChar w:fldCharType="begin"/>
      </w:r>
      <w:r>
        <w:instrText xml:space="preserve"> SEQ </w:instrText>
      </w:r>
      <w:r>
        <w:rPr>
          <w:rFonts w:hint="eastAsia"/>
        </w:rPr>
        <w:instrText xml:space="preserve">表</w:instrText>
      </w:r>
      <w:r>
        <w:instrText xml:space="preserve">1- \* ARABIC </w:instrText>
      </w:r>
      <w:r>
        <w:fldChar w:fldCharType="separate"/>
      </w:r>
      <w:r>
        <w:t>6</w:t>
      </w:r>
      <w:r>
        <w:fldChar w:fldCharType="end"/>
      </w:r>
      <w:r>
        <w:rPr>
          <w:rStyle w:val="37"/>
          <w:b/>
        </w:rPr>
        <w:t xml:space="preserve">  </w:t>
      </w:r>
      <w:r>
        <w:rPr>
          <w:rStyle w:val="37"/>
          <w:rFonts w:eastAsia="宋体"/>
          <w:b/>
        </w:rPr>
        <w:t>2021</w:t>
      </w:r>
      <w:r>
        <w:rPr>
          <w:rStyle w:val="37"/>
          <w:rFonts w:hint="eastAsia" w:ascii="黑体" w:hAnsi="黑体" w:eastAsia="黑体" w:cs="黑体"/>
          <w:b/>
        </w:rPr>
        <w:t>届</w:t>
      </w:r>
      <w:r>
        <w:rPr>
          <w:rStyle w:val="37"/>
          <w:rFonts w:hint="eastAsia" w:ascii="黑体" w:hAnsi="黑体" w:cs="黑体"/>
          <w:b/>
          <w:lang w:val="en-US" w:eastAsia="zh-Hans"/>
        </w:rPr>
        <w:t>建档立卡</w:t>
      </w:r>
      <w:r>
        <w:rPr>
          <w:rStyle w:val="37"/>
          <w:rFonts w:hint="eastAsia" w:ascii="黑体" w:hAnsi="黑体" w:eastAsia="黑体" w:cs="黑体"/>
          <w:b/>
        </w:rPr>
        <w:t>毕业生</w:t>
      </w:r>
      <w:r>
        <w:rPr>
          <w:rStyle w:val="37"/>
          <w:rFonts w:hint="eastAsia"/>
          <w:b/>
        </w:rPr>
        <w:t>毕业去向分布</w:t>
      </w:r>
    </w:p>
    <w:tbl>
      <w:tblPr>
        <w:tblStyle w:val="212"/>
        <w:tblW w:w="4997"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4237"/>
        <w:gridCol w:w="1284"/>
        <w:gridCol w:w="1739"/>
        <w:gridCol w:w="1739"/>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blHeader/>
        </w:trPr>
        <w:tc>
          <w:tcPr>
            <w:tcW w:w="4237"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rPr>
                <w:color w:val="FFFFFF"/>
              </w:rPr>
            </w:pPr>
            <w:r>
              <w:rPr>
                <w:rFonts w:hint="eastAsia"/>
                <w:color w:val="FFFFFF"/>
              </w:rPr>
              <w:t>毕业去向</w:t>
            </w:r>
          </w:p>
        </w:tc>
        <w:tc>
          <w:tcPr>
            <w:tcW w:w="1284"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rPr>
                <w:color w:val="FFFFFF"/>
              </w:rPr>
            </w:pPr>
            <w:r>
              <w:rPr>
                <w:rFonts w:hint="eastAsia"/>
                <w:color w:val="FFFFFF"/>
              </w:rPr>
              <w:t>人数</w:t>
            </w:r>
          </w:p>
        </w:tc>
        <w:tc>
          <w:tcPr>
            <w:tcW w:w="1739"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rPr>
                <w:color w:val="FFFFFF"/>
              </w:rPr>
            </w:pPr>
            <w:r>
              <w:rPr>
                <w:rFonts w:hint="eastAsia"/>
                <w:color w:val="FFFFFF"/>
              </w:rPr>
              <w:t>比例</w:t>
            </w:r>
          </w:p>
        </w:tc>
        <w:tc>
          <w:tcPr>
            <w:tcW w:w="1739"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rPr>
                <w:rFonts w:hint="eastAsia"/>
                <w:color w:val="FFFFFF"/>
                <w:lang w:val="en-US" w:eastAsia="zh-Hans"/>
              </w:rPr>
            </w:pPr>
            <w:r>
              <w:rPr>
                <w:rFonts w:hint="eastAsia"/>
                <w:color w:val="FFFFFF"/>
                <w:lang w:val="en-US" w:eastAsia="zh-Hans"/>
              </w:rPr>
              <w:t>毕业去向落实率</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签劳动合同形式就业</w:t>
            </w:r>
          </w:p>
        </w:tc>
        <w:tc>
          <w:tcPr>
            <w:tcW w:w="1284"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225</w:t>
            </w:r>
          </w:p>
        </w:tc>
        <w:tc>
          <w:tcPr>
            <w:tcW w:w="1739"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34.62%</w:t>
            </w:r>
          </w:p>
        </w:tc>
        <w:tc>
          <w:tcPr>
            <w:tcW w:w="1739" w:type="dxa"/>
            <w:vMerge w:val="restart"/>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sz w:val="28"/>
                <w:szCs w:val="28"/>
                <w:lang w:val="en-US" w:eastAsia="zh-CN"/>
              </w:rPr>
              <w:t>96.15%</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68" w:hRule="atLeast"/>
        </w:trPr>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其他录用形式就业</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204</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31.38%</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签就业协议形式就业</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115</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17.69%</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研究生</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40</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6.15%</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西部计划</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13</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2.00%</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科研助理、管理助理</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10</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1.54%</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应征义务兵</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8</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1.23%</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地方特岗教师</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6</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0.92%</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国家特岗教师</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3</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0.46%</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rPr>
            </w:pPr>
            <w:r>
              <w:rPr>
                <w:rFonts w:hint="eastAsia"/>
                <w:lang w:val="en-US" w:eastAsia="zh-CN"/>
              </w:rPr>
              <w:t>自主创业</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1</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0.15%</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求职中</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14</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2.15%</w:t>
            </w:r>
          </w:p>
        </w:tc>
        <w:tc>
          <w:tcPr>
            <w:tcW w:w="1739" w:type="dxa"/>
            <w:vMerge w:val="restar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暂不就业</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9</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1.38%</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不就业拟升学</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2</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0.31%</w:t>
            </w:r>
          </w:p>
        </w:tc>
        <w:tc>
          <w:tcPr>
            <w:tcW w:w="1739" w:type="dxa"/>
            <w:vMerge w:val="continue"/>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p>
        </w:tc>
      </w:tr>
    </w:tbl>
    <w:p>
      <w:pPr>
        <w:pStyle w:val="132"/>
        <w:ind w:firstLine="360"/>
        <w:jc w:val="both"/>
      </w:pPr>
      <w:r>
        <w:rPr>
          <w:rFonts w:hint="eastAsia"/>
        </w:rPr>
        <w:t>注</w:t>
      </w:r>
      <w:r>
        <w:t>：毕业去向落实率=</w:t>
      </w:r>
      <w:r>
        <w:rPr>
          <w:rFonts w:hint="eastAsia"/>
        </w:rPr>
        <w:t>（</w:t>
      </w:r>
      <w:r>
        <w:t>1-</w:t>
      </w:r>
      <w:r>
        <w:rPr>
          <w:rFonts w:hint="eastAsia"/>
        </w:rPr>
        <w:t>未就业人数</w:t>
      </w:r>
      <w:r>
        <w:t>÷</w:t>
      </w:r>
      <w:r>
        <w:rPr>
          <w:rFonts w:hint="eastAsia"/>
        </w:rPr>
        <w:t>毕业生</w:t>
      </w:r>
      <w:r>
        <w:t>总人数</w:t>
      </w:r>
      <w:r>
        <w:rPr>
          <w:rFonts w:hint="eastAsia"/>
        </w:rPr>
        <w:t>）</w:t>
      </w:r>
      <w:r>
        <w:t>×100.00%</w:t>
      </w:r>
      <w:r>
        <w:rPr>
          <w:rFonts w:hint="eastAsia"/>
        </w:rPr>
        <w:t>。</w:t>
      </w:r>
    </w:p>
    <w:p>
      <w:pPr>
        <w:pStyle w:val="199"/>
        <w:ind w:firstLine="482"/>
        <w:rPr>
          <w:rFonts w:hint="default" w:eastAsia="宋体"/>
          <w:b w:val="0"/>
          <w:bCs/>
          <w:color w:val="000000" w:themeColor="text1"/>
          <w:highlight w:val="none"/>
          <w:lang w:eastAsia="zh-Hans"/>
          <w14:textFill>
            <w14:solidFill>
              <w14:schemeClr w14:val="tx1"/>
            </w14:solidFill>
          </w14:textFill>
        </w:rPr>
      </w:pPr>
      <w:r>
        <w:rPr>
          <w:rFonts w:hint="eastAsia"/>
          <w:b/>
          <w:color w:val="4F81BD" w:themeColor="accent1"/>
          <w:highlight w:val="none"/>
          <w:lang w:val="en-US" w:eastAsia="zh-Hans"/>
          <w14:textFill>
            <w14:solidFill>
              <w14:schemeClr w14:val="accent1"/>
            </w14:solidFill>
          </w14:textFill>
        </w:rPr>
        <w:t>困难生</w:t>
      </w:r>
      <w:r>
        <w:rPr>
          <w:rFonts w:hint="default"/>
          <w:b/>
          <w:color w:val="4F81BD" w:themeColor="accent1"/>
          <w:highlight w:val="none"/>
          <w:lang w:eastAsia="zh-Hans"/>
          <w14:textFill>
            <w14:solidFill>
              <w14:schemeClr w14:val="accent1"/>
            </w14:solidFill>
          </w14:textFill>
        </w:rPr>
        <w:t>毕业去向落实率</w:t>
      </w:r>
      <w:r>
        <w:rPr>
          <w:rFonts w:hint="eastAsia"/>
          <w:b/>
          <w:color w:val="4F81BD" w:themeColor="accent1"/>
          <w:highlight w:val="none"/>
          <w:lang w:val="en-US" w:eastAsia="zh-Hans"/>
          <w14:textFill>
            <w14:solidFill>
              <w14:schemeClr w14:val="accent1"/>
            </w14:solidFill>
          </w14:textFill>
        </w:rPr>
        <w:t>对比</w:t>
      </w:r>
      <w:r>
        <w:rPr>
          <w:rFonts w:hint="default" w:eastAsia="宋体"/>
          <w:b/>
          <w:color w:val="4F81BD" w:themeColor="accent1"/>
          <w:highlight w:val="none"/>
          <w:lang w:eastAsia="zh-Hans"/>
          <w14:textFill>
            <w14:solidFill>
              <w14:schemeClr w14:val="accent1"/>
            </w14:solidFill>
          </w14:textFill>
        </w:rPr>
        <w:t>：</w:t>
      </w:r>
      <w:r>
        <w:rPr>
          <w:rFonts w:hint="default" w:eastAsia="宋体"/>
          <w:b w:val="0"/>
          <w:bCs/>
          <w:color w:val="000000" w:themeColor="text1"/>
          <w:highlight w:val="none"/>
          <w:lang w:eastAsia="zh-Hans"/>
          <w14:textFill>
            <w14:solidFill>
              <w14:schemeClr w14:val="tx1"/>
            </w14:solidFill>
          </w14:textFill>
        </w:rPr>
        <w:t>2021届毕业生中，</w:t>
      </w:r>
      <w:r>
        <w:rPr>
          <w:rFonts w:hint="eastAsia" w:eastAsia="宋体"/>
          <w:b w:val="0"/>
          <w:bCs/>
          <w:color w:val="000000" w:themeColor="text1"/>
          <w:highlight w:val="none"/>
          <w:lang w:val="en-US" w:eastAsia="zh-Hans"/>
          <w14:textFill>
            <w14:solidFill>
              <w14:schemeClr w14:val="tx1"/>
            </w14:solidFill>
          </w14:textFill>
        </w:rPr>
        <w:t>建档立卡毕业生</w:t>
      </w:r>
      <w:r>
        <w:rPr>
          <w:rFonts w:hint="eastAsia"/>
          <w:b w:val="0"/>
          <w:bCs/>
          <w:color w:val="000000" w:themeColor="text1"/>
          <w:highlight w:val="none"/>
          <w:lang w:val="en-US" w:eastAsia="zh-Hans"/>
          <w14:textFill>
            <w14:solidFill>
              <w14:schemeClr w14:val="tx1"/>
            </w14:solidFill>
          </w14:textFill>
        </w:rPr>
        <w:t>毕业</w:t>
      </w:r>
      <w:r>
        <w:rPr>
          <w:rFonts w:hint="eastAsia" w:eastAsia="宋体"/>
          <w:b w:val="0"/>
          <w:bCs/>
          <w:color w:val="000000" w:themeColor="text1"/>
          <w:highlight w:val="none"/>
          <w:lang w:val="en-US" w:eastAsia="zh-Hans"/>
          <w14:textFill>
            <w14:solidFill>
              <w14:schemeClr w14:val="tx1"/>
            </w14:solidFill>
          </w14:textFill>
        </w:rPr>
        <w:t>去向落实</w:t>
      </w:r>
      <w:r>
        <w:rPr>
          <w:rFonts w:hint="default" w:eastAsia="宋体"/>
          <w:b w:val="0"/>
          <w:bCs/>
          <w:color w:val="000000" w:themeColor="text1"/>
          <w:highlight w:val="none"/>
          <w:lang w:eastAsia="zh-Hans"/>
          <w14:textFill>
            <w14:solidFill>
              <w14:schemeClr w14:val="tx1"/>
            </w14:solidFill>
          </w14:textFill>
        </w:rPr>
        <w:t>率（</w:t>
      </w:r>
      <w:r>
        <w:rPr>
          <w:rFonts w:hint="default"/>
          <w:b w:val="0"/>
          <w:bCs/>
          <w:color w:val="000000" w:themeColor="text1"/>
          <w:highlight w:val="none"/>
          <w:lang w:eastAsia="zh-Hans"/>
          <w14:textFill>
            <w14:solidFill>
              <w14:schemeClr w14:val="tx1"/>
            </w14:solidFill>
          </w14:textFill>
        </w:rPr>
        <w:t>96.15</w:t>
      </w:r>
      <w:r>
        <w:rPr>
          <w:rFonts w:hint="default" w:eastAsia="宋体"/>
          <w:b w:val="0"/>
          <w:bCs/>
          <w:color w:val="000000" w:themeColor="text1"/>
          <w:highlight w:val="none"/>
          <w:lang w:eastAsia="zh-Hans"/>
          <w14:textFill>
            <w14:solidFill>
              <w14:schemeClr w14:val="tx1"/>
            </w14:solidFill>
          </w14:textFill>
        </w:rPr>
        <w:t>%）</w:t>
      </w:r>
      <w:r>
        <w:rPr>
          <w:rFonts w:hint="eastAsia" w:eastAsia="宋体"/>
          <w:b w:val="0"/>
          <w:bCs/>
          <w:color w:val="000000" w:themeColor="text1"/>
          <w:highlight w:val="none"/>
          <w:lang w:val="en-US" w:eastAsia="zh-Hans"/>
          <w14:textFill>
            <w14:solidFill>
              <w14:schemeClr w14:val="tx1"/>
            </w14:solidFill>
          </w14:textFill>
        </w:rPr>
        <w:t>高于非建档立卡毕业生</w:t>
      </w:r>
      <w:r>
        <w:rPr>
          <w:rFonts w:hint="default" w:eastAsia="宋体"/>
          <w:b w:val="0"/>
          <w:bCs/>
          <w:color w:val="000000" w:themeColor="text1"/>
          <w:highlight w:val="none"/>
          <w:lang w:eastAsia="zh-Hans"/>
          <w14:textFill>
            <w14:solidFill>
              <w14:schemeClr w14:val="tx1"/>
            </w14:solidFill>
          </w14:textFill>
        </w:rPr>
        <w:t>的</w:t>
      </w:r>
      <w:r>
        <w:rPr>
          <w:rFonts w:hint="eastAsia"/>
          <w:b w:val="0"/>
          <w:bCs/>
          <w:color w:val="000000" w:themeColor="text1"/>
          <w:highlight w:val="none"/>
          <w:lang w:val="en-US" w:eastAsia="zh-Hans"/>
          <w14:textFill>
            <w14:solidFill>
              <w14:schemeClr w14:val="tx1"/>
            </w14:solidFill>
          </w14:textFill>
        </w:rPr>
        <w:t>毕业</w:t>
      </w:r>
      <w:r>
        <w:rPr>
          <w:rFonts w:hint="eastAsia" w:eastAsia="宋体"/>
          <w:b w:val="0"/>
          <w:bCs/>
          <w:color w:val="000000" w:themeColor="text1"/>
          <w:highlight w:val="none"/>
          <w:lang w:val="en-US" w:eastAsia="zh-Hans"/>
          <w14:textFill>
            <w14:solidFill>
              <w14:schemeClr w14:val="tx1"/>
            </w14:solidFill>
          </w14:textFill>
        </w:rPr>
        <w:t>去向落实</w:t>
      </w:r>
      <w:r>
        <w:rPr>
          <w:rFonts w:hint="default" w:eastAsia="宋体"/>
          <w:b w:val="0"/>
          <w:bCs/>
          <w:color w:val="000000" w:themeColor="text1"/>
          <w:highlight w:val="none"/>
          <w:lang w:eastAsia="zh-Hans"/>
          <w14:textFill>
            <w14:solidFill>
              <w14:schemeClr w14:val="tx1"/>
            </w14:solidFill>
          </w14:textFill>
        </w:rPr>
        <w:t>率（</w:t>
      </w:r>
      <w:r>
        <w:rPr>
          <w:rFonts w:hint="default"/>
          <w:b w:val="0"/>
          <w:bCs/>
          <w:color w:val="000000" w:themeColor="text1"/>
          <w:highlight w:val="none"/>
          <w:lang w:eastAsia="zh-Hans"/>
          <w14:textFill>
            <w14:solidFill>
              <w14:schemeClr w14:val="tx1"/>
            </w14:solidFill>
          </w14:textFill>
        </w:rPr>
        <w:t>91.03</w:t>
      </w:r>
      <w:r>
        <w:rPr>
          <w:rFonts w:hint="default" w:eastAsia="宋体"/>
          <w:b w:val="0"/>
          <w:bCs/>
          <w:color w:val="000000" w:themeColor="text1"/>
          <w:highlight w:val="none"/>
          <w:lang w:eastAsia="zh-Hans"/>
          <w14:textFill>
            <w14:solidFill>
              <w14:schemeClr w14:val="tx1"/>
            </w14:solidFill>
          </w14:textFill>
        </w:rPr>
        <w:t>%）。</w:t>
      </w:r>
    </w:p>
    <w:p>
      <w:pPr>
        <w:pStyle w:val="199"/>
        <w:ind w:firstLine="482"/>
        <w:rPr>
          <w:rFonts w:hint="default" w:eastAsia="宋体"/>
          <w:b w:val="0"/>
          <w:bCs/>
          <w:color w:val="000000" w:themeColor="text1"/>
          <w:highlight w:val="none"/>
          <w:lang w:eastAsia="zh-Hans"/>
          <w14:textFill>
            <w14:solidFill>
              <w14:schemeClr w14:val="tx1"/>
            </w14:solidFill>
          </w14:textFill>
        </w:rPr>
      </w:pPr>
    </w:p>
    <w:p>
      <w:pPr>
        <w:pStyle w:val="203"/>
        <w:spacing w:before="156" w:after="156"/>
      </w:pPr>
      <w:r>
        <w:drawing>
          <wp:inline distT="0" distB="0" distL="114300" distR="114300">
            <wp:extent cx="5715000" cy="3282315"/>
            <wp:effectExtent l="0" t="0" r="0" b="19685"/>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203"/>
        <w:spacing w:before="156" w:after="156"/>
        <w:rPr>
          <w:rStyle w:val="37"/>
          <w:rFonts w:hint="eastAsia" w:ascii="黑体" w:hAnsi="黑体"/>
          <w:b w:val="0"/>
          <w:szCs w:val="21"/>
        </w:rPr>
      </w:pPr>
      <w:r>
        <w:rPr>
          <w:rFonts w:hint="eastAsia"/>
        </w:rPr>
        <w:t>图</w:t>
      </w:r>
      <w:r>
        <w:rPr>
          <w:rFonts w:hint="eastAsia" w:eastAsia="宋体"/>
        </w:rPr>
        <w:t>1</w:t>
      </w:r>
      <w:r>
        <w:rPr>
          <w:rFonts w:hint="eastAsia"/>
        </w:rPr>
        <w:t xml:space="preserve">- </w:t>
      </w:r>
      <w:r>
        <w:fldChar w:fldCharType="begin"/>
      </w:r>
      <w:r>
        <w:instrText xml:space="preserve"> </w:instrText>
      </w:r>
      <w:r>
        <w:rPr>
          <w:rFonts w:hint="eastAsia"/>
        </w:rPr>
        <w:instrText xml:space="preserve">SEQ 图1- \* ARABIC</w:instrText>
      </w:r>
      <w:r>
        <w:instrText xml:space="preserve"> </w:instrText>
      </w:r>
      <w:r>
        <w:fldChar w:fldCharType="separate"/>
      </w:r>
      <w:r>
        <w:rPr>
          <w:rFonts w:hint="eastAsia"/>
        </w:rPr>
        <w:t>5</w:t>
      </w:r>
      <w:r>
        <w:fldChar w:fldCharType="end"/>
      </w:r>
      <w:r>
        <w:rPr>
          <w:rStyle w:val="37"/>
          <w:b w:val="0"/>
        </w:rPr>
        <w:t xml:space="preserve">  </w:t>
      </w:r>
      <w:r>
        <w:t>2021</w:t>
      </w:r>
      <w:r>
        <w:rPr>
          <w:bCs/>
        </w:rPr>
        <w:t>届</w:t>
      </w:r>
      <w:r>
        <w:rPr>
          <w:rFonts w:hint="eastAsia"/>
          <w:lang w:val="en-US" w:eastAsia="zh-Hans"/>
        </w:rPr>
        <w:t>建档立卡贫困家庭/非建档立卡贫困家庭</w:t>
      </w:r>
      <w:r>
        <w:rPr>
          <w:rFonts w:hint="eastAsia"/>
        </w:rPr>
        <w:t>毕业生</w:t>
      </w:r>
      <w:r>
        <w:rPr>
          <w:rFonts w:hint="default"/>
        </w:rPr>
        <w:t>毕业去向落实率</w:t>
      </w:r>
      <w:r>
        <w:t>分布</w:t>
      </w:r>
      <w:r>
        <w:rPr>
          <w:rStyle w:val="37"/>
          <w:rFonts w:hint="eastAsia" w:ascii="黑体" w:hAnsi="黑体"/>
          <w:b w:val="0"/>
          <w:szCs w:val="21"/>
        </w:rPr>
        <w:t xml:space="preserve"> </w:t>
      </w:r>
      <w:bookmarkEnd w:id="61"/>
      <w:bookmarkEnd w:id="62"/>
      <w:bookmarkEnd w:id="63"/>
    </w:p>
    <w:p>
      <w:pPr>
        <w:pStyle w:val="199"/>
        <w:ind w:firstLine="482"/>
        <w:rPr>
          <w:rFonts w:hint="default" w:eastAsia="宋体"/>
          <w:b w:val="0"/>
          <w:bCs/>
          <w:color w:val="000000" w:themeColor="text1"/>
          <w:highlight w:val="none"/>
          <w:lang w:eastAsia="zh-Hans"/>
          <w14:textFill>
            <w14:solidFill>
              <w14:schemeClr w14:val="tx1"/>
            </w14:solidFill>
          </w14:textFill>
        </w:rPr>
      </w:pPr>
      <w:bookmarkStart w:id="64" w:name="_Toc520328905"/>
      <w:bookmarkStart w:id="65" w:name="_Toc487789893"/>
      <w:bookmarkStart w:id="66" w:name="_Toc487790074"/>
      <w:bookmarkStart w:id="67" w:name="_Toc507580995"/>
      <w:bookmarkStart w:id="68" w:name="_Toc401122308"/>
      <w:r>
        <w:rPr>
          <w:rFonts w:hint="default" w:eastAsia="宋体"/>
          <w:b/>
          <w:color w:val="4F81BD" w:themeColor="accent1"/>
          <w:highlight w:val="none"/>
          <w:lang w:eastAsia="zh-Hans"/>
          <w14:textFill>
            <w14:solidFill>
              <w14:schemeClr w14:val="accent1"/>
            </w14:solidFill>
          </w14:textFill>
        </w:rPr>
        <w:t>不同性别</w:t>
      </w:r>
      <w:r>
        <w:rPr>
          <w:rFonts w:hint="default"/>
          <w:b/>
          <w:color w:val="4F81BD" w:themeColor="accent1"/>
          <w:highlight w:val="none"/>
          <w:lang w:eastAsia="zh-Hans"/>
          <w14:textFill>
            <w14:solidFill>
              <w14:schemeClr w14:val="accent1"/>
            </w14:solidFill>
          </w14:textFill>
        </w:rPr>
        <w:t>毕业去向落实率</w:t>
      </w:r>
      <w:r>
        <w:rPr>
          <w:rFonts w:hint="eastAsia"/>
          <w:b/>
          <w:color w:val="4F81BD" w:themeColor="accent1"/>
          <w:highlight w:val="none"/>
          <w:lang w:val="en-US" w:eastAsia="zh-Hans"/>
          <w14:textFill>
            <w14:solidFill>
              <w14:schemeClr w14:val="accent1"/>
            </w14:solidFill>
          </w14:textFill>
        </w:rPr>
        <w:t>对比</w:t>
      </w:r>
      <w:r>
        <w:rPr>
          <w:rFonts w:hint="default" w:eastAsia="宋体"/>
          <w:b/>
          <w:color w:val="4F81BD" w:themeColor="accent1"/>
          <w:highlight w:val="none"/>
          <w:lang w:eastAsia="zh-Hans"/>
          <w14:textFill>
            <w14:solidFill>
              <w14:schemeClr w14:val="accent1"/>
            </w14:solidFill>
          </w14:textFill>
        </w:rPr>
        <w:t>：</w:t>
      </w:r>
      <w:r>
        <w:rPr>
          <w:rFonts w:hint="default" w:eastAsia="宋体"/>
          <w:b w:val="0"/>
          <w:bCs/>
          <w:color w:val="000000" w:themeColor="text1"/>
          <w:highlight w:val="none"/>
          <w:lang w:eastAsia="zh-Hans"/>
          <w14:textFill>
            <w14:solidFill>
              <w14:schemeClr w14:val="tx1"/>
            </w14:solidFill>
          </w14:textFill>
        </w:rPr>
        <w:t>2021届毕业生中，男生的</w:t>
      </w:r>
      <w:r>
        <w:rPr>
          <w:rFonts w:hint="eastAsia"/>
          <w:b w:val="0"/>
          <w:bCs/>
          <w:color w:val="000000" w:themeColor="text1"/>
          <w:highlight w:val="none"/>
          <w:lang w:val="en-US" w:eastAsia="zh-Hans"/>
          <w14:textFill>
            <w14:solidFill>
              <w14:schemeClr w14:val="tx1"/>
            </w14:solidFill>
          </w14:textFill>
        </w:rPr>
        <w:t>毕业</w:t>
      </w:r>
      <w:r>
        <w:rPr>
          <w:rFonts w:hint="eastAsia" w:eastAsia="宋体"/>
          <w:b w:val="0"/>
          <w:bCs/>
          <w:color w:val="000000" w:themeColor="text1"/>
          <w:highlight w:val="none"/>
          <w:lang w:val="en-US" w:eastAsia="zh-Hans"/>
          <w14:textFill>
            <w14:solidFill>
              <w14:schemeClr w14:val="tx1"/>
            </w14:solidFill>
          </w14:textFill>
        </w:rPr>
        <w:t>去向落实</w:t>
      </w:r>
      <w:r>
        <w:rPr>
          <w:rFonts w:hint="default" w:eastAsia="宋体"/>
          <w:b w:val="0"/>
          <w:bCs/>
          <w:color w:val="000000" w:themeColor="text1"/>
          <w:highlight w:val="none"/>
          <w:lang w:eastAsia="zh-Hans"/>
          <w14:textFill>
            <w14:solidFill>
              <w14:schemeClr w14:val="tx1"/>
            </w14:solidFill>
          </w14:textFill>
        </w:rPr>
        <w:t>率（</w:t>
      </w:r>
      <w:r>
        <w:rPr>
          <w:rFonts w:hint="default"/>
          <w:b w:val="0"/>
          <w:bCs/>
          <w:color w:val="000000" w:themeColor="text1"/>
          <w:highlight w:val="none"/>
          <w:lang w:eastAsia="zh-Hans"/>
          <w14:textFill>
            <w14:solidFill>
              <w14:schemeClr w14:val="tx1"/>
            </w14:solidFill>
          </w14:textFill>
        </w:rPr>
        <w:t>92.04</w:t>
      </w:r>
      <w:r>
        <w:rPr>
          <w:rFonts w:hint="default" w:eastAsia="宋体"/>
          <w:b w:val="0"/>
          <w:bCs/>
          <w:color w:val="000000" w:themeColor="text1"/>
          <w:highlight w:val="none"/>
          <w:lang w:eastAsia="zh-Hans"/>
          <w14:textFill>
            <w14:solidFill>
              <w14:schemeClr w14:val="tx1"/>
            </w14:solidFill>
          </w14:textFill>
        </w:rPr>
        <w:t>%）</w:t>
      </w:r>
      <w:r>
        <w:rPr>
          <w:rFonts w:hint="eastAsia" w:eastAsia="宋体"/>
          <w:b w:val="0"/>
          <w:bCs/>
          <w:color w:val="000000" w:themeColor="text1"/>
          <w:highlight w:val="none"/>
          <w:lang w:val="en-US" w:eastAsia="zh-Hans"/>
          <w14:textFill>
            <w14:solidFill>
              <w14:schemeClr w14:val="tx1"/>
            </w14:solidFill>
          </w14:textFill>
        </w:rPr>
        <w:t>略</w:t>
      </w:r>
      <w:r>
        <w:rPr>
          <w:rFonts w:hint="eastAsia"/>
          <w:b w:val="0"/>
          <w:bCs/>
          <w:color w:val="000000" w:themeColor="text1"/>
          <w:highlight w:val="none"/>
          <w:lang w:val="en-US" w:eastAsia="zh-Hans"/>
          <w14:textFill>
            <w14:solidFill>
              <w14:schemeClr w14:val="tx1"/>
            </w14:solidFill>
          </w14:textFill>
        </w:rPr>
        <w:t>低</w:t>
      </w:r>
      <w:r>
        <w:rPr>
          <w:rFonts w:hint="eastAsia" w:eastAsia="宋体"/>
          <w:b w:val="0"/>
          <w:bCs/>
          <w:color w:val="000000" w:themeColor="text1"/>
          <w:highlight w:val="none"/>
          <w:lang w:val="en-US" w:eastAsia="zh-Hans"/>
          <w14:textFill>
            <w14:solidFill>
              <w14:schemeClr w14:val="tx1"/>
            </w14:solidFill>
          </w14:textFill>
        </w:rPr>
        <w:t>于</w:t>
      </w:r>
      <w:r>
        <w:rPr>
          <w:rFonts w:hint="default" w:eastAsia="宋体"/>
          <w:b w:val="0"/>
          <w:bCs/>
          <w:color w:val="000000" w:themeColor="text1"/>
          <w:highlight w:val="none"/>
          <w:lang w:eastAsia="zh-Hans"/>
          <w14:textFill>
            <w14:solidFill>
              <w14:schemeClr w14:val="tx1"/>
            </w14:solidFill>
          </w14:textFill>
        </w:rPr>
        <w:t>女生的</w:t>
      </w:r>
      <w:r>
        <w:rPr>
          <w:rFonts w:hint="eastAsia"/>
          <w:b w:val="0"/>
          <w:bCs/>
          <w:color w:val="000000" w:themeColor="text1"/>
          <w:highlight w:val="none"/>
          <w:lang w:val="en-US" w:eastAsia="zh-Hans"/>
          <w14:textFill>
            <w14:solidFill>
              <w14:schemeClr w14:val="tx1"/>
            </w14:solidFill>
          </w14:textFill>
        </w:rPr>
        <w:t>毕业</w:t>
      </w:r>
      <w:r>
        <w:rPr>
          <w:rFonts w:hint="eastAsia" w:eastAsia="宋体"/>
          <w:b w:val="0"/>
          <w:bCs/>
          <w:color w:val="000000" w:themeColor="text1"/>
          <w:highlight w:val="none"/>
          <w:lang w:val="en-US" w:eastAsia="zh-Hans"/>
          <w14:textFill>
            <w14:solidFill>
              <w14:schemeClr w14:val="tx1"/>
            </w14:solidFill>
          </w14:textFill>
        </w:rPr>
        <w:t>去向落实</w:t>
      </w:r>
      <w:r>
        <w:rPr>
          <w:rFonts w:hint="default" w:eastAsia="宋体"/>
          <w:b w:val="0"/>
          <w:bCs/>
          <w:color w:val="000000" w:themeColor="text1"/>
          <w:highlight w:val="none"/>
          <w:lang w:eastAsia="zh-Hans"/>
          <w14:textFill>
            <w14:solidFill>
              <w14:schemeClr w14:val="tx1"/>
            </w14:solidFill>
          </w14:textFill>
        </w:rPr>
        <w:t>率（</w:t>
      </w:r>
      <w:r>
        <w:rPr>
          <w:rFonts w:hint="default"/>
          <w:b w:val="0"/>
          <w:bCs/>
          <w:color w:val="000000" w:themeColor="text1"/>
          <w:highlight w:val="none"/>
          <w:lang w:eastAsia="zh-Hans"/>
          <w14:textFill>
            <w14:solidFill>
              <w14:schemeClr w14:val="tx1"/>
            </w14:solidFill>
          </w14:textFill>
        </w:rPr>
        <w:t>93.21</w:t>
      </w:r>
      <w:r>
        <w:rPr>
          <w:rFonts w:hint="default" w:eastAsia="宋体"/>
          <w:b w:val="0"/>
          <w:bCs/>
          <w:color w:val="000000" w:themeColor="text1"/>
          <w:highlight w:val="none"/>
          <w:lang w:eastAsia="zh-Hans"/>
          <w14:textFill>
            <w14:solidFill>
              <w14:schemeClr w14:val="tx1"/>
            </w14:solidFill>
          </w14:textFill>
        </w:rPr>
        <w:t>%）。</w:t>
      </w:r>
    </w:p>
    <w:p>
      <w:pPr>
        <w:pStyle w:val="203"/>
        <w:spacing w:before="156" w:after="156"/>
      </w:pPr>
      <w:r>
        <w:drawing>
          <wp:inline distT="0" distB="0" distL="114300" distR="114300">
            <wp:extent cx="5544820" cy="2405380"/>
            <wp:effectExtent l="0" t="0" r="17780" b="762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203"/>
        <w:spacing w:before="156" w:after="156"/>
        <w:rPr>
          <w:rStyle w:val="37"/>
          <w:rFonts w:hint="eastAsia" w:ascii="黑体" w:hAnsi="黑体"/>
          <w:b w:val="0"/>
          <w:szCs w:val="21"/>
        </w:rPr>
      </w:pPr>
      <w:r>
        <w:rPr>
          <w:rFonts w:hint="eastAsia"/>
        </w:rPr>
        <w:t>图</w:t>
      </w:r>
      <w:r>
        <w:rPr>
          <w:rFonts w:hint="eastAsia" w:eastAsia="宋体"/>
        </w:rPr>
        <w:t>1</w:t>
      </w:r>
      <w:r>
        <w:rPr>
          <w:rFonts w:hint="eastAsia"/>
        </w:rPr>
        <w:t xml:space="preserve">- </w:t>
      </w:r>
      <w:r>
        <w:fldChar w:fldCharType="begin"/>
      </w:r>
      <w:r>
        <w:instrText xml:space="preserve"> </w:instrText>
      </w:r>
      <w:r>
        <w:rPr>
          <w:rFonts w:hint="eastAsia"/>
        </w:rPr>
        <w:instrText xml:space="preserve">SEQ 图1- \* ARABIC</w:instrText>
      </w:r>
      <w:r>
        <w:instrText xml:space="preserve"> </w:instrText>
      </w:r>
      <w:r>
        <w:fldChar w:fldCharType="separate"/>
      </w:r>
      <w:r>
        <w:rPr>
          <w:rFonts w:hint="eastAsia"/>
        </w:rPr>
        <w:t>6</w:t>
      </w:r>
      <w:r>
        <w:fldChar w:fldCharType="end"/>
      </w:r>
      <w:r>
        <w:rPr>
          <w:rStyle w:val="37"/>
          <w:b w:val="0"/>
        </w:rPr>
        <w:t xml:space="preserve">  </w:t>
      </w:r>
      <w:r>
        <w:t>2021</w:t>
      </w:r>
      <w:r>
        <w:rPr>
          <w:bCs/>
        </w:rPr>
        <w:t>届</w:t>
      </w:r>
      <w:r>
        <w:rPr>
          <w:rFonts w:hint="eastAsia"/>
          <w:lang w:val="en-US" w:eastAsia="zh-Hans"/>
        </w:rPr>
        <w:t>不同性别</w:t>
      </w:r>
      <w:r>
        <w:rPr>
          <w:rFonts w:hint="eastAsia"/>
        </w:rPr>
        <w:t>毕业生</w:t>
      </w:r>
      <w:r>
        <w:rPr>
          <w:rFonts w:hint="default"/>
        </w:rPr>
        <w:t>毕业去向落实率</w:t>
      </w:r>
      <w:r>
        <w:t>分布</w:t>
      </w:r>
      <w:r>
        <w:rPr>
          <w:rStyle w:val="37"/>
          <w:rFonts w:hint="eastAsia" w:ascii="黑体" w:hAnsi="黑体"/>
          <w:b w:val="0"/>
          <w:szCs w:val="21"/>
        </w:rPr>
        <w:t xml:space="preserve"> </w:t>
      </w:r>
    </w:p>
    <w:p>
      <w:pPr>
        <w:pStyle w:val="152"/>
        <w:spacing w:before="156" w:after="156"/>
        <w:rPr>
          <w:rFonts w:hint="eastAsia"/>
        </w:rPr>
      </w:pPr>
      <w:bookmarkStart w:id="69" w:name="_Toc1242832121"/>
      <w:r>
        <w:rPr>
          <w:rFonts w:hint="eastAsia"/>
        </w:rPr>
        <w:t>（</w:t>
      </w:r>
      <w:r>
        <w:rPr>
          <w:rFonts w:hint="eastAsia"/>
          <w:lang w:val="en-US" w:eastAsia="zh-Hans"/>
        </w:rPr>
        <w:t>四</w:t>
      </w:r>
      <w:r>
        <w:t>）</w:t>
      </w:r>
      <w:r>
        <w:rPr>
          <w:rFonts w:hint="eastAsia"/>
          <w:lang w:val="en-US" w:eastAsia="zh-Hans"/>
        </w:rPr>
        <w:t>本地区生源</w:t>
      </w:r>
      <w:r>
        <w:rPr>
          <w:rStyle w:val="42"/>
          <w:rFonts w:hint="eastAsia"/>
          <w:lang w:val="en-US" w:eastAsia="zh-Hans"/>
        </w:rPr>
        <w:footnoteReference w:id="0"/>
      </w:r>
      <w:r>
        <w:rPr>
          <w:rFonts w:hint="eastAsia"/>
          <w:lang w:val="en-US" w:eastAsia="zh-Hans"/>
        </w:rPr>
        <w:t>毕业生</w:t>
      </w:r>
      <w:r>
        <w:t>毕业去向落实率</w:t>
      </w:r>
      <w:bookmarkEnd w:id="69"/>
    </w:p>
    <w:p>
      <w:pPr>
        <w:pStyle w:val="136"/>
        <w:bidi w:val="0"/>
        <w:rPr>
          <w:rFonts w:hint="eastAsia"/>
        </w:rPr>
      </w:pPr>
      <w:r>
        <w:rPr>
          <w:rFonts w:hint="eastAsia"/>
        </w:rPr>
        <w:t>学校</w:t>
      </w:r>
      <w:r>
        <w:t>2021届</w:t>
      </w:r>
      <w:r>
        <w:rPr>
          <w:rFonts w:hint="eastAsia"/>
          <w:lang w:val="en-US" w:eastAsia="zh-Hans"/>
        </w:rPr>
        <w:t>本地区生源</w:t>
      </w:r>
      <w:r>
        <w:t>毕业生</w:t>
      </w:r>
      <w:r>
        <w:rPr>
          <w:rFonts w:hint="eastAsia"/>
        </w:rPr>
        <w:t>毕业去向落实率为9</w:t>
      </w:r>
      <w:r>
        <w:rPr>
          <w:rFonts w:hint="default"/>
        </w:rPr>
        <w:t>3.96</w:t>
      </w:r>
      <w:r>
        <w:rPr>
          <w:rFonts w:hint="eastAsia"/>
        </w:rPr>
        <w:t>%</w:t>
      </w:r>
      <w:r>
        <w:rPr>
          <w:rFonts w:hint="default"/>
        </w:rPr>
        <w:t>。</w:t>
      </w:r>
      <w:r>
        <w:rPr>
          <w:rFonts w:hint="eastAsia"/>
        </w:rPr>
        <w:t>从具体毕业去向来看，</w:t>
      </w:r>
      <w:r>
        <w:rPr>
          <w:rFonts w:hint="eastAsia"/>
          <w:lang w:eastAsia="zh-Hans"/>
        </w:rPr>
        <w:t>“</w:t>
      </w:r>
      <w:r>
        <w:rPr>
          <w:rFonts w:hint="eastAsia"/>
        </w:rPr>
        <w:t>其他录用形式就业</w:t>
      </w:r>
      <w:r>
        <w:rPr>
          <w:rFonts w:hint="eastAsia"/>
          <w:lang w:eastAsia="zh-Hans"/>
        </w:rPr>
        <w:t>”</w:t>
      </w:r>
      <w:r>
        <w:rPr>
          <w:rFonts w:hint="eastAsia"/>
        </w:rPr>
        <w:t>为毕业生主要去向选择，占比为</w:t>
      </w:r>
      <w:r>
        <w:rPr>
          <w:rFonts w:hint="eastAsia"/>
          <w:lang w:val="en-US" w:eastAsia="zh-CN"/>
        </w:rPr>
        <w:t>33.16%</w:t>
      </w:r>
      <w:r>
        <w:rPr>
          <w:rFonts w:hint="eastAsia"/>
        </w:rPr>
        <w:t>；</w:t>
      </w:r>
      <w:r>
        <w:rPr>
          <w:rFonts w:hint="eastAsia"/>
          <w:lang w:eastAsia="zh-Hans"/>
        </w:rPr>
        <w:t>“</w:t>
      </w:r>
      <w:r>
        <w:t>签劳动合同形式就业</w:t>
      </w:r>
      <w:r>
        <w:rPr>
          <w:rFonts w:hint="eastAsia"/>
          <w:lang w:eastAsia="zh-Hans"/>
        </w:rPr>
        <w:t>”</w:t>
      </w:r>
      <w:r>
        <w:rPr>
          <w:rFonts w:hint="eastAsia"/>
        </w:rPr>
        <w:t>次之，占比为</w:t>
      </w:r>
      <w:r>
        <w:rPr>
          <w:rFonts w:hint="eastAsia"/>
          <w:lang w:val="en-US" w:eastAsia="zh-CN"/>
        </w:rPr>
        <w:t>28.15%</w:t>
      </w:r>
      <w:r>
        <w:rPr>
          <w:rFonts w:hint="eastAsia"/>
        </w:rPr>
        <w:t>。</w:t>
      </w:r>
    </w:p>
    <w:p>
      <w:pPr>
        <w:pStyle w:val="203"/>
        <w:bidi w:val="0"/>
        <w:rPr>
          <w:rFonts w:hint="eastAsia"/>
        </w:rPr>
      </w:pPr>
      <w:r>
        <w:rPr>
          <w:rFonts w:hint="eastAsia"/>
        </w:rPr>
        <w:t>表</w:t>
      </w:r>
      <w:r>
        <w:t xml:space="preserve">1- </w:t>
      </w:r>
      <w:r>
        <w:fldChar w:fldCharType="begin"/>
      </w:r>
      <w:r>
        <w:instrText xml:space="preserve"> SEQ </w:instrText>
      </w:r>
      <w:r>
        <w:rPr>
          <w:rFonts w:hint="eastAsia"/>
        </w:rPr>
        <w:instrText xml:space="preserve">表</w:instrText>
      </w:r>
      <w:r>
        <w:instrText xml:space="preserve">1- \* ARABIC </w:instrText>
      </w:r>
      <w:r>
        <w:fldChar w:fldCharType="separate"/>
      </w:r>
      <w:r>
        <w:t>7</w:t>
      </w:r>
      <w:r>
        <w:fldChar w:fldCharType="end"/>
      </w:r>
      <w:r>
        <w:t xml:space="preserve">  2021</w:t>
      </w:r>
      <w:r>
        <w:rPr>
          <w:rFonts w:hint="eastAsia"/>
        </w:rPr>
        <w:t>届</w:t>
      </w:r>
      <w:r>
        <w:rPr>
          <w:rFonts w:hint="eastAsia"/>
          <w:lang w:val="en-US" w:eastAsia="zh-Hans"/>
        </w:rPr>
        <w:t>建本地区生源</w:t>
      </w:r>
      <w:r>
        <w:rPr>
          <w:rFonts w:hint="eastAsia"/>
        </w:rPr>
        <w:t>毕业生毕业去向分布</w:t>
      </w:r>
    </w:p>
    <w:tbl>
      <w:tblPr>
        <w:tblStyle w:val="212"/>
        <w:tblW w:w="4997"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4237"/>
        <w:gridCol w:w="1284"/>
        <w:gridCol w:w="1739"/>
        <w:gridCol w:w="1739"/>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blHeader/>
        </w:trPr>
        <w:tc>
          <w:tcPr>
            <w:tcW w:w="4237"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pPr>
            <w:r>
              <w:rPr>
                <w:rFonts w:hint="eastAsia"/>
              </w:rPr>
              <w:t>毕业去向</w:t>
            </w:r>
          </w:p>
        </w:tc>
        <w:tc>
          <w:tcPr>
            <w:tcW w:w="1284"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pPr>
            <w:r>
              <w:rPr>
                <w:rFonts w:hint="eastAsia"/>
              </w:rPr>
              <w:t>人数</w:t>
            </w:r>
          </w:p>
        </w:tc>
        <w:tc>
          <w:tcPr>
            <w:tcW w:w="1739"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pPr>
            <w:r>
              <w:rPr>
                <w:rFonts w:hint="eastAsia"/>
              </w:rPr>
              <w:t>比例</w:t>
            </w:r>
          </w:p>
        </w:tc>
        <w:tc>
          <w:tcPr>
            <w:tcW w:w="1739" w:type="dxa"/>
            <w:tcBorders>
              <w:top w:val="single" w:color="4BACC6" w:sz="8" w:space="0"/>
              <w:left w:val="single" w:color="4BACC6" w:sz="8" w:space="0"/>
              <w:bottom w:val="single" w:color="FFFFFF" w:sz="4" w:space="0"/>
              <w:right w:val="single" w:color="4BACC6" w:sz="8" w:space="0"/>
              <w:insideH w:val="single" w:sz="4" w:space="0"/>
              <w:insideV w:val="nil"/>
            </w:tcBorders>
            <w:shd w:val="clear" w:color="auto" w:fill="4BACC6"/>
            <w:vAlign w:val="center"/>
          </w:tcPr>
          <w:p>
            <w:pPr>
              <w:pStyle w:val="117"/>
              <w:bidi w:val="0"/>
              <w:spacing w:before="100"/>
              <w:rPr>
                <w:rFonts w:hint="eastAsia"/>
                <w:lang w:val="en-US" w:eastAsia="zh-Hans"/>
              </w:rPr>
            </w:pPr>
            <w:r>
              <w:rPr>
                <w:rFonts w:hint="eastAsia"/>
                <w:lang w:val="en-US" w:eastAsia="zh-Hans"/>
              </w:rPr>
              <w:t>毕业去向落实率</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68" w:hRule="atLeast"/>
        </w:trPr>
        <w:tc>
          <w:tcPr>
            <w:tcW w:w="4237" w:type="dxa"/>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其他录用形式就业</w:t>
            </w:r>
          </w:p>
        </w:tc>
        <w:tc>
          <w:tcPr>
            <w:tcW w:w="1284" w:type="dxa"/>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258</w:t>
            </w:r>
          </w:p>
        </w:tc>
        <w:tc>
          <w:tcPr>
            <w:tcW w:w="1739" w:type="dxa"/>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33.16%</w:t>
            </w:r>
          </w:p>
        </w:tc>
        <w:tc>
          <w:tcPr>
            <w:tcW w:w="1739" w:type="dxa"/>
            <w:vMerge w:val="restart"/>
            <w:tcBorders>
              <w:top w:val="single" w:color="FFFFFF" w:sz="8" w:space="0"/>
              <w:left w:val="single" w:color="4BACC6" w:sz="8" w:space="0"/>
              <w:right w:val="single" w:color="4BACC6" w:sz="8" w:space="0"/>
            </w:tcBorders>
            <w:shd w:val="clear" w:color="auto" w:fill="B7DDE8"/>
            <w:vAlign w:val="center"/>
          </w:tcPr>
          <w:p>
            <w:pPr>
              <w:pStyle w:val="117"/>
              <w:bidi w:val="0"/>
              <w:spacing w:before="100"/>
            </w:pPr>
            <w:r>
              <w:rPr>
                <w:rFonts w:hint="default" w:ascii="Times New Roman Bold" w:hAnsi="Times New Roman Bold" w:cs="Times New Roman Bold"/>
                <w:b/>
                <w:bCs w:val="0"/>
                <w:sz w:val="28"/>
                <w:szCs w:val="28"/>
              </w:rPr>
              <w:t>93.96%</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签劳动合同形式就业</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219</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28.15%</w:t>
            </w:r>
          </w:p>
        </w:tc>
        <w:tc>
          <w:tcPr>
            <w:tcW w:w="1739" w:type="dxa"/>
            <w:vMerge w:val="continue"/>
            <w:tcBorders>
              <w:left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签就业协议形式就业</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134</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17.22%</w:t>
            </w:r>
          </w:p>
        </w:tc>
        <w:tc>
          <w:tcPr>
            <w:tcW w:w="1739" w:type="dxa"/>
            <w:vMerge w:val="continue"/>
            <w:tcBorders>
              <w:left w:val="single" w:color="4BACC6" w:sz="8" w:space="0"/>
              <w:right w:val="single" w:color="4BACC6" w:sz="8" w:space="0"/>
            </w:tcBorders>
            <w:shd w:val="clear" w:color="auto" w:fill="B7DDE8"/>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研究生</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54</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6.94%</w:t>
            </w:r>
          </w:p>
        </w:tc>
        <w:tc>
          <w:tcPr>
            <w:tcW w:w="1739" w:type="dxa"/>
            <w:vMerge w:val="continue"/>
            <w:tcBorders>
              <w:left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科研助理、管理助理</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18</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2.31%</w:t>
            </w:r>
          </w:p>
        </w:tc>
        <w:tc>
          <w:tcPr>
            <w:tcW w:w="1739" w:type="dxa"/>
            <w:vMerge w:val="continue"/>
            <w:tcBorders>
              <w:left w:val="single" w:color="4BACC6" w:sz="8" w:space="0"/>
              <w:right w:val="single" w:color="4BACC6" w:sz="8" w:space="0"/>
            </w:tcBorders>
            <w:shd w:val="clear" w:color="auto" w:fill="B7DDE8"/>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西部计划</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16</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2.06%</w:t>
            </w:r>
          </w:p>
        </w:tc>
        <w:tc>
          <w:tcPr>
            <w:tcW w:w="1739" w:type="dxa"/>
            <w:vMerge w:val="continue"/>
            <w:tcBorders>
              <w:left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地方特岗教师</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12</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1.54%</w:t>
            </w:r>
          </w:p>
        </w:tc>
        <w:tc>
          <w:tcPr>
            <w:tcW w:w="1739" w:type="dxa"/>
            <w:vMerge w:val="continue"/>
            <w:tcBorders>
              <w:left w:val="single" w:color="4BACC6" w:sz="8" w:space="0"/>
              <w:right w:val="single" w:color="4BACC6" w:sz="8" w:space="0"/>
            </w:tcBorders>
            <w:shd w:val="clear" w:color="auto" w:fill="B7DDE8"/>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应征义务兵</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10</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pPr>
            <w:r>
              <w:rPr>
                <w:rFonts w:hint="eastAsia"/>
                <w:lang w:val="en-US" w:eastAsia="zh-CN"/>
              </w:rPr>
              <w:t>1.29%</w:t>
            </w:r>
          </w:p>
        </w:tc>
        <w:tc>
          <w:tcPr>
            <w:tcW w:w="1739" w:type="dxa"/>
            <w:vMerge w:val="continue"/>
            <w:tcBorders>
              <w:left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rPr>
            </w:pPr>
            <w:r>
              <w:rPr>
                <w:rFonts w:hint="eastAsia"/>
                <w:lang w:val="en-US" w:eastAsia="zh-CN"/>
              </w:rPr>
              <w:t>国家特岗教师</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6</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pPr>
            <w:r>
              <w:rPr>
                <w:rFonts w:hint="eastAsia"/>
                <w:lang w:val="en-US" w:eastAsia="zh-CN"/>
              </w:rPr>
              <w:t>0.77%</w:t>
            </w:r>
          </w:p>
        </w:tc>
        <w:tc>
          <w:tcPr>
            <w:tcW w:w="1739" w:type="dxa"/>
            <w:vMerge w:val="continue"/>
            <w:tcBorders>
              <w:left w:val="single" w:color="4BACC6" w:sz="8" w:space="0"/>
              <w:right w:val="single" w:color="4BACC6" w:sz="8" w:space="0"/>
            </w:tcBorders>
            <w:shd w:val="clear" w:color="auto" w:fill="B7DDE8"/>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乡村教师</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2</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0.26%</w:t>
            </w:r>
          </w:p>
        </w:tc>
        <w:tc>
          <w:tcPr>
            <w:tcW w:w="1739" w:type="dxa"/>
            <w:vMerge w:val="continue"/>
            <w:tcBorders>
              <w:left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三支一扶</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1</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0.13%</w:t>
            </w:r>
          </w:p>
        </w:tc>
        <w:tc>
          <w:tcPr>
            <w:tcW w:w="1739" w:type="dxa"/>
            <w:vMerge w:val="continue"/>
            <w:tcBorders>
              <w:left w:val="single" w:color="4BACC6" w:sz="8" w:space="0"/>
              <w:right w:val="single" w:color="4BACC6" w:sz="8" w:space="0"/>
            </w:tcBorders>
            <w:shd w:val="clear" w:color="auto" w:fill="B7DDE8"/>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出国、出境</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1</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0.13%</w:t>
            </w:r>
          </w:p>
        </w:tc>
        <w:tc>
          <w:tcPr>
            <w:tcW w:w="1739" w:type="dxa"/>
            <w:vMerge w:val="continue"/>
            <w:tcBorders>
              <w:left w:val="single" w:color="4BACC6" w:sz="8" w:space="0"/>
              <w:bottom w:val="single" w:color="4BACC6" w:sz="8" w:space="0"/>
              <w:right w:val="single" w:color="4BACC6" w:sz="8" w:space="0"/>
            </w:tcBorders>
            <w:shd w:val="clear" w:color="auto" w:fill="FFFFFF"/>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求职中</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34</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4.37%</w:t>
            </w:r>
          </w:p>
        </w:tc>
        <w:tc>
          <w:tcPr>
            <w:tcW w:w="1739" w:type="dxa"/>
            <w:vMerge w:val="restart"/>
            <w:tcBorders>
              <w:top w:val="single" w:color="4BACC6" w:sz="8" w:space="0"/>
              <w:left w:val="single" w:color="4BACC6" w:sz="8" w:space="0"/>
              <w:right w:val="single" w:color="4BACC6" w:sz="8" w:space="0"/>
            </w:tcBorders>
            <w:shd w:val="clear" w:color="auto" w:fill="CCE8CF" w:themeFill="background1"/>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暂不就业</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4</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0.51%</w:t>
            </w:r>
          </w:p>
        </w:tc>
        <w:tc>
          <w:tcPr>
            <w:tcW w:w="1739" w:type="dxa"/>
            <w:vMerge w:val="continue"/>
            <w:tcBorders>
              <w:left w:val="single" w:color="4BACC6" w:sz="8" w:space="0"/>
              <w:right w:val="single" w:color="4BACC6" w:sz="8" w:space="0"/>
            </w:tcBorders>
            <w:shd w:val="clear" w:color="auto" w:fill="CCE8CF" w:themeFill="background1"/>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拟参加公招考试</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4</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0.51%</w:t>
            </w:r>
          </w:p>
        </w:tc>
        <w:tc>
          <w:tcPr>
            <w:tcW w:w="1739" w:type="dxa"/>
            <w:vMerge w:val="continue"/>
            <w:tcBorders>
              <w:left w:val="single" w:color="4BACC6" w:sz="8" w:space="0"/>
              <w:right w:val="single" w:color="4BACC6" w:sz="8" w:space="0"/>
            </w:tcBorders>
            <w:shd w:val="clear" w:color="auto" w:fill="CCE8CF" w:themeFill="background1"/>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签约中</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2</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0.26%</w:t>
            </w:r>
          </w:p>
        </w:tc>
        <w:tc>
          <w:tcPr>
            <w:tcW w:w="1739" w:type="dxa"/>
            <w:vMerge w:val="continue"/>
            <w:tcBorders>
              <w:left w:val="single" w:color="4BACC6" w:sz="8" w:space="0"/>
              <w:right w:val="single" w:color="4BACC6" w:sz="8" w:space="0"/>
            </w:tcBorders>
            <w:shd w:val="clear" w:color="auto" w:fill="CCE8CF" w:themeFill="background1"/>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不就业拟升学</w:t>
            </w:r>
          </w:p>
        </w:tc>
        <w:tc>
          <w:tcPr>
            <w:tcW w:w="1284"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2</w:t>
            </w:r>
          </w:p>
        </w:tc>
        <w:tc>
          <w:tcPr>
            <w:tcW w:w="1739"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117"/>
              <w:bidi w:val="0"/>
              <w:spacing w:before="100"/>
              <w:rPr>
                <w:rFonts w:hint="eastAsia"/>
                <w:lang w:val="en-US" w:eastAsia="zh-CN"/>
              </w:rPr>
            </w:pPr>
            <w:r>
              <w:rPr>
                <w:rFonts w:hint="eastAsia"/>
                <w:lang w:val="en-US" w:eastAsia="zh-CN"/>
              </w:rPr>
              <w:t>0.26%</w:t>
            </w:r>
          </w:p>
        </w:tc>
        <w:tc>
          <w:tcPr>
            <w:tcW w:w="1739" w:type="dxa"/>
            <w:vMerge w:val="continue"/>
            <w:tcBorders>
              <w:left w:val="single" w:color="4BACC6" w:sz="8" w:space="0"/>
              <w:right w:val="single" w:color="4BACC6" w:sz="8" w:space="0"/>
            </w:tcBorders>
            <w:shd w:val="clear" w:color="auto" w:fill="CCE8CF" w:themeFill="background1"/>
            <w:vAlign w:val="center"/>
          </w:tcPr>
          <w:p>
            <w:pPr>
              <w:pStyle w:val="117"/>
              <w:bidi w:val="0"/>
              <w:spacing w:before="100"/>
            </w:pP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42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拟创业</w:t>
            </w:r>
          </w:p>
        </w:tc>
        <w:tc>
          <w:tcPr>
            <w:tcW w:w="1284"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1</w:t>
            </w:r>
          </w:p>
        </w:tc>
        <w:tc>
          <w:tcPr>
            <w:tcW w:w="1739"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117"/>
              <w:bidi w:val="0"/>
              <w:spacing w:before="100"/>
              <w:rPr>
                <w:rFonts w:hint="eastAsia"/>
                <w:lang w:val="en-US" w:eastAsia="zh-CN"/>
              </w:rPr>
            </w:pPr>
            <w:r>
              <w:rPr>
                <w:rFonts w:hint="eastAsia"/>
                <w:lang w:val="en-US" w:eastAsia="zh-CN"/>
              </w:rPr>
              <w:t>0.13%</w:t>
            </w:r>
          </w:p>
        </w:tc>
        <w:tc>
          <w:tcPr>
            <w:tcW w:w="1739" w:type="dxa"/>
            <w:vMerge w:val="continue"/>
            <w:tcBorders>
              <w:left w:val="single" w:color="4BACC6" w:sz="8" w:space="0"/>
              <w:bottom w:val="single" w:color="4BACC6" w:sz="8" w:space="0"/>
              <w:right w:val="single" w:color="4BACC6" w:sz="8" w:space="0"/>
            </w:tcBorders>
            <w:shd w:val="clear" w:color="auto" w:fill="CCE8CF" w:themeFill="background1"/>
            <w:vAlign w:val="center"/>
          </w:tcPr>
          <w:p>
            <w:pPr>
              <w:pStyle w:val="117"/>
              <w:bidi w:val="0"/>
              <w:spacing w:before="100"/>
            </w:pPr>
          </w:p>
        </w:tc>
      </w:tr>
    </w:tbl>
    <w:p>
      <w:pPr>
        <w:pStyle w:val="142"/>
        <w:rPr>
          <w:rFonts w:hint="eastAsia"/>
          <w:color w:val="4F81BD" w:themeColor="accent1"/>
          <w14:textFill>
            <w14:solidFill>
              <w14:schemeClr w14:val="accent1"/>
            </w14:solidFill>
          </w14:textFill>
        </w:rPr>
        <w:sectPr>
          <w:headerReference r:id="rId7" w:type="default"/>
          <w:footerReference r:id="rId8" w:type="default"/>
          <w:pgSz w:w="11907" w:h="16160"/>
          <w:pgMar w:top="1418" w:right="1418" w:bottom="1418" w:left="1701" w:header="850" w:footer="397" w:gutter="0"/>
          <w:pgBorders>
            <w:top w:val="none" w:sz="0" w:space="0"/>
            <w:left w:val="none" w:sz="0" w:space="0"/>
            <w:bottom w:val="none" w:sz="0" w:space="0"/>
            <w:right w:val="none" w:sz="0" w:space="0"/>
          </w:pgBorders>
          <w:pgNumType w:fmt="decimal" w:start="1"/>
          <w:cols w:space="720" w:num="1"/>
          <w:docGrid w:type="linesAndChars" w:linePitch="312" w:charSpace="0"/>
        </w:sectPr>
      </w:pPr>
    </w:p>
    <w:p>
      <w:pPr>
        <w:pStyle w:val="88"/>
        <w:bidi w:val="0"/>
      </w:pPr>
      <w:bookmarkStart w:id="70" w:name="_Toc1853506925"/>
      <w:r>
        <w:rPr>
          <w:rFonts w:hint="eastAsia"/>
        </w:rPr>
        <w:t>第二</w:t>
      </w:r>
      <w:r>
        <w:rPr>
          <w:rFonts w:hint="eastAsia"/>
          <w:lang w:val="en-US" w:eastAsia="zh-Hans"/>
        </w:rPr>
        <w:t>章</w:t>
      </w:r>
      <w:r>
        <w:rPr>
          <w:rFonts w:hint="default"/>
          <w:lang w:eastAsia="zh-Hans"/>
        </w:rPr>
        <w:t xml:space="preserve"> </w:t>
      </w:r>
      <w:r>
        <w:rPr>
          <w:rFonts w:hint="eastAsia"/>
          <w:lang w:val="en-US" w:eastAsia="zh-Hans"/>
        </w:rPr>
        <w:t>毕业生单位就业情况</w:t>
      </w:r>
      <w:bookmarkEnd w:id="70"/>
    </w:p>
    <w:p>
      <w:pPr>
        <w:pStyle w:val="144"/>
        <w:bidi w:val="0"/>
        <w:rPr>
          <w:rFonts w:hint="eastAsia"/>
        </w:rPr>
      </w:pPr>
      <w:r>
        <w:rPr>
          <w:rFonts w:hint="eastAsia"/>
        </w:rPr>
        <w:t>毕业生单位就业情况只分析已落实就业单位的</w:t>
      </w:r>
      <w:r>
        <w:rPr>
          <w:rFonts w:hint="default"/>
        </w:rPr>
        <w:t>1608</w:t>
      </w:r>
      <w:r>
        <w:rPr>
          <w:rFonts w:hint="eastAsia"/>
        </w:rPr>
        <w:t>人（含签就业协议形式就业、签劳动合同形式就业、其他录用形式就业）</w:t>
      </w:r>
      <w:r>
        <w:rPr>
          <w:rFonts w:hint="default"/>
        </w:rPr>
        <w:t>。</w:t>
      </w:r>
    </w:p>
    <w:p>
      <w:pPr>
        <w:pStyle w:val="142"/>
        <w:bidi w:val="0"/>
        <w:rPr>
          <w:rFonts w:hint="eastAsia"/>
          <w:lang w:val="en-US" w:eastAsia="zh-Hans"/>
        </w:rPr>
      </w:pPr>
      <w:bookmarkStart w:id="71" w:name="_Toc493105093"/>
      <w:bookmarkStart w:id="72" w:name="_Toc42074247"/>
      <w:bookmarkStart w:id="73" w:name="_Toc520328900"/>
      <w:r>
        <w:rPr>
          <w:rFonts w:hint="eastAsia"/>
          <w:lang w:val="en-US" w:eastAsia="zh-Hans"/>
        </w:rPr>
        <w:t>一</w:t>
      </w:r>
      <w:r>
        <w:rPr>
          <w:rFonts w:hint="default"/>
          <w:lang w:eastAsia="zh-Hans"/>
        </w:rPr>
        <w:t>、</w:t>
      </w:r>
      <w:r>
        <w:rPr>
          <w:rFonts w:hint="eastAsia"/>
          <w:lang w:val="en-US" w:eastAsia="zh-Hans"/>
        </w:rPr>
        <w:t>就业单位行业</w:t>
      </w:r>
      <w:bookmarkEnd w:id="71"/>
      <w:bookmarkEnd w:id="72"/>
      <w:bookmarkEnd w:id="73"/>
    </w:p>
    <w:p>
      <w:pPr>
        <w:pStyle w:val="113"/>
        <w:bidi w:val="0"/>
      </w:pPr>
      <w:bookmarkStart w:id="74" w:name="_Toc487789877"/>
      <w:bookmarkStart w:id="75" w:name="_Toc487790058"/>
      <w:r>
        <w:rPr>
          <w:rFonts w:hint="eastAsia"/>
          <w:b/>
          <w:bCs/>
          <w:color w:val="4F81BD" w:themeColor="accent1"/>
          <w:lang w:val="en-US" w:eastAsia="zh-Hans"/>
          <w14:textFill>
            <w14:solidFill>
              <w14:schemeClr w14:val="accent1"/>
            </w14:solidFill>
          </w14:textFill>
        </w:rPr>
        <w:t>毕业生就业行业分布</w:t>
      </w:r>
      <w:r>
        <w:rPr>
          <w:rFonts w:hint="default"/>
          <w:b/>
          <w:bCs/>
          <w:color w:val="4F81BD" w:themeColor="accent1"/>
          <w:lang w:eastAsia="zh-Hans"/>
          <w14:textFill>
            <w14:solidFill>
              <w14:schemeClr w14:val="accent1"/>
            </w14:solidFill>
          </w14:textFill>
        </w:rPr>
        <w:t>：</w:t>
      </w:r>
      <w:r>
        <w:t>2021届毕业生</w:t>
      </w:r>
      <w:r>
        <w:rPr>
          <w:rFonts w:hint="eastAsia"/>
        </w:rPr>
        <w:t>就业行业主要集中在</w:t>
      </w:r>
      <w:r>
        <w:rPr>
          <w:rFonts w:hint="eastAsia"/>
          <w:lang w:eastAsia="zh-Hans"/>
        </w:rPr>
        <w:t>“</w:t>
      </w:r>
      <w:r>
        <w:rPr>
          <w:rFonts w:hint="eastAsia"/>
        </w:rPr>
        <w:t>教育</w:t>
      </w:r>
      <w:r>
        <w:rPr>
          <w:rFonts w:hint="eastAsia"/>
          <w:lang w:eastAsia="zh-Hans"/>
        </w:rPr>
        <w:t>”</w:t>
      </w:r>
      <w:r>
        <w:rPr>
          <w:rFonts w:hint="eastAsia"/>
        </w:rPr>
        <w:t>（</w:t>
      </w:r>
      <w:r>
        <w:rPr>
          <w:rFonts w:hint="default"/>
        </w:rPr>
        <w:t>384</w:t>
      </w:r>
      <w:r>
        <w:rPr>
          <w:rFonts w:hint="eastAsia"/>
          <w:lang w:val="en-US" w:eastAsia="zh-Hans"/>
        </w:rPr>
        <w:t>人</w:t>
      </w:r>
      <w:r>
        <w:rPr>
          <w:rFonts w:hint="default"/>
          <w:lang w:eastAsia="zh-Hans"/>
        </w:rPr>
        <w:t>，</w:t>
      </w:r>
      <w:r>
        <w:rPr>
          <w:rFonts w:hint="eastAsia"/>
          <w:lang w:val="en-US" w:eastAsia="zh-Hans"/>
        </w:rPr>
        <w:t>占比</w:t>
      </w:r>
      <w:r>
        <w:rPr>
          <w:rFonts w:hint="eastAsia"/>
        </w:rPr>
        <w:t>25.50%）、</w:t>
      </w:r>
      <w:r>
        <w:rPr>
          <w:rFonts w:hint="eastAsia"/>
          <w:lang w:eastAsia="zh-Hans"/>
        </w:rPr>
        <w:t>“</w:t>
      </w:r>
      <w:r>
        <w:rPr>
          <w:rFonts w:hint="eastAsia"/>
        </w:rPr>
        <w:t>信息传输、软件和信息技术服务业</w:t>
      </w:r>
      <w:r>
        <w:rPr>
          <w:rFonts w:hint="eastAsia"/>
          <w:lang w:eastAsia="zh-Hans"/>
        </w:rPr>
        <w:t>”</w:t>
      </w:r>
      <w:r>
        <w:rPr>
          <w:rFonts w:hint="default"/>
        </w:rPr>
        <w:t>（</w:t>
      </w:r>
      <w:r>
        <w:rPr>
          <w:rFonts w:hint="eastAsia"/>
        </w:rPr>
        <w:t>218</w:t>
      </w:r>
      <w:r>
        <w:rPr>
          <w:rFonts w:hint="eastAsia"/>
          <w:lang w:val="en-US" w:eastAsia="zh-Hans"/>
        </w:rPr>
        <w:t>人</w:t>
      </w:r>
      <w:r>
        <w:rPr>
          <w:rFonts w:hint="default"/>
          <w:lang w:eastAsia="zh-Hans"/>
        </w:rPr>
        <w:t>，</w:t>
      </w:r>
      <w:r>
        <w:rPr>
          <w:rFonts w:hint="eastAsia"/>
          <w:lang w:val="en-US" w:eastAsia="zh-Hans"/>
        </w:rPr>
        <w:t>占比</w:t>
      </w:r>
      <w:r>
        <w:rPr>
          <w:rFonts w:hint="eastAsia"/>
        </w:rPr>
        <w:t>14.48%</w:t>
      </w:r>
      <w:r>
        <w:rPr>
          <w:rFonts w:hint="default"/>
        </w:rPr>
        <w:t>）</w:t>
      </w:r>
      <w:r>
        <w:rPr>
          <w:rFonts w:hint="eastAsia"/>
        </w:rPr>
        <w:t>及</w:t>
      </w:r>
      <w:r>
        <w:rPr>
          <w:rFonts w:hint="eastAsia"/>
          <w:lang w:eastAsia="zh-Hans"/>
        </w:rPr>
        <w:t>“</w:t>
      </w:r>
      <w:r>
        <w:rPr>
          <w:rFonts w:hint="eastAsia"/>
        </w:rPr>
        <w:t>制造业</w:t>
      </w:r>
      <w:r>
        <w:rPr>
          <w:rFonts w:hint="eastAsia"/>
          <w:lang w:eastAsia="zh-Hans"/>
        </w:rPr>
        <w:t>”</w:t>
      </w:r>
      <w:r>
        <w:rPr>
          <w:rFonts w:hint="default"/>
        </w:rPr>
        <w:t>（107</w:t>
      </w:r>
      <w:r>
        <w:rPr>
          <w:rFonts w:hint="eastAsia"/>
          <w:lang w:val="en-US" w:eastAsia="zh-Hans"/>
        </w:rPr>
        <w:t>人</w:t>
      </w:r>
      <w:r>
        <w:rPr>
          <w:rFonts w:hint="default"/>
          <w:lang w:eastAsia="zh-Hans"/>
        </w:rPr>
        <w:t>，</w:t>
      </w:r>
      <w:r>
        <w:rPr>
          <w:rFonts w:hint="eastAsia"/>
          <w:lang w:val="en-US" w:eastAsia="zh-Hans"/>
        </w:rPr>
        <w:t>占比</w:t>
      </w:r>
      <w:r>
        <w:rPr>
          <w:rFonts w:hint="eastAsia"/>
        </w:rPr>
        <w:t>7.10%</w:t>
      </w:r>
      <w:r>
        <w:rPr>
          <w:rFonts w:hint="default"/>
        </w:rPr>
        <w:t>）</w:t>
      </w:r>
      <w:r>
        <w:t>。</w:t>
      </w:r>
    </w:p>
    <w:p>
      <w:pPr>
        <w:pStyle w:val="199"/>
        <w:ind w:firstLine="480"/>
      </w:pPr>
      <w:r>
        <w:drawing>
          <wp:inline distT="0" distB="0" distL="0" distR="0">
            <wp:extent cx="5469890" cy="4356735"/>
            <wp:effectExtent l="0" t="0" r="16510" b="12065"/>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203"/>
        <w:spacing w:before="156" w:after="156"/>
      </w:pPr>
      <w:bookmarkStart w:id="76" w:name="_Toc42074234"/>
      <w:bookmarkStart w:id="77" w:name="_Toc55919986"/>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1</w:t>
      </w:r>
      <w:r>
        <w:rPr>
          <w:rFonts w:hint="eastAsia"/>
        </w:rPr>
        <w:fldChar w:fldCharType="end"/>
      </w:r>
      <w:r>
        <w:t xml:space="preserve">  2021届</w:t>
      </w:r>
      <w:r>
        <w:rPr>
          <w:rFonts w:hint="eastAsia"/>
        </w:rPr>
        <w:t>毕业生就业行业</w:t>
      </w:r>
      <w:r>
        <w:t>分布</w:t>
      </w:r>
      <w:bookmarkEnd w:id="76"/>
      <w:bookmarkEnd w:id="77"/>
    </w:p>
    <w:p>
      <w:pPr>
        <w:pStyle w:val="132"/>
        <w:ind w:firstLine="360"/>
        <w:rPr>
          <w:rFonts w:hint="eastAsia"/>
        </w:rPr>
      </w:pPr>
    </w:p>
    <w:p>
      <w:pPr>
        <w:pStyle w:val="113"/>
        <w:bidi w:val="0"/>
        <w:rPr>
          <w:rFonts w:hint="eastAsia"/>
          <w:lang w:val="en-US" w:eastAsia="zh-CN"/>
        </w:rPr>
      </w:pPr>
      <w:bookmarkStart w:id="78" w:name="_Toc42074248"/>
      <w:bookmarkStart w:id="79" w:name="_Toc520328901"/>
      <w:r>
        <w:rPr>
          <w:rFonts w:hint="eastAsia"/>
        </w:rPr>
        <w:br w:type="page"/>
      </w:r>
      <w:r>
        <w:rPr>
          <w:rFonts w:hint="eastAsia"/>
          <w:b/>
          <w:bCs/>
          <w:color w:val="4F81BD" w:themeColor="accent1"/>
          <w:lang w:val="en-US" w:eastAsia="zh-Hans"/>
          <w14:textFill>
            <w14:solidFill>
              <w14:schemeClr w14:val="accent1"/>
            </w14:solidFill>
          </w14:textFill>
        </w:rPr>
        <w:t>建档立卡毕业生就业行业</w:t>
      </w:r>
      <w:r>
        <w:rPr>
          <w:rFonts w:hint="default"/>
          <w:b/>
          <w:bCs/>
          <w:color w:val="4F81BD" w:themeColor="accent1"/>
          <w:lang w:eastAsia="zh-Hans"/>
          <w14:textFill>
            <w14:solidFill>
              <w14:schemeClr w14:val="accent1"/>
            </w14:solidFill>
          </w14:textFill>
        </w:rPr>
        <w:t>：</w:t>
      </w:r>
      <w:r>
        <w:rPr>
          <w:rFonts w:hint="eastAsia"/>
          <w:lang w:val="en-US" w:eastAsia="zh-CN"/>
        </w:rPr>
        <w:t>2021届</w:t>
      </w:r>
      <w:r>
        <w:rPr>
          <w:rFonts w:hint="eastAsia"/>
          <w:lang w:val="en-US" w:eastAsia="zh-Hans"/>
        </w:rPr>
        <w:t>建档立卡</w:t>
      </w:r>
      <w:r>
        <w:rPr>
          <w:rFonts w:hint="eastAsia"/>
          <w:lang w:val="en-US" w:eastAsia="zh-CN"/>
        </w:rPr>
        <w:t>毕业生就业行业主要集中在“教育”</w:t>
      </w:r>
      <w:r>
        <w:rPr>
          <w:rFonts w:hint="eastAsia"/>
          <w:lang w:val="en-US" w:eastAsia="zh-Hans"/>
        </w:rPr>
        <w:t>行业</w:t>
      </w:r>
      <w:r>
        <w:rPr>
          <w:rFonts w:hint="default"/>
          <w:lang w:eastAsia="zh-Hans"/>
        </w:rPr>
        <w:t>（</w:t>
      </w:r>
      <w:r>
        <w:rPr>
          <w:rFonts w:hint="eastAsia"/>
          <w:lang w:val="en-US" w:eastAsia="zh-Hans"/>
        </w:rPr>
        <w:t>占比</w:t>
      </w:r>
      <w:r>
        <w:rPr>
          <w:rFonts w:hint="eastAsia"/>
          <w:lang w:val="en-US" w:eastAsia="zh-CN"/>
        </w:rPr>
        <w:t>25.</w:t>
      </w:r>
      <w:r>
        <w:rPr>
          <w:rFonts w:hint="default"/>
          <w:lang w:eastAsia="zh-CN"/>
        </w:rPr>
        <w:t>32</w:t>
      </w:r>
      <w:r>
        <w:rPr>
          <w:rFonts w:hint="eastAsia"/>
          <w:lang w:val="en-US" w:eastAsia="zh-CN"/>
        </w:rPr>
        <w:t>%</w:t>
      </w:r>
      <w:r>
        <w:rPr>
          <w:rFonts w:hint="default"/>
          <w:lang w:eastAsia="zh-CN"/>
        </w:rPr>
        <w:t>）</w:t>
      </w:r>
      <w:r>
        <w:rPr>
          <w:rFonts w:hint="eastAsia"/>
          <w:lang w:val="en-US" w:eastAsia="zh-CN"/>
        </w:rPr>
        <w:t>、</w:t>
      </w:r>
      <w:r>
        <w:rPr>
          <w:rFonts w:hint="eastAsia"/>
          <w:lang w:val="en-US" w:eastAsia="zh-Hans"/>
        </w:rPr>
        <w:t>“</w:t>
      </w:r>
      <w:r>
        <w:rPr>
          <w:rFonts w:hint="eastAsia"/>
          <w:lang w:val="en-US" w:eastAsia="zh-CN"/>
        </w:rPr>
        <w:t>信息传输、软件和信息技术服务业</w:t>
      </w:r>
      <w:r>
        <w:rPr>
          <w:rFonts w:hint="eastAsia"/>
          <w:lang w:val="en-US" w:eastAsia="zh-Hans"/>
        </w:rPr>
        <w:t>”</w:t>
      </w:r>
      <w:r>
        <w:rPr>
          <w:rFonts w:hint="default"/>
          <w:lang w:val="en-US" w:eastAsia="zh-CN"/>
        </w:rPr>
        <w:t>（</w:t>
      </w:r>
      <w:r>
        <w:rPr>
          <w:rFonts w:hint="eastAsia"/>
          <w:lang w:val="en-US" w:eastAsia="zh-Hans"/>
        </w:rPr>
        <w:t>占比</w:t>
      </w:r>
      <w:r>
        <w:rPr>
          <w:rFonts w:hint="eastAsia"/>
          <w:lang w:val="en-US" w:eastAsia="zh-CN"/>
        </w:rPr>
        <w:t>1</w:t>
      </w:r>
      <w:r>
        <w:rPr>
          <w:rFonts w:hint="default"/>
          <w:lang w:eastAsia="zh-CN"/>
        </w:rPr>
        <w:t>5.41</w:t>
      </w:r>
      <w:r>
        <w:rPr>
          <w:rFonts w:hint="eastAsia"/>
          <w:lang w:val="en-US" w:eastAsia="zh-CN"/>
        </w:rPr>
        <w:t>%</w:t>
      </w:r>
      <w:r>
        <w:rPr>
          <w:rFonts w:hint="default"/>
          <w:lang w:val="en-US" w:eastAsia="zh-CN"/>
        </w:rPr>
        <w:t>）</w:t>
      </w:r>
      <w:r>
        <w:rPr>
          <w:rFonts w:hint="eastAsia"/>
          <w:lang w:val="en-US" w:eastAsia="zh-CN"/>
        </w:rPr>
        <w:t>及</w:t>
      </w:r>
      <w:r>
        <w:rPr>
          <w:rFonts w:hint="eastAsia"/>
          <w:lang w:val="en-US" w:eastAsia="zh-Hans"/>
        </w:rPr>
        <w:t>“</w:t>
      </w:r>
      <w:r>
        <w:rPr>
          <w:rFonts w:hint="eastAsia"/>
          <w:lang w:val="en-US" w:eastAsia="zh-CN"/>
        </w:rPr>
        <w:t>制造业</w:t>
      </w:r>
      <w:r>
        <w:rPr>
          <w:rFonts w:hint="eastAsia"/>
          <w:lang w:val="en-US" w:eastAsia="zh-Hans"/>
        </w:rPr>
        <w:t>”</w:t>
      </w:r>
      <w:r>
        <w:rPr>
          <w:rFonts w:hint="default"/>
          <w:lang w:val="en-US" w:eastAsia="zh-CN"/>
        </w:rPr>
        <w:t>（</w:t>
      </w:r>
      <w:r>
        <w:rPr>
          <w:rFonts w:hint="eastAsia"/>
          <w:lang w:val="en-US" w:eastAsia="zh-Hans"/>
        </w:rPr>
        <w:t>占比</w:t>
      </w:r>
      <w:r>
        <w:rPr>
          <w:rFonts w:hint="default"/>
          <w:lang w:eastAsia="zh-CN"/>
        </w:rPr>
        <w:t>6.97</w:t>
      </w:r>
      <w:r>
        <w:rPr>
          <w:rFonts w:hint="eastAsia"/>
          <w:lang w:val="en-US" w:eastAsia="zh-CN"/>
        </w:rPr>
        <w:t>%</w:t>
      </w:r>
      <w:r>
        <w:rPr>
          <w:rFonts w:hint="default"/>
          <w:lang w:val="en-US" w:eastAsia="zh-CN"/>
        </w:rPr>
        <w:t>）</w:t>
      </w:r>
      <w:r>
        <w:rPr>
          <w:rFonts w:hint="eastAsia"/>
          <w:lang w:val="en-US" w:eastAsia="zh-CN"/>
        </w:rPr>
        <w:t>。</w:t>
      </w:r>
    </w:p>
    <w:p>
      <w:pPr>
        <w:pStyle w:val="113"/>
        <w:bidi w:val="0"/>
        <w:rPr>
          <w:rFonts w:hint="eastAsia" w:ascii="Times New Roman" w:hAnsi="Times New Roman" w:eastAsia="宋体" w:cstheme="minorBidi"/>
          <w:color w:val="000000"/>
          <w:szCs w:val="24"/>
          <w:lang w:val="en-US" w:eastAsia="zh-CN" w:bidi="ar-SA"/>
        </w:rPr>
      </w:pPr>
      <w:r>
        <w:rPr>
          <w:rFonts w:hint="eastAsia"/>
          <w:lang w:val="en-US" w:eastAsia="zh-CN"/>
        </w:rPr>
        <w:drawing>
          <wp:inline distT="0" distB="0" distL="0" distR="0">
            <wp:extent cx="5522595" cy="4050030"/>
            <wp:effectExtent l="0" t="0" r="14605" b="13970"/>
            <wp:docPr id="1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203"/>
        <w:spacing w:before="156" w:after="156"/>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2</w:t>
      </w:r>
      <w:r>
        <w:rPr>
          <w:rFonts w:hint="eastAsia"/>
        </w:rPr>
        <w:fldChar w:fldCharType="end"/>
      </w:r>
      <w:r>
        <w:t xml:space="preserve">  2021届</w:t>
      </w:r>
      <w:r>
        <w:rPr>
          <w:rFonts w:hint="eastAsia"/>
          <w:lang w:val="en-US" w:eastAsia="zh-Hans"/>
        </w:rPr>
        <w:t>建档立卡</w:t>
      </w:r>
      <w:r>
        <w:rPr>
          <w:rFonts w:hint="eastAsia"/>
        </w:rPr>
        <w:t>毕业生就业行业</w:t>
      </w:r>
      <w:r>
        <w:t>分布</w:t>
      </w:r>
    </w:p>
    <w:p>
      <w:pPr>
        <w:rPr>
          <w:rFonts w:hint="eastAsia"/>
          <w:b/>
          <w:bCs/>
          <w:color w:val="4F81BD" w:themeColor="accent1"/>
          <w:lang w:val="en-US" w:eastAsia="zh-Hans"/>
          <w14:textFill>
            <w14:solidFill>
              <w14:schemeClr w14:val="accent1"/>
            </w14:solidFill>
          </w14:textFill>
        </w:rPr>
      </w:pPr>
      <w:r>
        <w:rPr>
          <w:rFonts w:hint="eastAsia"/>
          <w:b/>
          <w:bCs/>
          <w:color w:val="4F81BD" w:themeColor="accent1"/>
          <w:lang w:val="en-US" w:eastAsia="zh-Hans"/>
          <w14:textFill>
            <w14:solidFill>
              <w14:schemeClr w14:val="accent1"/>
            </w14:solidFill>
          </w14:textFill>
        </w:rPr>
        <w:br w:type="page"/>
      </w:r>
    </w:p>
    <w:p>
      <w:pPr>
        <w:pStyle w:val="113"/>
        <w:bidi w:val="0"/>
        <w:rPr>
          <w:rFonts w:hint="eastAsia"/>
          <w:lang w:val="en-US" w:eastAsia="zh-CN"/>
        </w:rPr>
      </w:pPr>
      <w:r>
        <w:rPr>
          <w:rFonts w:hint="eastAsia"/>
          <w:b/>
          <w:bCs/>
          <w:color w:val="4F81BD" w:themeColor="accent1"/>
          <w:lang w:val="en-US" w:eastAsia="zh-Hans"/>
          <w14:textFill>
            <w14:solidFill>
              <w14:schemeClr w14:val="accent1"/>
            </w14:solidFill>
          </w14:textFill>
        </w:rPr>
        <w:t>本地生源就业行业</w:t>
      </w:r>
      <w:r>
        <w:rPr>
          <w:rFonts w:hint="default"/>
          <w:b/>
          <w:bCs/>
          <w:color w:val="4F81BD" w:themeColor="accent1"/>
          <w:lang w:eastAsia="zh-Hans"/>
          <w14:textFill>
            <w14:solidFill>
              <w14:schemeClr w14:val="accent1"/>
            </w14:solidFill>
          </w14:textFill>
        </w:rPr>
        <w:t>：</w:t>
      </w:r>
      <w:r>
        <w:rPr>
          <w:rFonts w:hint="eastAsia"/>
          <w:lang w:val="en-US" w:eastAsia="zh-CN"/>
        </w:rPr>
        <w:t>2021届</w:t>
      </w:r>
      <w:r>
        <w:rPr>
          <w:rFonts w:hint="eastAsia"/>
          <w:lang w:val="en-US" w:eastAsia="zh-Hans"/>
        </w:rPr>
        <w:t>建本地生源</w:t>
      </w:r>
      <w:r>
        <w:rPr>
          <w:rFonts w:hint="eastAsia"/>
          <w:lang w:val="en-US" w:eastAsia="zh-CN"/>
        </w:rPr>
        <w:t>毕业生就业行业主要集中在“教育”</w:t>
      </w:r>
      <w:r>
        <w:rPr>
          <w:rFonts w:hint="eastAsia"/>
          <w:lang w:val="en-US" w:eastAsia="zh-Hans"/>
        </w:rPr>
        <w:t>行业</w:t>
      </w:r>
      <w:r>
        <w:rPr>
          <w:rFonts w:hint="default"/>
          <w:lang w:eastAsia="zh-Hans"/>
        </w:rPr>
        <w:t>（</w:t>
      </w:r>
      <w:r>
        <w:rPr>
          <w:rFonts w:hint="eastAsia"/>
          <w:lang w:val="en-US" w:eastAsia="zh-Hans"/>
        </w:rPr>
        <w:t>占比</w:t>
      </w:r>
      <w:r>
        <w:rPr>
          <w:rFonts w:hint="eastAsia"/>
          <w:lang w:val="en-US" w:eastAsia="zh-CN"/>
        </w:rPr>
        <w:t>2</w:t>
      </w:r>
      <w:r>
        <w:rPr>
          <w:rFonts w:hint="default"/>
          <w:lang w:eastAsia="zh-CN"/>
        </w:rPr>
        <w:t>8.31</w:t>
      </w:r>
      <w:r>
        <w:rPr>
          <w:rFonts w:hint="eastAsia"/>
          <w:lang w:val="en-US" w:eastAsia="zh-CN"/>
        </w:rPr>
        <w:t>%</w:t>
      </w:r>
      <w:r>
        <w:rPr>
          <w:rFonts w:hint="default"/>
          <w:lang w:eastAsia="zh-CN"/>
        </w:rPr>
        <w:t>）</w:t>
      </w:r>
      <w:r>
        <w:rPr>
          <w:rFonts w:hint="eastAsia"/>
          <w:lang w:val="en-US" w:eastAsia="zh-CN"/>
        </w:rPr>
        <w:t>、</w:t>
      </w:r>
      <w:r>
        <w:rPr>
          <w:rFonts w:hint="eastAsia"/>
          <w:lang w:val="en-US" w:eastAsia="zh-Hans"/>
        </w:rPr>
        <w:t>“</w:t>
      </w:r>
      <w:r>
        <w:rPr>
          <w:rFonts w:hint="eastAsia"/>
          <w:lang w:val="en-US" w:eastAsia="zh-CN"/>
        </w:rPr>
        <w:t>信息传输、软件和信息技术服务业</w:t>
      </w:r>
      <w:r>
        <w:rPr>
          <w:rFonts w:hint="eastAsia"/>
          <w:lang w:val="en-US" w:eastAsia="zh-Hans"/>
        </w:rPr>
        <w:t>”</w:t>
      </w:r>
      <w:r>
        <w:rPr>
          <w:rFonts w:hint="default"/>
          <w:lang w:val="en-US" w:eastAsia="zh-CN"/>
        </w:rPr>
        <w:t>（</w:t>
      </w:r>
      <w:r>
        <w:rPr>
          <w:rFonts w:hint="eastAsia"/>
          <w:lang w:val="en-US" w:eastAsia="zh-Hans"/>
        </w:rPr>
        <w:t>占比</w:t>
      </w:r>
      <w:r>
        <w:rPr>
          <w:rFonts w:hint="eastAsia"/>
          <w:lang w:val="en-US" w:eastAsia="zh-CN"/>
        </w:rPr>
        <w:t>1</w:t>
      </w:r>
      <w:r>
        <w:rPr>
          <w:rFonts w:hint="default"/>
          <w:lang w:eastAsia="zh-CN"/>
        </w:rPr>
        <w:t>2.27</w:t>
      </w:r>
      <w:r>
        <w:rPr>
          <w:rFonts w:hint="eastAsia"/>
          <w:lang w:val="en-US" w:eastAsia="zh-CN"/>
        </w:rPr>
        <w:t>%</w:t>
      </w:r>
      <w:r>
        <w:rPr>
          <w:rFonts w:hint="default"/>
          <w:lang w:val="en-US" w:eastAsia="zh-CN"/>
        </w:rPr>
        <w:t>）</w:t>
      </w:r>
      <w:r>
        <w:rPr>
          <w:rFonts w:hint="eastAsia"/>
          <w:lang w:val="en-US" w:eastAsia="zh-CN"/>
        </w:rPr>
        <w:t>及</w:t>
      </w:r>
      <w:r>
        <w:rPr>
          <w:rFonts w:hint="eastAsia"/>
          <w:lang w:val="en-US" w:eastAsia="zh-Hans"/>
        </w:rPr>
        <w:t>“</w:t>
      </w:r>
      <w:r>
        <w:rPr>
          <w:rFonts w:hint="eastAsia"/>
          <w:lang w:val="en-US" w:eastAsia="zh-CN"/>
        </w:rPr>
        <w:t>居民服务、修理和其他服务业</w:t>
      </w:r>
      <w:r>
        <w:rPr>
          <w:rFonts w:hint="eastAsia"/>
          <w:lang w:val="en-US" w:eastAsia="zh-Hans"/>
        </w:rPr>
        <w:t>”</w:t>
      </w:r>
      <w:r>
        <w:rPr>
          <w:rFonts w:hint="default"/>
          <w:lang w:val="en-US" w:eastAsia="zh-CN"/>
        </w:rPr>
        <w:t>（</w:t>
      </w:r>
      <w:r>
        <w:rPr>
          <w:rFonts w:hint="eastAsia"/>
          <w:lang w:val="en-US" w:eastAsia="zh-Hans"/>
        </w:rPr>
        <w:t>占比</w:t>
      </w:r>
      <w:r>
        <w:rPr>
          <w:rFonts w:hint="default"/>
          <w:lang w:eastAsia="zh-CN"/>
        </w:rPr>
        <w:t>6.87</w:t>
      </w:r>
      <w:r>
        <w:rPr>
          <w:rFonts w:hint="eastAsia"/>
          <w:lang w:val="en-US" w:eastAsia="zh-CN"/>
        </w:rPr>
        <w:t>%</w:t>
      </w:r>
      <w:r>
        <w:rPr>
          <w:rFonts w:hint="default"/>
          <w:lang w:val="en-US" w:eastAsia="zh-CN"/>
        </w:rPr>
        <w:t>）</w:t>
      </w:r>
      <w:r>
        <w:rPr>
          <w:rFonts w:hint="eastAsia"/>
          <w:lang w:val="en-US" w:eastAsia="zh-CN"/>
        </w:rPr>
        <w:t>。</w:t>
      </w:r>
    </w:p>
    <w:p>
      <w:pPr>
        <w:pStyle w:val="113"/>
        <w:bidi w:val="0"/>
        <w:rPr>
          <w:rFonts w:hint="eastAsia" w:ascii="Times New Roman" w:hAnsi="Times New Roman" w:eastAsia="宋体" w:cstheme="minorBidi"/>
          <w:color w:val="000000"/>
          <w:szCs w:val="24"/>
          <w:lang w:val="en-US" w:eastAsia="zh-CN" w:bidi="ar-SA"/>
        </w:rPr>
      </w:pPr>
      <w:r>
        <w:rPr>
          <w:rFonts w:hint="eastAsia"/>
          <w:lang w:val="en-US" w:eastAsia="zh-CN"/>
        </w:rPr>
        <w:drawing>
          <wp:inline distT="0" distB="0" distL="0" distR="0">
            <wp:extent cx="5469890" cy="4356735"/>
            <wp:effectExtent l="0" t="0" r="16510" b="12065"/>
            <wp:docPr id="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203"/>
        <w:spacing w:before="156" w:after="156"/>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3</w:t>
      </w:r>
      <w:r>
        <w:rPr>
          <w:rFonts w:hint="eastAsia"/>
        </w:rPr>
        <w:fldChar w:fldCharType="end"/>
      </w:r>
      <w:r>
        <w:t xml:space="preserve">  2021届</w:t>
      </w:r>
      <w:r>
        <w:rPr>
          <w:rFonts w:hint="eastAsia"/>
          <w:lang w:val="en-US" w:eastAsia="zh-Hans"/>
        </w:rPr>
        <w:t>本地生源</w:t>
      </w:r>
      <w:r>
        <w:rPr>
          <w:rFonts w:hint="eastAsia"/>
        </w:rPr>
        <w:t>毕业生就业行业</w:t>
      </w:r>
      <w:r>
        <w:t>分布</w:t>
      </w:r>
    </w:p>
    <w:p>
      <w:pPr>
        <w:rPr>
          <w:rFonts w:hint="default"/>
          <w:lang w:eastAsia="zh-CN"/>
        </w:rPr>
      </w:pPr>
      <w:r>
        <w:rPr>
          <w:rFonts w:hint="default"/>
          <w:lang w:eastAsia="zh-CN"/>
        </w:rPr>
        <w:br w:type="page"/>
      </w:r>
    </w:p>
    <w:p>
      <w:pPr>
        <w:pStyle w:val="113"/>
        <w:bidi w:val="0"/>
        <w:rPr>
          <w:rFonts w:hint="eastAsia"/>
          <w:lang w:val="en-US" w:eastAsia="zh-CN"/>
        </w:rPr>
      </w:pPr>
      <w:r>
        <w:rPr>
          <w:rFonts w:hint="default"/>
          <w:lang w:eastAsia="zh-CN"/>
        </w:rPr>
        <w:t xml:space="preserve"> </w:t>
      </w:r>
      <w:r>
        <w:rPr>
          <w:rFonts w:hint="eastAsia"/>
          <w:b/>
          <w:bCs/>
          <w:color w:val="4F81BD" w:themeColor="accent1"/>
          <w:lang w:val="en-US" w:eastAsia="zh-Hans"/>
          <w14:textFill>
            <w14:solidFill>
              <w14:schemeClr w14:val="accent1"/>
            </w14:solidFill>
          </w14:textFill>
        </w:rPr>
        <w:t>外地生源本地就业行业</w:t>
      </w:r>
      <w:r>
        <w:rPr>
          <w:rFonts w:hint="default"/>
          <w:b/>
          <w:bCs/>
          <w:color w:val="4F81BD" w:themeColor="accent1"/>
          <w:lang w:eastAsia="zh-Hans"/>
          <w14:textFill>
            <w14:solidFill>
              <w14:schemeClr w14:val="accent1"/>
            </w14:solidFill>
          </w14:textFill>
        </w:rPr>
        <w:t>：</w:t>
      </w:r>
      <w:r>
        <w:rPr>
          <w:rFonts w:hint="eastAsia"/>
          <w:lang w:val="en-US" w:eastAsia="zh-CN"/>
        </w:rPr>
        <w:t>2021届</w:t>
      </w:r>
      <w:r>
        <w:rPr>
          <w:rFonts w:hint="eastAsia"/>
          <w:lang w:val="en-US" w:eastAsia="zh-Hans"/>
        </w:rPr>
        <w:t>外地生源</w:t>
      </w:r>
      <w:r>
        <w:rPr>
          <w:rFonts w:hint="eastAsia"/>
          <w:lang w:val="en-US" w:eastAsia="zh-CN"/>
        </w:rPr>
        <w:t>毕业生</w:t>
      </w:r>
      <w:r>
        <w:rPr>
          <w:rFonts w:hint="eastAsia"/>
          <w:lang w:val="en-US" w:eastAsia="zh-Hans"/>
        </w:rPr>
        <w:t>本地</w:t>
      </w:r>
      <w:r>
        <w:rPr>
          <w:rFonts w:hint="eastAsia"/>
          <w:lang w:val="en-US" w:eastAsia="zh-CN"/>
        </w:rPr>
        <w:t>就业行业主要集中在“教育”</w:t>
      </w:r>
      <w:r>
        <w:rPr>
          <w:rFonts w:hint="eastAsia"/>
          <w:lang w:val="en-US" w:eastAsia="zh-Hans"/>
        </w:rPr>
        <w:t>行业</w:t>
      </w:r>
      <w:r>
        <w:rPr>
          <w:rFonts w:hint="default"/>
          <w:lang w:eastAsia="zh-Hans"/>
        </w:rPr>
        <w:t>（</w:t>
      </w:r>
      <w:r>
        <w:rPr>
          <w:rFonts w:hint="eastAsia"/>
          <w:lang w:val="en-US" w:eastAsia="zh-Hans"/>
        </w:rPr>
        <w:t>占比</w:t>
      </w:r>
      <w:r>
        <w:rPr>
          <w:rFonts w:hint="eastAsia"/>
          <w:lang w:val="en-US" w:eastAsia="zh-CN"/>
        </w:rPr>
        <w:t>2</w:t>
      </w:r>
      <w:r>
        <w:rPr>
          <w:rFonts w:hint="default"/>
          <w:lang w:eastAsia="zh-CN"/>
        </w:rPr>
        <w:t>9.82</w:t>
      </w:r>
      <w:r>
        <w:rPr>
          <w:rFonts w:hint="eastAsia"/>
          <w:lang w:val="en-US" w:eastAsia="zh-CN"/>
        </w:rPr>
        <w:t>%</w:t>
      </w:r>
      <w:r>
        <w:rPr>
          <w:rFonts w:hint="default"/>
          <w:lang w:eastAsia="zh-CN"/>
        </w:rPr>
        <w:t>）</w:t>
      </w:r>
      <w:r>
        <w:rPr>
          <w:rFonts w:hint="eastAsia"/>
          <w:lang w:val="en-US" w:eastAsia="zh-CN"/>
        </w:rPr>
        <w:t>、</w:t>
      </w:r>
      <w:r>
        <w:rPr>
          <w:rFonts w:hint="eastAsia"/>
          <w:lang w:val="en-US" w:eastAsia="zh-Hans"/>
        </w:rPr>
        <w:t>“</w:t>
      </w:r>
      <w:r>
        <w:rPr>
          <w:rFonts w:hint="eastAsia"/>
          <w:lang w:val="en-US" w:eastAsia="zh-CN"/>
        </w:rPr>
        <w:t>信息传输、软件和信息技术服务业</w:t>
      </w:r>
      <w:r>
        <w:rPr>
          <w:rFonts w:hint="eastAsia"/>
          <w:lang w:val="en-US" w:eastAsia="zh-Hans"/>
        </w:rPr>
        <w:t>”</w:t>
      </w:r>
      <w:r>
        <w:rPr>
          <w:rFonts w:hint="default"/>
          <w:lang w:val="en-US" w:eastAsia="zh-CN"/>
        </w:rPr>
        <w:t>（</w:t>
      </w:r>
      <w:r>
        <w:rPr>
          <w:rFonts w:hint="eastAsia"/>
          <w:lang w:val="en-US" w:eastAsia="zh-Hans"/>
        </w:rPr>
        <w:t>占比</w:t>
      </w:r>
      <w:r>
        <w:rPr>
          <w:rFonts w:hint="eastAsia"/>
          <w:lang w:val="en-US" w:eastAsia="zh-CN"/>
        </w:rPr>
        <w:t>1</w:t>
      </w:r>
      <w:r>
        <w:rPr>
          <w:rFonts w:hint="default"/>
          <w:lang w:eastAsia="zh-CN"/>
        </w:rPr>
        <w:t>3.33</w:t>
      </w:r>
      <w:r>
        <w:rPr>
          <w:rFonts w:hint="eastAsia"/>
          <w:lang w:val="en-US" w:eastAsia="zh-CN"/>
        </w:rPr>
        <w:t>%</w:t>
      </w:r>
      <w:r>
        <w:rPr>
          <w:rFonts w:hint="default"/>
          <w:lang w:val="en-US" w:eastAsia="zh-CN"/>
        </w:rPr>
        <w:t>）</w:t>
      </w:r>
      <w:r>
        <w:rPr>
          <w:rFonts w:hint="eastAsia"/>
          <w:lang w:val="en-US" w:eastAsia="zh-CN"/>
        </w:rPr>
        <w:t>及</w:t>
      </w:r>
      <w:r>
        <w:rPr>
          <w:rFonts w:hint="eastAsia"/>
          <w:lang w:val="en-US" w:eastAsia="zh-Hans"/>
        </w:rPr>
        <w:t>“</w:t>
      </w:r>
      <w:r>
        <w:rPr>
          <w:rFonts w:hint="eastAsia"/>
          <w:lang w:val="en-US" w:eastAsia="zh-CN"/>
        </w:rPr>
        <w:t>文化、体育和娱乐业</w:t>
      </w:r>
      <w:r>
        <w:rPr>
          <w:rFonts w:hint="eastAsia"/>
          <w:lang w:val="en-US" w:eastAsia="zh-Hans"/>
        </w:rPr>
        <w:t>”</w:t>
      </w:r>
      <w:r>
        <w:rPr>
          <w:rFonts w:hint="default"/>
          <w:lang w:val="en-US" w:eastAsia="zh-CN"/>
        </w:rPr>
        <w:t>（</w:t>
      </w:r>
      <w:r>
        <w:rPr>
          <w:rFonts w:hint="eastAsia"/>
          <w:lang w:val="en-US" w:eastAsia="zh-Hans"/>
        </w:rPr>
        <w:t>占比</w:t>
      </w:r>
      <w:r>
        <w:rPr>
          <w:rFonts w:hint="default"/>
          <w:lang w:eastAsia="zh-Hans"/>
        </w:rPr>
        <w:t>8.07</w:t>
      </w:r>
      <w:r>
        <w:rPr>
          <w:rFonts w:hint="eastAsia"/>
          <w:lang w:val="en-US" w:eastAsia="zh-CN"/>
        </w:rPr>
        <w:t>%</w:t>
      </w:r>
      <w:r>
        <w:rPr>
          <w:rFonts w:hint="default"/>
          <w:lang w:val="en-US" w:eastAsia="zh-CN"/>
        </w:rPr>
        <w:t>）</w:t>
      </w:r>
      <w:r>
        <w:rPr>
          <w:rFonts w:hint="eastAsia"/>
          <w:lang w:val="en-US" w:eastAsia="zh-CN"/>
        </w:rPr>
        <w:t>。</w:t>
      </w:r>
    </w:p>
    <w:p>
      <w:pPr>
        <w:pStyle w:val="113"/>
        <w:bidi w:val="0"/>
        <w:rPr>
          <w:rFonts w:hint="eastAsia" w:ascii="Times New Roman" w:hAnsi="Times New Roman" w:eastAsia="宋体" w:cstheme="minorBidi"/>
          <w:color w:val="000000"/>
          <w:szCs w:val="24"/>
          <w:lang w:val="en-US" w:eastAsia="zh-CN" w:bidi="ar-SA"/>
        </w:rPr>
      </w:pPr>
      <w:r>
        <w:rPr>
          <w:rFonts w:hint="eastAsia"/>
          <w:lang w:val="en-US" w:eastAsia="zh-CN"/>
        </w:rPr>
        <w:drawing>
          <wp:inline distT="0" distB="0" distL="0" distR="0">
            <wp:extent cx="5469890" cy="4356735"/>
            <wp:effectExtent l="0" t="0" r="16510" b="12065"/>
            <wp:docPr id="16"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203"/>
        <w:spacing w:before="156" w:after="156"/>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4</w:t>
      </w:r>
      <w:r>
        <w:rPr>
          <w:rFonts w:hint="eastAsia"/>
        </w:rPr>
        <w:fldChar w:fldCharType="end"/>
      </w:r>
      <w:r>
        <w:t xml:space="preserve">  2021届</w:t>
      </w:r>
      <w:r>
        <w:rPr>
          <w:rFonts w:hint="eastAsia"/>
          <w:lang w:val="en-US" w:eastAsia="zh-Hans"/>
        </w:rPr>
        <w:t>外地生源</w:t>
      </w:r>
      <w:r>
        <w:rPr>
          <w:rFonts w:hint="eastAsia"/>
        </w:rPr>
        <w:t>毕业生</w:t>
      </w:r>
      <w:r>
        <w:rPr>
          <w:rFonts w:hint="eastAsia"/>
          <w:lang w:val="en-US" w:eastAsia="zh-Hans"/>
        </w:rPr>
        <w:t>本地</w:t>
      </w:r>
      <w:r>
        <w:rPr>
          <w:rFonts w:hint="eastAsia"/>
        </w:rPr>
        <w:t>就业行业</w:t>
      </w:r>
      <w:r>
        <w:t>分布</w:t>
      </w:r>
    </w:p>
    <w:p>
      <w:pPr>
        <w:rPr>
          <w:rFonts w:hint="eastAsia"/>
          <w:szCs w:val="22"/>
          <w:lang w:val="en-US" w:eastAsia="zh-Hans"/>
        </w:rPr>
      </w:pPr>
      <w:r>
        <w:rPr>
          <w:rFonts w:hint="eastAsia"/>
          <w:szCs w:val="22"/>
          <w:lang w:val="en-US" w:eastAsia="zh-Hans"/>
        </w:rPr>
        <w:br w:type="page"/>
      </w:r>
    </w:p>
    <w:p>
      <w:pPr>
        <w:pStyle w:val="142"/>
        <w:shd w:val="clear" w:color="auto" w:fill="auto"/>
        <w:bidi w:val="0"/>
        <w:rPr>
          <w:rFonts w:hint="eastAsia"/>
          <w:szCs w:val="22"/>
          <w:lang w:val="en-US" w:eastAsia="zh-Hans"/>
        </w:rPr>
      </w:pPr>
      <w:bookmarkStart w:id="80" w:name="_Toc477904278"/>
      <w:r>
        <w:rPr>
          <w:rFonts w:hint="eastAsia"/>
          <w:szCs w:val="22"/>
          <w:lang w:val="en-US" w:eastAsia="zh-Hans"/>
        </w:rPr>
        <w:t>二</w:t>
      </w:r>
      <w:r>
        <w:rPr>
          <w:rFonts w:hint="default"/>
          <w:szCs w:val="22"/>
          <w:lang w:eastAsia="zh-Hans"/>
        </w:rPr>
        <w:t>、</w:t>
      </w:r>
      <w:r>
        <w:rPr>
          <w:rFonts w:hint="eastAsia"/>
          <w:szCs w:val="22"/>
          <w:lang w:val="en-US" w:eastAsia="zh-Hans"/>
        </w:rPr>
        <w:t>就业单位性质</w:t>
      </w:r>
      <w:bookmarkEnd w:id="80"/>
    </w:p>
    <w:p>
      <w:pPr>
        <w:pStyle w:val="113"/>
        <w:bidi w:val="0"/>
      </w:pPr>
      <w:r>
        <w:rPr>
          <w:rFonts w:hint="eastAsia"/>
          <w:b/>
          <w:bCs/>
          <w:color w:val="4F81BD" w:themeColor="accent1"/>
          <w:lang w:val="en-US" w:eastAsia="zh-Hans"/>
          <w14:textFill>
            <w14:solidFill>
              <w14:schemeClr w14:val="accent1"/>
            </w14:solidFill>
          </w14:textFill>
        </w:rPr>
        <w:t>毕业生就业单位性质</w:t>
      </w:r>
      <w:r>
        <w:rPr>
          <w:rFonts w:hint="default"/>
          <w:b/>
          <w:bCs/>
          <w:color w:val="4F81BD" w:themeColor="accent1"/>
          <w:lang w:eastAsia="zh-Hans"/>
          <w14:textFill>
            <w14:solidFill>
              <w14:schemeClr w14:val="accent1"/>
            </w14:solidFill>
          </w14:textFill>
        </w:rPr>
        <w:t>：</w:t>
      </w:r>
      <w:r>
        <w:rPr>
          <w:rFonts w:hint="eastAsia"/>
        </w:rPr>
        <w:t>学校</w:t>
      </w:r>
      <w:r>
        <w:t>2021届毕业生</w:t>
      </w:r>
      <w:r>
        <w:rPr>
          <w:rFonts w:hint="eastAsia"/>
        </w:rPr>
        <w:t>主要流向单位类型为</w:t>
      </w:r>
      <w:r>
        <w:rPr>
          <w:rFonts w:hint="eastAsia"/>
          <w:lang w:eastAsia="zh-Hans"/>
        </w:rPr>
        <w:t>“</w:t>
      </w:r>
      <w:r>
        <w:rPr>
          <w:rFonts w:hint="eastAsia"/>
        </w:rPr>
        <w:t>其他企业</w:t>
      </w:r>
      <w:r>
        <w:rPr>
          <w:rFonts w:hint="eastAsia"/>
          <w:lang w:eastAsia="zh-Hans"/>
        </w:rPr>
        <w:t>”</w:t>
      </w:r>
      <w:r>
        <w:rPr>
          <w:rFonts w:hint="eastAsia"/>
        </w:rPr>
        <w:t>，占比</w:t>
      </w:r>
      <w:r>
        <w:t>达到61.56</w:t>
      </w:r>
      <w:r>
        <w:rPr>
          <w:rFonts w:hint="eastAsia"/>
        </w:rPr>
        <w:t>%</w:t>
      </w:r>
      <w:r>
        <w:t>；</w:t>
      </w:r>
      <w:r>
        <w:rPr>
          <w:rFonts w:hint="eastAsia"/>
        </w:rPr>
        <w:t>其次为</w:t>
      </w:r>
      <w:r>
        <w:rPr>
          <w:rFonts w:hint="eastAsia"/>
          <w:lang w:eastAsia="zh-Hans"/>
        </w:rPr>
        <w:t>“</w:t>
      </w:r>
      <w:r>
        <w:rPr>
          <w:rFonts w:hint="eastAsia"/>
          <w:lang w:val="en-US" w:eastAsia="zh-Hans"/>
        </w:rPr>
        <w:t>中初教育单位</w:t>
      </w:r>
      <w:r>
        <w:rPr>
          <w:rFonts w:hint="eastAsia"/>
          <w:lang w:eastAsia="zh-Hans"/>
        </w:rPr>
        <w:t>”</w:t>
      </w:r>
      <w:r>
        <w:rPr>
          <w:rFonts w:hint="eastAsia"/>
        </w:rPr>
        <w:t>（</w:t>
      </w:r>
      <w:r>
        <w:t>8.22%）</w:t>
      </w:r>
      <w:r>
        <w:rPr>
          <w:rFonts w:hint="eastAsia"/>
          <w:lang w:val="en-US" w:eastAsia="zh-Hans"/>
        </w:rPr>
        <w:t>和“国有企业”</w:t>
      </w:r>
      <w:r>
        <w:rPr>
          <w:rFonts w:hint="default"/>
          <w:lang w:eastAsia="zh-Hans"/>
        </w:rPr>
        <w:t>（</w:t>
      </w:r>
      <w:r>
        <w:rPr>
          <w:rFonts w:hint="eastAsia"/>
          <w:lang w:val="en-US" w:eastAsia="zh-Hans"/>
        </w:rPr>
        <w:t>5.21%</w:t>
      </w:r>
      <w:r>
        <w:rPr>
          <w:rFonts w:hint="default"/>
          <w:lang w:eastAsia="zh-Hans"/>
        </w:rPr>
        <w:t>）</w:t>
      </w:r>
      <w:r>
        <w:rPr>
          <w:rFonts w:hint="eastAsia"/>
        </w:rPr>
        <w:t>。</w:t>
      </w:r>
    </w:p>
    <w:p>
      <w:pPr>
        <w:pStyle w:val="199"/>
        <w:ind w:firstLine="480"/>
      </w:pPr>
      <w:r>
        <w:drawing>
          <wp:inline distT="0" distB="0" distL="0" distR="0">
            <wp:extent cx="5622925" cy="2628265"/>
            <wp:effectExtent l="0" t="0" r="15875" b="13335"/>
            <wp:docPr id="987"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203"/>
        <w:spacing w:before="156" w:after="156"/>
      </w:pPr>
      <w:bookmarkStart w:id="81" w:name="_Toc55919988"/>
      <w:bookmarkStart w:id="82" w:name="_Toc42074236"/>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 MERGEFORMAT </w:instrText>
      </w:r>
      <w:r>
        <w:rPr>
          <w:rFonts w:hint="eastAsia"/>
        </w:rPr>
        <w:fldChar w:fldCharType="separate"/>
      </w:r>
      <w:r>
        <w:rPr>
          <w:rFonts w:hint="eastAsia"/>
        </w:rPr>
        <w:t>5</w:t>
      </w:r>
      <w:r>
        <w:rPr>
          <w:rFonts w:hint="eastAsia"/>
        </w:rPr>
        <w:fldChar w:fldCharType="end"/>
      </w:r>
      <w:r>
        <w:t xml:space="preserve">  2021届毕业生</w:t>
      </w:r>
      <w:r>
        <w:rPr>
          <w:rFonts w:hint="eastAsia"/>
        </w:rPr>
        <w:t>就业单位性质分布</w:t>
      </w:r>
      <w:bookmarkEnd w:id="81"/>
      <w:bookmarkEnd w:id="82"/>
    </w:p>
    <w:p>
      <w:pPr>
        <w:pStyle w:val="113"/>
        <w:bidi w:val="0"/>
      </w:pPr>
      <w:r>
        <w:rPr>
          <w:rFonts w:hint="eastAsia"/>
          <w:b/>
          <w:bCs/>
          <w:color w:val="4F81BD" w:themeColor="accent1"/>
          <w:lang w:val="en-US" w:eastAsia="zh-Hans"/>
          <w14:textFill>
            <w14:solidFill>
              <w14:schemeClr w14:val="accent1"/>
            </w14:solidFill>
          </w14:textFill>
        </w:rPr>
        <w:t>建档立卡毕业生单位性质</w:t>
      </w:r>
      <w:r>
        <w:rPr>
          <w:rFonts w:hint="default"/>
          <w:b/>
          <w:bCs/>
          <w:color w:val="4F81BD" w:themeColor="accent1"/>
          <w:lang w:eastAsia="zh-Hans"/>
          <w14:textFill>
            <w14:solidFill>
              <w14:schemeClr w14:val="accent1"/>
            </w14:solidFill>
          </w14:textFill>
        </w:rPr>
        <w:t>：</w:t>
      </w:r>
      <w:r>
        <w:rPr>
          <w:rFonts w:hint="eastAsia"/>
          <w:lang w:val="en-US" w:eastAsia="zh-CN"/>
        </w:rPr>
        <w:t>2021届</w:t>
      </w:r>
      <w:r>
        <w:rPr>
          <w:rFonts w:hint="eastAsia"/>
          <w:lang w:val="en-US" w:eastAsia="zh-Hans"/>
        </w:rPr>
        <w:t>建档立卡</w:t>
      </w:r>
      <w:r>
        <w:rPr>
          <w:rFonts w:hint="eastAsia"/>
          <w:lang w:val="en-US" w:eastAsia="zh-CN"/>
        </w:rPr>
        <w:t>毕业生</w:t>
      </w:r>
      <w:r>
        <w:rPr>
          <w:rFonts w:hint="eastAsia"/>
        </w:rPr>
        <w:t>主要流向单位类型为</w:t>
      </w:r>
      <w:r>
        <w:rPr>
          <w:rFonts w:hint="eastAsia"/>
          <w:lang w:eastAsia="zh-Hans"/>
        </w:rPr>
        <w:t>“</w:t>
      </w:r>
      <w:r>
        <w:rPr>
          <w:rFonts w:hint="eastAsia"/>
        </w:rPr>
        <w:t>其他企业，占比</w:t>
      </w:r>
      <w:r>
        <w:t>达到61.76</w:t>
      </w:r>
      <w:r>
        <w:rPr>
          <w:rFonts w:hint="eastAsia"/>
        </w:rPr>
        <w:t>%</w:t>
      </w:r>
      <w:r>
        <w:t>；</w:t>
      </w:r>
      <w:r>
        <w:rPr>
          <w:rFonts w:hint="eastAsia"/>
        </w:rPr>
        <w:t>其次为</w:t>
      </w:r>
      <w:r>
        <w:rPr>
          <w:rStyle w:val="137"/>
          <w:rFonts w:hint="eastAsia" w:ascii="宋体" w:hAnsi="宋体" w:eastAsia="宋体" w:cs="宋体"/>
        </w:rPr>
        <w:t>“</w:t>
      </w:r>
      <w:r>
        <w:rPr>
          <w:rStyle w:val="137"/>
          <w:rFonts w:hint="eastAsia" w:ascii="宋体" w:hAnsi="宋体" w:eastAsia="宋体" w:cs="宋体"/>
          <w:lang w:val="en-US" w:eastAsia="zh-Hans"/>
        </w:rPr>
        <w:t>中初教育单位</w:t>
      </w:r>
      <w:r>
        <w:rPr>
          <w:rStyle w:val="137"/>
          <w:rFonts w:hint="eastAsia" w:ascii="宋体" w:hAnsi="宋体" w:eastAsia="宋体" w:cs="宋体"/>
        </w:rPr>
        <w:t>”</w:t>
      </w:r>
      <w:r>
        <w:rPr>
          <w:rFonts w:hint="eastAsia"/>
        </w:rPr>
        <w:t>（</w:t>
      </w:r>
      <w:r>
        <w:t>8.82%）</w:t>
      </w:r>
      <w:r>
        <w:rPr>
          <w:rFonts w:hint="eastAsia"/>
          <w:lang w:val="en-US" w:eastAsia="zh-Hans"/>
        </w:rPr>
        <w:t>和“国有企业”</w:t>
      </w:r>
      <w:r>
        <w:rPr>
          <w:rFonts w:hint="default"/>
          <w:lang w:eastAsia="zh-Hans"/>
        </w:rPr>
        <w:t>（</w:t>
      </w:r>
      <w:r>
        <w:rPr>
          <w:rFonts w:hint="eastAsia"/>
          <w:lang w:val="en-US" w:eastAsia="zh-Hans"/>
        </w:rPr>
        <w:t>5.</w:t>
      </w:r>
      <w:r>
        <w:rPr>
          <w:rFonts w:hint="default"/>
          <w:lang w:eastAsia="zh-Hans"/>
        </w:rPr>
        <w:t>15</w:t>
      </w:r>
      <w:r>
        <w:rPr>
          <w:rFonts w:hint="eastAsia"/>
          <w:lang w:val="en-US" w:eastAsia="zh-Hans"/>
        </w:rPr>
        <w:t>%</w:t>
      </w:r>
      <w:r>
        <w:rPr>
          <w:rFonts w:hint="default"/>
          <w:lang w:eastAsia="zh-Hans"/>
        </w:rPr>
        <w:t>）</w:t>
      </w:r>
      <w:r>
        <w:rPr>
          <w:rFonts w:hint="eastAsia"/>
        </w:rPr>
        <w:t>。</w:t>
      </w:r>
    </w:p>
    <w:p>
      <w:pPr>
        <w:pStyle w:val="199"/>
        <w:ind w:firstLine="480"/>
      </w:pPr>
      <w:r>
        <w:drawing>
          <wp:inline distT="0" distB="0" distL="0" distR="0">
            <wp:extent cx="5497195" cy="2599690"/>
            <wp:effectExtent l="0" t="0" r="14605" b="1651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203"/>
        <w:spacing w:before="156" w:after="156"/>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 MERGEFORMAT </w:instrText>
      </w:r>
      <w:r>
        <w:rPr>
          <w:rFonts w:hint="eastAsia"/>
        </w:rPr>
        <w:fldChar w:fldCharType="separate"/>
      </w:r>
      <w:r>
        <w:rPr>
          <w:rFonts w:hint="eastAsia"/>
        </w:rPr>
        <w:t>6</w:t>
      </w:r>
      <w:r>
        <w:rPr>
          <w:rFonts w:hint="eastAsia"/>
        </w:rPr>
        <w:fldChar w:fldCharType="end"/>
      </w:r>
      <w:r>
        <w:t xml:space="preserve">  2021届</w:t>
      </w:r>
      <w:r>
        <w:rPr>
          <w:rFonts w:hint="eastAsia"/>
          <w:lang w:val="en-US" w:eastAsia="zh-Hans"/>
        </w:rPr>
        <w:t>建档立卡</w:t>
      </w:r>
      <w:r>
        <w:t>毕业生</w:t>
      </w:r>
      <w:r>
        <w:rPr>
          <w:rFonts w:hint="eastAsia"/>
        </w:rPr>
        <w:t>就业单位性质分布</w:t>
      </w:r>
    </w:p>
    <w:p>
      <w:pPr>
        <w:pStyle w:val="113"/>
        <w:bidi w:val="0"/>
      </w:pPr>
      <w:r>
        <w:rPr>
          <w:rFonts w:hint="eastAsia"/>
          <w:b/>
          <w:bCs/>
          <w:color w:val="4F81BD" w:themeColor="accent1"/>
          <w:lang w:val="en-US" w:eastAsia="zh-Hans"/>
          <w14:textFill>
            <w14:solidFill>
              <w14:schemeClr w14:val="accent1"/>
            </w14:solidFill>
          </w14:textFill>
        </w:rPr>
        <w:t>本地生源就业单位性质</w:t>
      </w:r>
      <w:r>
        <w:rPr>
          <w:rFonts w:hint="default"/>
          <w:b/>
          <w:bCs/>
          <w:color w:val="4F81BD" w:themeColor="accent1"/>
          <w:lang w:eastAsia="zh-Hans"/>
          <w14:textFill>
            <w14:solidFill>
              <w14:schemeClr w14:val="accent1"/>
            </w14:solidFill>
          </w14:textFill>
        </w:rPr>
        <w:t>：</w:t>
      </w:r>
      <w:r>
        <w:rPr>
          <w:rFonts w:hint="eastAsia"/>
          <w:lang w:val="en-US" w:eastAsia="zh-CN"/>
        </w:rPr>
        <w:t>2021届</w:t>
      </w:r>
      <w:r>
        <w:rPr>
          <w:rFonts w:hint="eastAsia"/>
          <w:lang w:val="en-US" w:eastAsia="zh-Hans"/>
        </w:rPr>
        <w:t>建本地生源</w:t>
      </w:r>
      <w:r>
        <w:rPr>
          <w:rFonts w:hint="eastAsia"/>
          <w:lang w:val="en-US" w:eastAsia="zh-CN"/>
        </w:rPr>
        <w:t>毕业生</w:t>
      </w:r>
      <w:r>
        <w:rPr>
          <w:rFonts w:hint="eastAsia"/>
        </w:rPr>
        <w:t>主要流向单位类型为</w:t>
      </w:r>
      <w:r>
        <w:rPr>
          <w:rStyle w:val="137"/>
          <w:rFonts w:hint="eastAsia"/>
          <w:lang w:eastAsia="zh-Hans"/>
        </w:rPr>
        <w:t>“</w:t>
      </w:r>
      <w:r>
        <w:rPr>
          <w:rFonts w:hint="eastAsia"/>
        </w:rPr>
        <w:t>其他企业</w:t>
      </w:r>
      <w:r>
        <w:rPr>
          <w:rFonts w:hint="eastAsia"/>
          <w:lang w:eastAsia="zh-Hans"/>
        </w:rPr>
        <w:t>”</w:t>
      </w:r>
      <w:r>
        <w:rPr>
          <w:rFonts w:hint="eastAsia"/>
        </w:rPr>
        <w:t>，占比</w:t>
      </w:r>
      <w:r>
        <w:t>达到57.45</w:t>
      </w:r>
      <w:r>
        <w:rPr>
          <w:rFonts w:hint="eastAsia"/>
        </w:rPr>
        <w:t>%</w:t>
      </w:r>
      <w:r>
        <w:t>；</w:t>
      </w:r>
      <w:r>
        <w:rPr>
          <w:rFonts w:hint="eastAsia"/>
        </w:rPr>
        <w:t>其次为</w:t>
      </w:r>
      <w:r>
        <w:rPr>
          <w:rFonts w:hint="eastAsia"/>
          <w:lang w:eastAsia="zh-Hans"/>
        </w:rPr>
        <w:t>“</w:t>
      </w:r>
      <w:r>
        <w:rPr>
          <w:rFonts w:hint="eastAsia"/>
          <w:lang w:val="en-US" w:eastAsia="zh-Hans"/>
        </w:rPr>
        <w:t>中初教育单位</w:t>
      </w:r>
      <w:r>
        <w:rPr>
          <w:rFonts w:hint="eastAsia"/>
          <w:lang w:eastAsia="zh-Hans"/>
        </w:rPr>
        <w:t>”</w:t>
      </w:r>
      <w:r>
        <w:rPr>
          <w:rFonts w:hint="eastAsia"/>
        </w:rPr>
        <w:t>（</w:t>
      </w:r>
      <w:r>
        <w:t>9.17%）</w:t>
      </w:r>
      <w:r>
        <w:rPr>
          <w:rFonts w:hint="eastAsia"/>
          <w:lang w:val="en-US" w:eastAsia="zh-Hans"/>
        </w:rPr>
        <w:t>和“国有企业”</w:t>
      </w:r>
      <w:r>
        <w:rPr>
          <w:rFonts w:hint="default"/>
          <w:lang w:eastAsia="zh-Hans"/>
        </w:rPr>
        <w:t>（6.55</w:t>
      </w:r>
      <w:r>
        <w:rPr>
          <w:rFonts w:hint="eastAsia"/>
          <w:lang w:val="en-US" w:eastAsia="zh-Hans"/>
        </w:rPr>
        <w:t>%</w:t>
      </w:r>
      <w:r>
        <w:rPr>
          <w:rFonts w:hint="default"/>
          <w:lang w:eastAsia="zh-Hans"/>
        </w:rPr>
        <w:t>）</w:t>
      </w:r>
      <w:r>
        <w:rPr>
          <w:rFonts w:hint="eastAsia"/>
        </w:rPr>
        <w:t>。</w:t>
      </w:r>
    </w:p>
    <w:p>
      <w:pPr>
        <w:pStyle w:val="199"/>
        <w:ind w:firstLine="480"/>
      </w:pPr>
      <w:r>
        <w:drawing>
          <wp:inline distT="0" distB="0" distL="0" distR="0">
            <wp:extent cx="5541645" cy="2862580"/>
            <wp:effectExtent l="0" t="0" r="20955" b="762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203"/>
        <w:spacing w:before="156" w:after="156"/>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 MERGEFORMAT </w:instrText>
      </w:r>
      <w:r>
        <w:rPr>
          <w:rFonts w:hint="eastAsia"/>
        </w:rPr>
        <w:fldChar w:fldCharType="separate"/>
      </w:r>
      <w:r>
        <w:rPr>
          <w:rFonts w:hint="eastAsia"/>
        </w:rPr>
        <w:t>7</w:t>
      </w:r>
      <w:r>
        <w:rPr>
          <w:rFonts w:hint="eastAsia"/>
        </w:rPr>
        <w:fldChar w:fldCharType="end"/>
      </w:r>
      <w:r>
        <w:t xml:space="preserve">  2021届毕业生</w:t>
      </w:r>
      <w:r>
        <w:rPr>
          <w:rFonts w:hint="eastAsia"/>
          <w:lang w:val="en-US" w:eastAsia="zh-Hans"/>
        </w:rPr>
        <w:t>本地生源</w:t>
      </w:r>
      <w:r>
        <w:rPr>
          <w:rFonts w:hint="eastAsia"/>
        </w:rPr>
        <w:t>就业单位性质分布</w:t>
      </w:r>
    </w:p>
    <w:p>
      <w:pPr>
        <w:pStyle w:val="113"/>
        <w:bidi w:val="0"/>
      </w:pPr>
      <w:r>
        <w:rPr>
          <w:rFonts w:hint="eastAsia"/>
          <w:b/>
          <w:bCs/>
          <w:color w:val="4F81BD" w:themeColor="accent1"/>
          <w:lang w:val="en-US" w:eastAsia="zh-Hans"/>
          <w14:textFill>
            <w14:solidFill>
              <w14:schemeClr w14:val="accent1"/>
            </w14:solidFill>
          </w14:textFill>
        </w:rPr>
        <w:t>外地生源本地就业单位性质</w:t>
      </w:r>
      <w:r>
        <w:rPr>
          <w:rFonts w:hint="default"/>
          <w:b/>
          <w:bCs/>
          <w:color w:val="4F81BD" w:themeColor="accent1"/>
          <w:lang w:eastAsia="zh-Hans"/>
          <w14:textFill>
            <w14:solidFill>
              <w14:schemeClr w14:val="accent1"/>
            </w14:solidFill>
          </w14:textFill>
        </w:rPr>
        <w:t>：</w:t>
      </w:r>
      <w:r>
        <w:rPr>
          <w:rFonts w:hint="eastAsia"/>
          <w:lang w:val="en-US" w:eastAsia="zh-CN"/>
        </w:rPr>
        <w:t>2021届</w:t>
      </w:r>
      <w:r>
        <w:rPr>
          <w:rFonts w:hint="eastAsia"/>
          <w:lang w:val="en-US" w:eastAsia="zh-Hans"/>
        </w:rPr>
        <w:t>外地生源</w:t>
      </w:r>
      <w:r>
        <w:rPr>
          <w:rFonts w:hint="eastAsia"/>
          <w:lang w:val="en-US" w:eastAsia="zh-CN"/>
        </w:rPr>
        <w:t>毕业生</w:t>
      </w:r>
      <w:r>
        <w:rPr>
          <w:rFonts w:hint="eastAsia"/>
        </w:rPr>
        <w:t>主要流向单位类型为</w:t>
      </w:r>
      <w:r>
        <w:rPr>
          <w:rFonts w:hint="eastAsia"/>
          <w:lang w:eastAsia="zh-Hans"/>
        </w:rPr>
        <w:t>“</w:t>
      </w:r>
      <w:r>
        <w:rPr>
          <w:rFonts w:hint="eastAsia"/>
        </w:rPr>
        <w:t>其他企业</w:t>
      </w:r>
      <w:r>
        <w:rPr>
          <w:rFonts w:hint="eastAsia"/>
          <w:lang w:eastAsia="zh-Hans"/>
        </w:rPr>
        <w:t>”</w:t>
      </w:r>
      <w:r>
        <w:rPr>
          <w:rFonts w:hint="eastAsia"/>
        </w:rPr>
        <w:t>，占比</w:t>
      </w:r>
      <w:r>
        <w:t>达到73.94</w:t>
      </w:r>
      <w:r>
        <w:rPr>
          <w:rFonts w:hint="eastAsia"/>
        </w:rPr>
        <w:t>%</w:t>
      </w:r>
      <w:r>
        <w:t>；</w:t>
      </w:r>
      <w:r>
        <w:rPr>
          <w:rFonts w:hint="eastAsia"/>
        </w:rPr>
        <w:t>其次为</w:t>
      </w:r>
      <w:r>
        <w:rPr>
          <w:rFonts w:hint="eastAsia"/>
          <w:lang w:eastAsia="zh-Hans"/>
        </w:rPr>
        <w:t>“</w:t>
      </w:r>
      <w:r>
        <w:rPr>
          <w:rFonts w:hint="eastAsia"/>
          <w:lang w:val="en-US" w:eastAsia="zh-Hans"/>
        </w:rPr>
        <w:t>中初教育单位</w:t>
      </w:r>
      <w:r>
        <w:rPr>
          <w:rFonts w:hint="eastAsia"/>
          <w:lang w:eastAsia="zh-Hans"/>
        </w:rPr>
        <w:t>”</w:t>
      </w:r>
      <w:r>
        <w:rPr>
          <w:rFonts w:hint="eastAsia"/>
        </w:rPr>
        <w:t>（</w:t>
      </w:r>
      <w:r>
        <w:t>3.17%）</w:t>
      </w:r>
      <w:r>
        <w:rPr>
          <w:rFonts w:hint="eastAsia"/>
          <w:lang w:val="en-US" w:eastAsia="zh-Hans"/>
        </w:rPr>
        <w:t>和“国有企业”</w:t>
      </w:r>
      <w:r>
        <w:rPr>
          <w:rFonts w:hint="default"/>
          <w:lang w:eastAsia="zh-Hans"/>
        </w:rPr>
        <w:t>（2.46</w:t>
      </w:r>
      <w:r>
        <w:rPr>
          <w:rFonts w:hint="eastAsia"/>
          <w:lang w:val="en-US" w:eastAsia="zh-Hans"/>
        </w:rPr>
        <w:t>%</w:t>
      </w:r>
      <w:r>
        <w:rPr>
          <w:rFonts w:hint="default"/>
          <w:lang w:eastAsia="zh-Hans"/>
        </w:rPr>
        <w:t>）</w:t>
      </w:r>
      <w:r>
        <w:rPr>
          <w:rFonts w:hint="eastAsia"/>
        </w:rPr>
        <w:t>。</w:t>
      </w:r>
    </w:p>
    <w:p>
      <w:pPr>
        <w:pStyle w:val="199"/>
        <w:ind w:firstLine="480"/>
      </w:pPr>
      <w:r>
        <w:drawing>
          <wp:inline distT="0" distB="0" distL="0" distR="0">
            <wp:extent cx="5568315" cy="2776220"/>
            <wp:effectExtent l="0" t="0" r="19685" b="1778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203"/>
        <w:spacing w:before="156" w:after="156"/>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 MERGEFORMAT </w:instrText>
      </w:r>
      <w:r>
        <w:rPr>
          <w:rFonts w:hint="eastAsia"/>
        </w:rPr>
        <w:fldChar w:fldCharType="separate"/>
      </w:r>
      <w:r>
        <w:rPr>
          <w:rFonts w:hint="eastAsia"/>
        </w:rPr>
        <w:t>8</w:t>
      </w:r>
      <w:r>
        <w:rPr>
          <w:rFonts w:hint="eastAsia"/>
        </w:rPr>
        <w:fldChar w:fldCharType="end"/>
      </w:r>
      <w:r>
        <w:t xml:space="preserve">  2021届毕业生</w:t>
      </w:r>
      <w:r>
        <w:rPr>
          <w:rFonts w:hint="eastAsia"/>
          <w:lang w:val="en-US" w:eastAsia="zh-Hans"/>
        </w:rPr>
        <w:t>外地生源本地就业</w:t>
      </w:r>
      <w:r>
        <w:rPr>
          <w:rFonts w:hint="eastAsia"/>
        </w:rPr>
        <w:t>单位性质分布</w:t>
      </w:r>
    </w:p>
    <w:p>
      <w:pPr>
        <w:pStyle w:val="142"/>
        <w:shd w:val="clear" w:color="auto" w:fill="auto"/>
        <w:bidi w:val="0"/>
      </w:pPr>
      <w:bookmarkStart w:id="83" w:name="_Toc548360566"/>
      <w:r>
        <w:rPr>
          <w:rFonts w:hint="eastAsia"/>
        </w:rPr>
        <w:t>三</w:t>
      </w:r>
      <w:r>
        <w:rPr>
          <w:rFonts w:hint="default"/>
        </w:rPr>
        <w:t>、</w:t>
      </w:r>
      <w:r>
        <w:rPr>
          <w:rFonts w:hint="eastAsia"/>
        </w:rPr>
        <w:t>就业</w:t>
      </w:r>
      <w:r>
        <w:t>职业分布</w:t>
      </w:r>
      <w:bookmarkEnd w:id="74"/>
      <w:bookmarkEnd w:id="75"/>
      <w:bookmarkEnd w:id="78"/>
      <w:bookmarkEnd w:id="79"/>
      <w:bookmarkEnd w:id="83"/>
    </w:p>
    <w:p>
      <w:pPr>
        <w:pStyle w:val="113"/>
        <w:bidi w:val="0"/>
      </w:pPr>
      <w:r>
        <w:rPr>
          <w:rFonts w:hint="eastAsia"/>
          <w:b/>
          <w:bCs/>
          <w:color w:val="4F81BD" w:themeColor="accent1"/>
          <w:lang w:val="en-US" w:eastAsia="zh-Hans"/>
          <w14:textFill>
            <w14:solidFill>
              <w14:schemeClr w14:val="accent1"/>
            </w14:solidFill>
          </w14:textFill>
        </w:rPr>
        <w:t>毕业生就业职业分布</w:t>
      </w:r>
      <w:r>
        <w:rPr>
          <w:rFonts w:hint="default"/>
          <w:b/>
          <w:bCs/>
          <w:color w:val="4F81BD" w:themeColor="accent1"/>
          <w:lang w:eastAsia="zh-Hans"/>
          <w14:textFill>
            <w14:solidFill>
              <w14:schemeClr w14:val="accent1"/>
            </w14:solidFill>
          </w14:textFill>
        </w:rPr>
        <w:t>：</w:t>
      </w:r>
      <w:r>
        <w:rPr>
          <w:rFonts w:hint="eastAsia"/>
        </w:rPr>
        <w:t>学校</w:t>
      </w:r>
      <w:r>
        <w:t>2021届毕业生</w:t>
      </w:r>
      <w:r>
        <w:rPr>
          <w:rFonts w:hint="eastAsia"/>
        </w:rPr>
        <w:t>所</w:t>
      </w:r>
      <w:r>
        <w:t>从事</w:t>
      </w:r>
      <w:r>
        <w:rPr>
          <w:rFonts w:hint="eastAsia"/>
        </w:rPr>
        <w:t>的</w:t>
      </w:r>
      <w:r>
        <w:t>职业</w:t>
      </w:r>
      <w:r>
        <w:rPr>
          <w:rFonts w:hint="eastAsia"/>
        </w:rPr>
        <w:t>主要</w:t>
      </w:r>
      <w:r>
        <w:t>为</w:t>
      </w:r>
      <w:r>
        <w:rPr>
          <w:rFonts w:hint="eastAsia"/>
          <w:lang w:eastAsia="zh-Hans"/>
        </w:rPr>
        <w:t>“</w:t>
      </w:r>
      <w:r>
        <w:t>教学人员</w:t>
      </w:r>
      <w:r>
        <w:rPr>
          <w:rFonts w:hint="eastAsia"/>
          <w:lang w:eastAsia="zh-Hans"/>
        </w:rPr>
        <w:t>”</w:t>
      </w:r>
      <w:r>
        <w:t>，</w:t>
      </w:r>
      <w:r>
        <w:rPr>
          <w:rFonts w:hint="eastAsia"/>
        </w:rPr>
        <w:t>占比</w:t>
      </w:r>
      <w:r>
        <w:t>为</w:t>
      </w:r>
      <w:r>
        <w:rPr>
          <w:rFonts w:hint="eastAsia"/>
        </w:rPr>
        <w:t>24.47%；其次为</w:t>
      </w:r>
      <w:r>
        <w:rPr>
          <w:rFonts w:hint="eastAsia"/>
          <w:lang w:eastAsia="zh-Hans"/>
        </w:rPr>
        <w:t>“其他人员”</w:t>
      </w:r>
      <w:r>
        <w:t>，</w:t>
      </w:r>
      <w:r>
        <w:rPr>
          <w:rFonts w:hint="eastAsia"/>
          <w:lang w:val="en-US" w:eastAsia="zh-Hans"/>
        </w:rPr>
        <w:t>占比为</w:t>
      </w:r>
      <w:r>
        <w:rPr>
          <w:rFonts w:hint="eastAsia"/>
        </w:rPr>
        <w:t>15.64%。</w:t>
      </w:r>
    </w:p>
    <w:p>
      <w:pPr>
        <w:spacing w:line="360" w:lineRule="auto"/>
        <w:ind w:firstLine="400" w:firstLineChars="200"/>
        <w:jc w:val="center"/>
        <w:rPr>
          <w:rFonts w:ascii="Times New Roman" w:hAnsi="Times New Roman"/>
          <w:color w:val="000000"/>
          <w:sz w:val="24"/>
          <w:szCs w:val="24"/>
        </w:rPr>
      </w:pPr>
      <w:r>
        <w:drawing>
          <wp:inline distT="0" distB="0" distL="0" distR="0">
            <wp:extent cx="5678805" cy="4603115"/>
            <wp:effectExtent l="0" t="0" r="10795" b="19685"/>
            <wp:docPr id="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203"/>
        <w:spacing w:before="156" w:after="156"/>
      </w:pPr>
      <w:bookmarkStart w:id="84" w:name="_Toc42074235"/>
      <w:bookmarkStart w:id="85" w:name="_Toc55919987"/>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9</w:t>
      </w:r>
      <w:r>
        <w:rPr>
          <w:rFonts w:hint="eastAsia"/>
        </w:rPr>
        <w:fldChar w:fldCharType="end"/>
      </w:r>
      <w:r>
        <w:t xml:space="preserve">  2021届毕业生</w:t>
      </w:r>
      <w:r>
        <w:rPr>
          <w:rFonts w:hint="eastAsia"/>
        </w:rPr>
        <w:t>就业职业分布</w:t>
      </w:r>
      <w:bookmarkEnd w:id="84"/>
      <w:bookmarkEnd w:id="85"/>
    </w:p>
    <w:p>
      <w:pPr>
        <w:rPr>
          <w:rFonts w:hint="eastAsia"/>
          <w:b/>
          <w:bCs/>
          <w:color w:val="4F81BD" w:themeColor="accent1"/>
          <w:lang w:val="en-US" w:eastAsia="zh-Hans"/>
          <w14:textFill>
            <w14:solidFill>
              <w14:schemeClr w14:val="accent1"/>
            </w14:solidFill>
          </w14:textFill>
        </w:rPr>
      </w:pPr>
      <w:bookmarkStart w:id="86" w:name="_Toc520328902"/>
      <w:bookmarkStart w:id="87" w:name="_Toc487789875"/>
      <w:bookmarkStart w:id="88" w:name="_Toc42074249"/>
      <w:bookmarkStart w:id="89" w:name="_Toc487790056"/>
      <w:r>
        <w:rPr>
          <w:rFonts w:hint="eastAsia"/>
          <w:b/>
          <w:bCs/>
          <w:color w:val="4F81BD" w:themeColor="accent1"/>
          <w:lang w:val="en-US" w:eastAsia="zh-Hans"/>
          <w14:textFill>
            <w14:solidFill>
              <w14:schemeClr w14:val="accent1"/>
            </w14:solidFill>
          </w14:textFill>
        </w:rPr>
        <w:br w:type="page"/>
      </w:r>
    </w:p>
    <w:p>
      <w:pPr>
        <w:pStyle w:val="113"/>
        <w:bidi w:val="0"/>
      </w:pPr>
      <w:r>
        <w:rPr>
          <w:rFonts w:hint="eastAsia"/>
          <w:b/>
          <w:bCs/>
          <w:color w:val="4F81BD" w:themeColor="accent1"/>
          <w:lang w:val="en-US" w:eastAsia="zh-Hans"/>
          <w14:textFill>
            <w14:solidFill>
              <w14:schemeClr w14:val="accent1"/>
            </w14:solidFill>
          </w14:textFill>
        </w:rPr>
        <w:t>建档立卡毕业生就业职业分布</w:t>
      </w:r>
      <w:r>
        <w:rPr>
          <w:rFonts w:hint="default"/>
          <w:b/>
          <w:bCs/>
          <w:color w:val="4F81BD" w:themeColor="accent1"/>
          <w:lang w:eastAsia="zh-Hans"/>
          <w14:textFill>
            <w14:solidFill>
              <w14:schemeClr w14:val="accent1"/>
            </w14:solidFill>
          </w14:textFill>
        </w:rPr>
        <w:t>：</w:t>
      </w:r>
      <w:r>
        <w:rPr>
          <w:rFonts w:hint="eastAsia"/>
          <w:lang w:val="en-US" w:eastAsia="zh-CN"/>
        </w:rPr>
        <w:t>2021届</w:t>
      </w:r>
      <w:r>
        <w:rPr>
          <w:rFonts w:hint="eastAsia"/>
          <w:lang w:val="en-US" w:eastAsia="zh-Hans"/>
        </w:rPr>
        <w:t>建档立卡</w:t>
      </w:r>
      <w:r>
        <w:t>毕业生</w:t>
      </w:r>
      <w:r>
        <w:rPr>
          <w:rFonts w:hint="eastAsia"/>
        </w:rPr>
        <w:t>所</w:t>
      </w:r>
      <w:r>
        <w:t>从事</w:t>
      </w:r>
      <w:r>
        <w:rPr>
          <w:rFonts w:hint="eastAsia"/>
        </w:rPr>
        <w:t>的</w:t>
      </w:r>
      <w:r>
        <w:t>职业</w:t>
      </w:r>
      <w:r>
        <w:rPr>
          <w:rFonts w:hint="eastAsia"/>
        </w:rPr>
        <w:t>主要</w:t>
      </w:r>
      <w:r>
        <w:t>为</w:t>
      </w:r>
      <w:r>
        <w:rPr>
          <w:rFonts w:hint="eastAsia"/>
          <w:lang w:eastAsia="zh-Hans"/>
        </w:rPr>
        <w:t>“</w:t>
      </w:r>
      <w:r>
        <w:t>教学人员</w:t>
      </w:r>
      <w:r>
        <w:rPr>
          <w:rFonts w:hint="eastAsia"/>
          <w:lang w:eastAsia="zh-Hans"/>
        </w:rPr>
        <w:t>”</w:t>
      </w:r>
      <w:r>
        <w:t>，</w:t>
      </w:r>
      <w:r>
        <w:rPr>
          <w:rFonts w:hint="eastAsia"/>
        </w:rPr>
        <w:t>占比</w:t>
      </w:r>
      <w:r>
        <w:t>为</w:t>
      </w:r>
      <w:r>
        <w:rPr>
          <w:rFonts w:hint="eastAsia"/>
        </w:rPr>
        <w:t>24.</w:t>
      </w:r>
      <w:r>
        <w:rPr>
          <w:rFonts w:hint="default"/>
        </w:rPr>
        <w:t>08</w:t>
      </w:r>
      <w:r>
        <w:rPr>
          <w:rFonts w:hint="eastAsia"/>
        </w:rPr>
        <w:t>%；其次为</w:t>
      </w:r>
      <w:r>
        <w:rPr>
          <w:rFonts w:hint="eastAsia"/>
          <w:lang w:eastAsia="zh-Hans"/>
        </w:rPr>
        <w:t>“其他人员”</w:t>
      </w:r>
      <w:r>
        <w:t>，</w:t>
      </w:r>
      <w:r>
        <w:rPr>
          <w:rFonts w:hint="eastAsia"/>
          <w:lang w:val="en-US" w:eastAsia="zh-Hans"/>
        </w:rPr>
        <w:t>占比为</w:t>
      </w:r>
      <w:r>
        <w:rPr>
          <w:rFonts w:hint="eastAsia"/>
        </w:rPr>
        <w:t>1</w:t>
      </w:r>
      <w:r>
        <w:rPr>
          <w:rFonts w:hint="default"/>
        </w:rPr>
        <w:t>6.36</w:t>
      </w:r>
      <w:r>
        <w:rPr>
          <w:rFonts w:hint="eastAsia"/>
        </w:rPr>
        <w:t>%。</w:t>
      </w:r>
    </w:p>
    <w:p>
      <w:pPr>
        <w:spacing w:line="360" w:lineRule="auto"/>
        <w:ind w:firstLine="400" w:firstLineChars="200"/>
        <w:jc w:val="center"/>
        <w:rPr>
          <w:rFonts w:ascii="Times New Roman" w:hAnsi="Times New Roman"/>
          <w:color w:val="000000"/>
          <w:sz w:val="24"/>
          <w:szCs w:val="24"/>
        </w:rPr>
      </w:pPr>
      <w:r>
        <w:drawing>
          <wp:inline distT="0" distB="0" distL="0" distR="0">
            <wp:extent cx="5480685" cy="4416425"/>
            <wp:effectExtent l="0" t="0" r="5715" b="3175"/>
            <wp:docPr id="1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203"/>
        <w:spacing w:before="156" w:after="156"/>
        <w:rPr>
          <w:rFonts w:hint="eastAsia"/>
        </w:rPr>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10</w:t>
      </w:r>
      <w:r>
        <w:rPr>
          <w:rFonts w:hint="eastAsia"/>
        </w:rPr>
        <w:fldChar w:fldCharType="end"/>
      </w:r>
      <w:r>
        <w:t xml:space="preserve">  2021届</w:t>
      </w:r>
      <w:r>
        <w:rPr>
          <w:rFonts w:hint="eastAsia"/>
        </w:rPr>
        <w:t>建档立卡</w:t>
      </w:r>
      <w:r>
        <w:t>毕业生</w:t>
      </w:r>
      <w:r>
        <w:rPr>
          <w:rFonts w:hint="eastAsia"/>
        </w:rPr>
        <w:t>就业职业分布</w:t>
      </w:r>
    </w:p>
    <w:p>
      <w:pPr>
        <w:rPr>
          <w:rFonts w:hint="eastAsia"/>
          <w:b/>
          <w:bCs/>
          <w:color w:val="4F81BD" w:themeColor="accent1"/>
          <w:lang w:val="en-US" w:eastAsia="zh-Hans"/>
          <w14:textFill>
            <w14:solidFill>
              <w14:schemeClr w14:val="accent1"/>
            </w14:solidFill>
          </w14:textFill>
        </w:rPr>
      </w:pPr>
      <w:r>
        <w:rPr>
          <w:rFonts w:hint="eastAsia"/>
          <w:b/>
          <w:bCs/>
          <w:color w:val="4F81BD" w:themeColor="accent1"/>
          <w:lang w:val="en-US" w:eastAsia="zh-Hans"/>
          <w14:textFill>
            <w14:solidFill>
              <w14:schemeClr w14:val="accent1"/>
            </w14:solidFill>
          </w14:textFill>
        </w:rPr>
        <w:br w:type="page"/>
      </w:r>
    </w:p>
    <w:p>
      <w:pPr>
        <w:pStyle w:val="113"/>
        <w:bidi w:val="0"/>
      </w:pPr>
      <w:r>
        <w:rPr>
          <w:rFonts w:hint="eastAsia"/>
          <w:b/>
          <w:bCs/>
          <w:color w:val="4F81BD" w:themeColor="accent1"/>
          <w:lang w:val="en-US" w:eastAsia="zh-Hans"/>
          <w14:textFill>
            <w14:solidFill>
              <w14:schemeClr w14:val="accent1"/>
            </w14:solidFill>
          </w14:textFill>
        </w:rPr>
        <w:t>本地生源就业职业</w:t>
      </w:r>
      <w:r>
        <w:rPr>
          <w:rFonts w:hint="default"/>
          <w:b/>
          <w:bCs/>
          <w:color w:val="4F81BD" w:themeColor="accent1"/>
          <w:lang w:eastAsia="zh-Hans"/>
          <w14:textFill>
            <w14:solidFill>
              <w14:schemeClr w14:val="accent1"/>
            </w14:solidFill>
          </w14:textFill>
        </w:rPr>
        <w:t>：</w:t>
      </w:r>
      <w:r>
        <w:rPr>
          <w:rFonts w:hint="eastAsia"/>
          <w:lang w:val="en-US" w:eastAsia="zh-CN"/>
        </w:rPr>
        <w:t>2021届</w:t>
      </w:r>
      <w:r>
        <w:rPr>
          <w:rFonts w:hint="eastAsia"/>
          <w:lang w:val="en-US" w:eastAsia="zh-Hans"/>
        </w:rPr>
        <w:t>建档立卡</w:t>
      </w:r>
      <w:r>
        <w:t>毕业生</w:t>
      </w:r>
      <w:r>
        <w:rPr>
          <w:rFonts w:hint="eastAsia"/>
        </w:rPr>
        <w:t>所</w:t>
      </w:r>
      <w:r>
        <w:t>从事</w:t>
      </w:r>
      <w:r>
        <w:rPr>
          <w:rFonts w:hint="eastAsia"/>
        </w:rPr>
        <w:t>的</w:t>
      </w:r>
      <w:r>
        <w:t>职业</w:t>
      </w:r>
      <w:r>
        <w:rPr>
          <w:rFonts w:hint="eastAsia"/>
        </w:rPr>
        <w:t>主要</w:t>
      </w:r>
      <w:r>
        <w:t>为</w:t>
      </w:r>
      <w:r>
        <w:rPr>
          <w:rFonts w:hint="eastAsia"/>
          <w:lang w:eastAsia="zh-Hans"/>
        </w:rPr>
        <w:t>“</w:t>
      </w:r>
      <w:r>
        <w:t>教学人员</w:t>
      </w:r>
      <w:r>
        <w:rPr>
          <w:rFonts w:hint="eastAsia"/>
          <w:lang w:eastAsia="zh-Hans"/>
        </w:rPr>
        <w:t>”</w:t>
      </w:r>
      <w:r>
        <w:t>，</w:t>
      </w:r>
      <w:r>
        <w:rPr>
          <w:rFonts w:hint="eastAsia"/>
        </w:rPr>
        <w:t>占比</w:t>
      </w:r>
      <w:r>
        <w:t>为</w:t>
      </w:r>
      <w:r>
        <w:rPr>
          <w:rFonts w:hint="eastAsia"/>
        </w:rPr>
        <w:t>2</w:t>
      </w:r>
      <w:r>
        <w:rPr>
          <w:rFonts w:hint="default"/>
        </w:rPr>
        <w:t>8.64</w:t>
      </w:r>
      <w:r>
        <w:rPr>
          <w:rFonts w:hint="eastAsia"/>
        </w:rPr>
        <w:t>%；其次为</w:t>
      </w:r>
      <w:r>
        <w:rPr>
          <w:rFonts w:hint="eastAsia"/>
          <w:lang w:eastAsia="zh-Hans"/>
        </w:rPr>
        <w:t>“其他人员”</w:t>
      </w:r>
      <w:r>
        <w:t>，</w:t>
      </w:r>
      <w:r>
        <w:rPr>
          <w:rFonts w:hint="eastAsia"/>
          <w:lang w:val="en-US" w:eastAsia="zh-Hans"/>
        </w:rPr>
        <w:t>占比为</w:t>
      </w:r>
      <w:r>
        <w:rPr>
          <w:rFonts w:hint="default"/>
        </w:rPr>
        <w:t>15.55</w:t>
      </w:r>
      <w:r>
        <w:rPr>
          <w:rFonts w:hint="eastAsia"/>
        </w:rPr>
        <w:t>%。</w:t>
      </w:r>
    </w:p>
    <w:p>
      <w:pPr>
        <w:spacing w:line="360" w:lineRule="auto"/>
        <w:ind w:firstLine="400" w:firstLineChars="200"/>
        <w:jc w:val="center"/>
        <w:rPr>
          <w:rFonts w:ascii="Times New Roman" w:hAnsi="Times New Roman"/>
          <w:color w:val="000000"/>
          <w:sz w:val="24"/>
          <w:szCs w:val="24"/>
        </w:rPr>
      </w:pPr>
      <w:r>
        <w:drawing>
          <wp:inline distT="0" distB="0" distL="0" distR="0">
            <wp:extent cx="5610225" cy="4489450"/>
            <wp:effectExtent l="0" t="0" r="3175" b="6350"/>
            <wp:docPr id="2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203"/>
        <w:spacing w:before="156" w:after="156"/>
        <w:rPr>
          <w:rFonts w:hint="eastAsia"/>
        </w:rPr>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11</w:t>
      </w:r>
      <w:r>
        <w:rPr>
          <w:rFonts w:hint="eastAsia"/>
        </w:rPr>
        <w:fldChar w:fldCharType="end"/>
      </w:r>
      <w:r>
        <w:t xml:space="preserve">  2021届</w:t>
      </w:r>
      <w:r>
        <w:rPr>
          <w:rFonts w:hint="eastAsia"/>
          <w:lang w:val="en-US" w:eastAsia="zh-Hans"/>
        </w:rPr>
        <w:t>本地生源</w:t>
      </w:r>
      <w:r>
        <w:t>毕业生</w:t>
      </w:r>
      <w:r>
        <w:rPr>
          <w:rFonts w:hint="eastAsia"/>
        </w:rPr>
        <w:t>就业职业分布</w:t>
      </w:r>
    </w:p>
    <w:p>
      <w:pPr>
        <w:rPr>
          <w:rFonts w:hint="eastAsia"/>
          <w:b/>
          <w:bCs/>
          <w:color w:val="4F81BD" w:themeColor="accent1"/>
          <w:lang w:val="en-US" w:eastAsia="zh-Hans"/>
          <w14:textFill>
            <w14:solidFill>
              <w14:schemeClr w14:val="accent1"/>
            </w14:solidFill>
          </w14:textFill>
        </w:rPr>
      </w:pPr>
      <w:r>
        <w:rPr>
          <w:rFonts w:hint="eastAsia"/>
          <w:b/>
          <w:bCs/>
          <w:color w:val="4F81BD" w:themeColor="accent1"/>
          <w:lang w:val="en-US" w:eastAsia="zh-Hans"/>
          <w14:textFill>
            <w14:solidFill>
              <w14:schemeClr w14:val="accent1"/>
            </w14:solidFill>
          </w14:textFill>
        </w:rPr>
        <w:br w:type="page"/>
      </w:r>
    </w:p>
    <w:p>
      <w:pPr>
        <w:pStyle w:val="113"/>
        <w:bidi w:val="0"/>
      </w:pPr>
      <w:r>
        <w:rPr>
          <w:rFonts w:hint="eastAsia"/>
          <w:b/>
          <w:bCs/>
          <w:color w:val="4F81BD" w:themeColor="accent1"/>
          <w:lang w:val="en-US" w:eastAsia="zh-Hans"/>
          <w14:textFill>
            <w14:solidFill>
              <w14:schemeClr w14:val="accent1"/>
            </w14:solidFill>
          </w14:textFill>
        </w:rPr>
        <w:t>外地生源就业职业</w:t>
      </w:r>
      <w:r>
        <w:rPr>
          <w:rFonts w:hint="default"/>
          <w:b/>
          <w:bCs/>
          <w:color w:val="4F81BD" w:themeColor="accent1"/>
          <w:lang w:eastAsia="zh-Hans"/>
          <w14:textFill>
            <w14:solidFill>
              <w14:schemeClr w14:val="accent1"/>
            </w14:solidFill>
          </w14:textFill>
        </w:rPr>
        <w:t>：</w:t>
      </w:r>
      <w:r>
        <w:rPr>
          <w:rFonts w:hint="eastAsia"/>
          <w:lang w:val="en-US" w:eastAsia="zh-CN"/>
        </w:rPr>
        <w:t>2021届</w:t>
      </w:r>
      <w:r>
        <w:rPr>
          <w:rFonts w:hint="eastAsia"/>
          <w:lang w:val="en-US" w:eastAsia="zh-Hans"/>
        </w:rPr>
        <w:t>建档立卡</w:t>
      </w:r>
      <w:r>
        <w:t>毕业生</w:t>
      </w:r>
      <w:r>
        <w:rPr>
          <w:rFonts w:hint="eastAsia"/>
        </w:rPr>
        <w:t>所</w:t>
      </w:r>
      <w:r>
        <w:t>从事</w:t>
      </w:r>
      <w:r>
        <w:rPr>
          <w:rFonts w:hint="eastAsia"/>
        </w:rPr>
        <w:t>的</w:t>
      </w:r>
      <w:r>
        <w:t>职业</w:t>
      </w:r>
      <w:r>
        <w:rPr>
          <w:rFonts w:hint="eastAsia"/>
        </w:rPr>
        <w:t>主要</w:t>
      </w:r>
      <w:r>
        <w:t>为</w:t>
      </w:r>
      <w:r>
        <w:rPr>
          <w:rFonts w:hint="eastAsia"/>
          <w:lang w:eastAsia="zh-Hans"/>
        </w:rPr>
        <w:t>“</w:t>
      </w:r>
      <w:r>
        <w:t>教学人员</w:t>
      </w:r>
      <w:r>
        <w:rPr>
          <w:rFonts w:hint="eastAsia"/>
          <w:lang w:eastAsia="zh-Hans"/>
        </w:rPr>
        <w:t>”</w:t>
      </w:r>
      <w:r>
        <w:t>，</w:t>
      </w:r>
      <w:r>
        <w:rPr>
          <w:rFonts w:hint="eastAsia"/>
        </w:rPr>
        <w:t>占比</w:t>
      </w:r>
      <w:r>
        <w:t>为</w:t>
      </w:r>
      <w:r>
        <w:rPr>
          <w:rFonts w:hint="default"/>
        </w:rPr>
        <w:t>27.46</w:t>
      </w:r>
      <w:r>
        <w:rPr>
          <w:rFonts w:hint="eastAsia"/>
        </w:rPr>
        <w:t>%；其次为</w:t>
      </w:r>
      <w:r>
        <w:rPr>
          <w:rFonts w:hint="eastAsia"/>
          <w:lang w:eastAsia="zh-Hans"/>
        </w:rPr>
        <w:t>“其他人员”</w:t>
      </w:r>
      <w:r>
        <w:t>，</w:t>
      </w:r>
      <w:r>
        <w:rPr>
          <w:rFonts w:hint="eastAsia"/>
          <w:lang w:val="en-US" w:eastAsia="zh-Hans"/>
        </w:rPr>
        <w:t>占比为</w:t>
      </w:r>
      <w:r>
        <w:rPr>
          <w:rFonts w:hint="default"/>
        </w:rPr>
        <w:t>19.01</w:t>
      </w:r>
      <w:r>
        <w:rPr>
          <w:rFonts w:hint="eastAsia"/>
        </w:rPr>
        <w:t>%。</w:t>
      </w:r>
    </w:p>
    <w:p>
      <w:pPr>
        <w:spacing w:line="360" w:lineRule="auto"/>
        <w:ind w:firstLine="400" w:firstLineChars="200"/>
        <w:jc w:val="center"/>
        <w:rPr>
          <w:rFonts w:ascii="Times New Roman" w:hAnsi="Times New Roman"/>
          <w:color w:val="000000"/>
          <w:sz w:val="24"/>
          <w:szCs w:val="24"/>
        </w:rPr>
      </w:pPr>
      <w:r>
        <w:drawing>
          <wp:inline distT="0" distB="0" distL="0" distR="0">
            <wp:extent cx="5618480" cy="4339590"/>
            <wp:effectExtent l="0" t="0" r="20320" b="3810"/>
            <wp:docPr id="3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203"/>
        <w:spacing w:before="156" w:after="156"/>
        <w:rPr>
          <w:rFonts w:hint="eastAsia"/>
        </w:rPr>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12</w:t>
      </w:r>
      <w:r>
        <w:rPr>
          <w:rFonts w:hint="eastAsia"/>
        </w:rPr>
        <w:fldChar w:fldCharType="end"/>
      </w:r>
      <w:r>
        <w:t xml:space="preserve">  2021届</w:t>
      </w:r>
      <w:r>
        <w:rPr>
          <w:rFonts w:hint="eastAsia"/>
          <w:lang w:val="en-US" w:eastAsia="zh-Hans"/>
        </w:rPr>
        <w:t>外地生源</w:t>
      </w:r>
      <w:r>
        <w:t>毕业生</w:t>
      </w:r>
      <w:r>
        <w:rPr>
          <w:rFonts w:hint="eastAsia"/>
        </w:rPr>
        <w:t>就业职业分布</w:t>
      </w:r>
      <w:bookmarkEnd w:id="86"/>
      <w:bookmarkEnd w:id="87"/>
      <w:bookmarkEnd w:id="88"/>
      <w:bookmarkEnd w:id="89"/>
    </w:p>
    <w:p>
      <w:pPr>
        <w:pStyle w:val="142"/>
        <w:numPr>
          <w:ilvl w:val="0"/>
          <w:numId w:val="0"/>
        </w:numPr>
        <w:rPr>
          <w:rFonts w:hint="eastAsia"/>
          <w:color w:val="4F81BD" w:themeColor="accent1"/>
          <w:lang w:val="en-US" w:eastAsia="zh-Hans"/>
          <w14:textFill>
            <w14:solidFill>
              <w14:schemeClr w14:val="accent1"/>
            </w14:solidFill>
          </w14:textFill>
        </w:rPr>
      </w:pPr>
      <w:bookmarkStart w:id="90" w:name="_Toc1443703485"/>
      <w:r>
        <w:rPr>
          <w:rFonts w:hint="eastAsia"/>
          <w:color w:val="4F81BD" w:themeColor="accent1"/>
          <w:lang w:val="en-US" w:eastAsia="zh-Hans"/>
          <w14:textFill>
            <w14:solidFill>
              <w14:schemeClr w14:val="accent1"/>
            </w14:solidFill>
          </w14:textFill>
        </w:rPr>
        <w:t>四</w:t>
      </w:r>
      <w:r>
        <w:rPr>
          <w:rFonts w:hint="default"/>
          <w:color w:val="4F81BD" w:themeColor="accent1"/>
          <w:lang w:eastAsia="zh-Hans"/>
          <w14:textFill>
            <w14:solidFill>
              <w14:schemeClr w14:val="accent1"/>
            </w14:solidFill>
          </w14:textFill>
        </w:rPr>
        <w:t>、</w:t>
      </w:r>
      <w:r>
        <w:rPr>
          <w:rFonts w:hint="eastAsia"/>
          <w:color w:val="4F81BD" w:themeColor="accent1"/>
          <w:lang w:val="en-US" w:eastAsia="zh-Hans"/>
          <w14:textFill>
            <w14:solidFill>
              <w14:schemeClr w14:val="accent1"/>
            </w14:solidFill>
          </w14:textFill>
        </w:rPr>
        <w:t>就业流向</w:t>
      </w:r>
      <w:bookmarkEnd w:id="90"/>
    </w:p>
    <w:p>
      <w:pPr>
        <w:pStyle w:val="144"/>
        <w:bidi w:val="0"/>
        <w:rPr>
          <w:rFonts w:hint="eastAsia"/>
          <w:lang w:val="zh-CN"/>
        </w:rPr>
      </w:pPr>
      <w:r>
        <w:rPr>
          <w:rFonts w:hint="eastAsia" w:ascii="Times New Roman" w:hAnsi="Times New Roman" w:eastAsia="宋体" w:cstheme="minorBidi"/>
          <w:b/>
          <w:color w:val="4F81BD" w:themeColor="accent1"/>
          <w:kern w:val="0"/>
          <w:sz w:val="24"/>
          <w:szCs w:val="24"/>
          <w:lang w:val="zh-CN" w:eastAsia="zh-CN" w:bidi="ar-SA"/>
          <w14:textFill>
            <w14:solidFill>
              <w14:schemeClr w14:val="accent1"/>
            </w14:solidFill>
          </w14:textFill>
        </w:rPr>
        <w:t>就业区域分布：</w:t>
      </w:r>
      <w:r>
        <w:rPr>
          <w:rFonts w:hint="eastAsia"/>
          <w:lang w:val="en-US" w:eastAsia="zh-Hans"/>
        </w:rPr>
        <w:t>西南</w:t>
      </w:r>
      <w:r>
        <w:rPr>
          <w:rFonts w:hint="eastAsia"/>
          <w:lang w:val="zh-CN"/>
        </w:rPr>
        <w:t>地区（</w:t>
      </w:r>
      <w:r>
        <w:rPr>
          <w:rFonts w:hint="default"/>
        </w:rPr>
        <w:t>76.87</w:t>
      </w:r>
      <w:r>
        <w:rPr>
          <w:rFonts w:hint="eastAsia"/>
          <w:lang w:val="zh-CN"/>
        </w:rPr>
        <w:t>%）为学校 202</w:t>
      </w:r>
      <w:r>
        <w:rPr>
          <w:rFonts w:hint="default"/>
        </w:rPr>
        <w:t>1</w:t>
      </w:r>
      <w:r>
        <w:rPr>
          <w:rFonts w:hint="eastAsia"/>
          <w:lang w:val="zh-CN"/>
        </w:rPr>
        <w:t xml:space="preserve"> 届毕业生就业主战场，华南地区（</w:t>
      </w:r>
      <w:r>
        <w:rPr>
          <w:rFonts w:hint="default"/>
        </w:rPr>
        <w:t>7.40</w:t>
      </w:r>
      <w:r>
        <w:rPr>
          <w:rFonts w:hint="eastAsia"/>
          <w:lang w:val="zh-CN"/>
        </w:rPr>
        <w:t>%）次之。</w:t>
      </w:r>
    </w:p>
    <w:p>
      <w:pPr>
        <w:pStyle w:val="203"/>
        <w:spacing w:before="156" w:after="156"/>
      </w:pPr>
      <w:bookmarkStart w:id="91" w:name="_Toc487790059"/>
      <w:bookmarkStart w:id="92" w:name="_Toc487789878"/>
      <w:r>
        <w:drawing>
          <wp:inline distT="0" distB="0" distL="114300" distR="114300">
            <wp:extent cx="5654675" cy="2230755"/>
            <wp:effectExtent l="0" t="0" r="9525" b="4445"/>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203"/>
        <w:spacing w:before="156" w:after="156"/>
      </w:pP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13</w:t>
      </w:r>
      <w:r>
        <w:rPr>
          <w:rFonts w:hint="eastAsia"/>
        </w:rPr>
        <w:fldChar w:fldCharType="end"/>
      </w:r>
      <w:r>
        <w:t xml:space="preserve">  2021届毕业生</w:t>
      </w:r>
      <w:r>
        <w:rPr>
          <w:rFonts w:hint="eastAsia"/>
        </w:rPr>
        <w:t>就业</w:t>
      </w:r>
      <w:r>
        <w:rPr>
          <w:rFonts w:hint="eastAsia"/>
          <w:lang w:val="en-US" w:eastAsia="zh-Hans"/>
        </w:rPr>
        <w:t>区域</w:t>
      </w:r>
      <w:r>
        <w:rPr>
          <w:rFonts w:hint="eastAsia"/>
        </w:rPr>
        <w:t>分布</w:t>
      </w:r>
    </w:p>
    <w:p>
      <w:pPr>
        <w:pStyle w:val="199"/>
        <w:ind w:firstLine="482"/>
      </w:pPr>
      <w:r>
        <w:rPr>
          <w:rFonts w:hint="eastAsia"/>
          <w:b/>
          <w:color w:val="4F81BD" w:themeColor="accent1"/>
          <w:lang w:val="zh-CN"/>
          <w14:textFill>
            <w14:solidFill>
              <w14:schemeClr w14:val="accent1"/>
            </w14:solidFill>
          </w14:textFill>
        </w:rPr>
        <w:t>就业</w:t>
      </w:r>
      <w:r>
        <w:rPr>
          <w:rFonts w:hint="eastAsia"/>
          <w:b/>
          <w:color w:val="4F81BD" w:themeColor="accent1"/>
          <w:lang w:val="en-US" w:eastAsia="zh-Hans"/>
          <w14:textFill>
            <w14:solidFill>
              <w14:schemeClr w14:val="accent1"/>
            </w14:solidFill>
          </w14:textFill>
        </w:rPr>
        <w:t>省份</w:t>
      </w:r>
      <w:r>
        <w:rPr>
          <w:b/>
          <w:color w:val="4F81BD" w:themeColor="accent1"/>
          <w:lang w:val="zh-CN"/>
          <w14:textFill>
            <w14:solidFill>
              <w14:schemeClr w14:val="accent1"/>
            </w14:solidFill>
          </w14:textFill>
        </w:rPr>
        <w:t>分布：</w:t>
      </w:r>
      <w:r>
        <w:rPr>
          <w:rFonts w:hint="eastAsia"/>
        </w:rPr>
        <w:t>学校</w:t>
      </w:r>
      <w:r>
        <w:t>2021届毕业生</w:t>
      </w:r>
      <w:r>
        <w:rPr>
          <w:rFonts w:hint="eastAsia"/>
        </w:rPr>
        <w:t>主要选择在</w:t>
      </w:r>
      <w:r>
        <w:rPr>
          <w:rFonts w:hint="eastAsia"/>
          <w:lang w:val="en-US" w:eastAsia="zh-Hans"/>
        </w:rPr>
        <w:t>贵州</w:t>
      </w:r>
      <w:r>
        <w:rPr>
          <w:rFonts w:hint="eastAsia"/>
        </w:rPr>
        <w:t>省内就业</w:t>
      </w:r>
      <w:r>
        <w:t>（</w:t>
      </w:r>
      <w:r>
        <w:rPr>
          <w:rFonts w:hint="eastAsia"/>
        </w:rPr>
        <w:t>72.39%</w:t>
      </w:r>
      <w:r>
        <w:t>）</w:t>
      </w:r>
      <w:r>
        <w:rPr>
          <w:rFonts w:hint="eastAsia"/>
        </w:rPr>
        <w:t>，服务地方经济发展。</w:t>
      </w:r>
      <w:r>
        <w:rPr>
          <w:rFonts w:hint="eastAsia"/>
          <w:lang w:val="en-US" w:eastAsia="zh-Hans"/>
        </w:rPr>
        <w:t>其次为广东省</w:t>
      </w:r>
      <w:r>
        <w:rPr>
          <w:rFonts w:hint="default"/>
          <w:lang w:eastAsia="zh-Hans"/>
        </w:rPr>
        <w:t>（6.90%）、</w:t>
      </w:r>
      <w:r>
        <w:rPr>
          <w:rFonts w:hint="eastAsia"/>
          <w:lang w:val="en-US" w:eastAsia="zh-Hans"/>
        </w:rPr>
        <w:t>湖南省</w:t>
      </w:r>
      <w:r>
        <w:rPr>
          <w:rFonts w:hint="default"/>
          <w:lang w:eastAsia="zh-Hans"/>
        </w:rPr>
        <w:t>（3.23%）。</w:t>
      </w:r>
    </w:p>
    <w:p>
      <w:pPr>
        <w:pStyle w:val="203"/>
        <w:spacing w:before="156" w:after="156"/>
      </w:pPr>
      <w:r>
        <w:drawing>
          <wp:inline distT="0" distB="0" distL="0" distR="0">
            <wp:extent cx="5963285" cy="4265295"/>
            <wp:effectExtent l="0" t="0" r="0" b="0"/>
            <wp:docPr id="47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14</w:t>
      </w:r>
      <w:r>
        <w:rPr>
          <w:rFonts w:hint="eastAsia"/>
        </w:rPr>
        <w:fldChar w:fldCharType="end"/>
      </w:r>
      <w:r>
        <w:t xml:space="preserve">  2021届毕业生</w:t>
      </w:r>
      <w:r>
        <w:rPr>
          <w:rFonts w:hint="eastAsia"/>
        </w:rPr>
        <w:t>主要</w:t>
      </w:r>
      <w:r>
        <w:t>就业</w:t>
      </w:r>
      <w:r>
        <w:rPr>
          <w:rFonts w:hint="eastAsia"/>
          <w:lang w:val="en-US" w:eastAsia="zh-Hans"/>
        </w:rPr>
        <w:t>省份</w:t>
      </w:r>
      <w:r>
        <w:t>分布</w:t>
      </w:r>
    </w:p>
    <w:p>
      <w:pPr>
        <w:pStyle w:val="199"/>
        <w:ind w:firstLine="482"/>
        <w:rPr>
          <w:rStyle w:val="137"/>
        </w:rPr>
      </w:pPr>
      <w:r>
        <w:rPr>
          <w:rFonts w:hint="eastAsia"/>
          <w:b/>
          <w:color w:val="4F81BD" w:themeColor="accent1"/>
          <w:lang w:val="zh-CN"/>
          <w14:textFill>
            <w14:solidFill>
              <w14:schemeClr w14:val="accent1"/>
            </w14:solidFill>
          </w14:textFill>
        </w:rPr>
        <w:t>省内就业城市</w:t>
      </w:r>
      <w:r>
        <w:rPr>
          <w:b/>
          <w:color w:val="4F81BD" w:themeColor="accent1"/>
          <w:lang w:val="zh-CN"/>
          <w14:textFill>
            <w14:solidFill>
              <w14:schemeClr w14:val="accent1"/>
            </w14:solidFill>
          </w14:textFill>
        </w:rPr>
        <w:t>：</w:t>
      </w:r>
      <w:r>
        <w:rPr>
          <w:rStyle w:val="137"/>
          <w:rFonts w:hint="eastAsia"/>
        </w:rPr>
        <w:t>在</w:t>
      </w:r>
      <w:r>
        <w:rPr>
          <w:rStyle w:val="137"/>
          <w:rFonts w:hint="eastAsia"/>
          <w:lang w:val="en-US" w:eastAsia="zh-Hans"/>
        </w:rPr>
        <w:t>贵州</w:t>
      </w:r>
      <w:r>
        <w:rPr>
          <w:rStyle w:val="137"/>
          <w:rFonts w:hint="eastAsia"/>
        </w:rPr>
        <w:t>省内就业的毕业生主要</w:t>
      </w:r>
      <w:r>
        <w:rPr>
          <w:rStyle w:val="137"/>
        </w:rPr>
        <w:t>流向</w:t>
      </w:r>
      <w:r>
        <w:rPr>
          <w:rStyle w:val="137"/>
          <w:rFonts w:hint="eastAsia"/>
        </w:rPr>
        <w:t>了铜仁市</w:t>
      </w:r>
      <w:r>
        <w:rPr>
          <w:rStyle w:val="137"/>
          <w:rFonts w:hint="default"/>
        </w:rPr>
        <w:t>（</w:t>
      </w:r>
      <w:r>
        <w:rPr>
          <w:rStyle w:val="137"/>
          <w:rFonts w:hint="eastAsia"/>
        </w:rPr>
        <w:t>64.57%</w:t>
      </w:r>
      <w:r>
        <w:rPr>
          <w:rStyle w:val="137"/>
          <w:rFonts w:hint="default"/>
        </w:rPr>
        <w:t>）</w:t>
      </w:r>
      <w:r>
        <w:rPr>
          <w:rStyle w:val="137"/>
          <w:rFonts w:hint="eastAsia"/>
        </w:rPr>
        <w:t>，其次是</w:t>
      </w:r>
      <w:r>
        <w:rPr>
          <w:rStyle w:val="137"/>
          <w:rFonts w:hint="eastAsia"/>
          <w:lang w:val="en-US" w:eastAsia="zh-Hans"/>
        </w:rPr>
        <w:t>贵阳市</w:t>
      </w:r>
      <w:r>
        <w:rPr>
          <w:rStyle w:val="137"/>
          <w:rFonts w:hint="default"/>
          <w:lang w:eastAsia="zh-Hans"/>
        </w:rPr>
        <w:t>（</w:t>
      </w:r>
      <w:r>
        <w:rPr>
          <w:rStyle w:val="137"/>
          <w:rFonts w:hint="eastAsia"/>
          <w:lang w:val="en-US" w:eastAsia="zh-Hans"/>
        </w:rPr>
        <w:t>13.16%</w:t>
      </w:r>
      <w:r>
        <w:rPr>
          <w:rStyle w:val="137"/>
          <w:rFonts w:hint="default"/>
          <w:lang w:eastAsia="zh-Hans"/>
        </w:rPr>
        <w:t>）</w:t>
      </w:r>
      <w:r>
        <w:rPr>
          <w:rStyle w:val="137"/>
          <w:rFonts w:hint="eastAsia"/>
          <w:lang w:val="en-US" w:eastAsia="zh-Hans"/>
        </w:rPr>
        <w:t>和黔东南苗族侗族自治州</w:t>
      </w:r>
      <w:r>
        <w:rPr>
          <w:rStyle w:val="137"/>
          <w:rFonts w:hint="default"/>
          <w:lang w:eastAsia="zh-Hans"/>
        </w:rPr>
        <w:t>（</w:t>
      </w:r>
      <w:r>
        <w:rPr>
          <w:rStyle w:val="137"/>
          <w:rFonts w:hint="eastAsia"/>
          <w:lang w:val="en-US" w:eastAsia="zh-Hans"/>
        </w:rPr>
        <w:t>7.05%</w:t>
      </w:r>
      <w:r>
        <w:rPr>
          <w:rStyle w:val="137"/>
          <w:rFonts w:hint="default"/>
          <w:lang w:eastAsia="zh-Hans"/>
        </w:rPr>
        <w:t>）</w:t>
      </w:r>
      <w:r>
        <w:rPr>
          <w:rStyle w:val="137"/>
        </w:rPr>
        <w:t>。</w:t>
      </w:r>
    </w:p>
    <w:p>
      <w:pPr>
        <w:pStyle w:val="199"/>
        <w:ind w:firstLine="480"/>
        <w:jc w:val="center"/>
      </w:pPr>
      <w:r>
        <w:rPr>
          <w:rFonts w:hint="eastAsia"/>
        </w:rPr>
        <w:drawing>
          <wp:inline distT="0" distB="0" distL="0" distR="0">
            <wp:extent cx="5683250" cy="3594735"/>
            <wp:effectExtent l="0" t="0" r="0" b="0"/>
            <wp:docPr id="478" name="图表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203"/>
        <w:spacing w:before="156" w:after="156"/>
      </w:pPr>
      <w:bookmarkStart w:id="93" w:name="_Toc42074232"/>
      <w:bookmarkStart w:id="94" w:name="_Toc55919984"/>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15</w:t>
      </w:r>
      <w:r>
        <w:rPr>
          <w:rFonts w:hint="eastAsia"/>
        </w:rPr>
        <w:fldChar w:fldCharType="end"/>
      </w:r>
      <w:r>
        <w:t xml:space="preserve">  2021届毕业生</w:t>
      </w:r>
      <w:r>
        <w:rPr>
          <w:rFonts w:hint="eastAsia"/>
          <w:lang w:val="en-US" w:eastAsia="zh-Hans"/>
        </w:rPr>
        <w:t>贵州</w:t>
      </w:r>
      <w:r>
        <w:rPr>
          <w:rFonts w:hint="eastAsia"/>
        </w:rPr>
        <w:t>省内主要</w:t>
      </w:r>
      <w:r>
        <w:t>就业</w:t>
      </w:r>
      <w:r>
        <w:rPr>
          <w:rFonts w:hint="eastAsia"/>
        </w:rPr>
        <w:t>城市</w:t>
      </w:r>
      <w:r>
        <w:t>分布</w:t>
      </w:r>
      <w:bookmarkEnd w:id="93"/>
      <w:bookmarkEnd w:id="94"/>
    </w:p>
    <w:p>
      <w:pPr>
        <w:pStyle w:val="199"/>
        <w:ind w:firstLine="482"/>
        <w:rPr>
          <w:highlight w:val="none"/>
        </w:rPr>
      </w:pPr>
      <w:r>
        <w:rPr>
          <w:rFonts w:hint="eastAsia"/>
          <w:b/>
          <w:color w:val="4F81BD" w:themeColor="accent1"/>
          <w:highlight w:val="none"/>
          <w14:textFill>
            <w14:solidFill>
              <w14:schemeClr w14:val="accent1"/>
            </w14:solidFill>
          </w14:textFill>
        </w:rPr>
        <w:t>生源地</w:t>
      </w:r>
      <w:r>
        <w:rPr>
          <w:b/>
          <w:color w:val="4F81BD" w:themeColor="accent1"/>
          <w:highlight w:val="none"/>
          <w14:textFill>
            <w14:solidFill>
              <w14:schemeClr w14:val="accent1"/>
            </w14:solidFill>
          </w14:textFill>
        </w:rPr>
        <w:t>与就业地域交叉</w:t>
      </w:r>
      <w:r>
        <w:rPr>
          <w:rFonts w:hint="eastAsia"/>
          <w:b/>
          <w:color w:val="4F81BD" w:themeColor="accent1"/>
          <w:highlight w:val="none"/>
          <w14:textFill>
            <w14:solidFill>
              <w14:schemeClr w14:val="accent1"/>
            </w14:solidFill>
          </w14:textFill>
        </w:rPr>
        <w:t>分析</w:t>
      </w:r>
      <w:r>
        <w:rPr>
          <w:b/>
          <w:color w:val="4F81BD" w:themeColor="accent1"/>
          <w:highlight w:val="none"/>
          <w14:textFill>
            <w14:solidFill>
              <w14:schemeClr w14:val="accent1"/>
            </w14:solidFill>
          </w14:textFill>
        </w:rPr>
        <w:t>：</w:t>
      </w:r>
      <w:r>
        <w:rPr>
          <w:rFonts w:hint="eastAsia"/>
          <w:b w:val="0"/>
          <w:bCs/>
          <w:color w:val="000000" w:themeColor="text1"/>
          <w:highlight w:val="none"/>
          <w:lang w:val="en-US" w:eastAsia="zh-Hans"/>
          <w14:textFill>
            <w14:solidFill>
              <w14:schemeClr w14:val="tx1"/>
            </w14:solidFill>
          </w14:textFill>
        </w:rPr>
        <w:t>贵州</w:t>
      </w:r>
      <w:r>
        <w:rPr>
          <w:rFonts w:hint="eastAsia"/>
          <w:highlight w:val="none"/>
        </w:rPr>
        <w:t>省内生源中，</w:t>
      </w:r>
      <w:r>
        <w:rPr>
          <w:rFonts w:hint="default"/>
          <w:highlight w:val="none"/>
        </w:rPr>
        <w:t>7</w:t>
      </w:r>
      <w:r>
        <w:rPr>
          <w:rFonts w:hint="default"/>
          <w:color w:val="000000" w:themeColor="text1"/>
          <w:highlight w:val="none"/>
          <w14:textFill>
            <w14:solidFill>
              <w14:schemeClr w14:val="tx1"/>
            </w14:solidFill>
          </w14:textFill>
        </w:rPr>
        <w:t>5.40</w:t>
      </w:r>
      <w:r>
        <w:rPr>
          <w:rFonts w:hint="eastAsia"/>
          <w:color w:val="000000" w:themeColor="text1"/>
          <w:highlight w:val="none"/>
          <w14:textFill>
            <w14:solidFill>
              <w14:schemeClr w14:val="tx1"/>
            </w14:solidFill>
          </w14:textFill>
        </w:rPr>
        <w:t>%</w:t>
      </w:r>
      <w:r>
        <w:rPr>
          <w:rFonts w:hint="eastAsia"/>
          <w:highlight w:val="none"/>
        </w:rPr>
        <w:t>选择留在本省就业；</w:t>
      </w:r>
      <w:r>
        <w:rPr>
          <w:rFonts w:hint="default"/>
          <w:color w:val="000000" w:themeColor="text1"/>
          <w:highlight w:val="none"/>
          <w14:textFill>
            <w14:solidFill>
              <w14:schemeClr w14:val="tx1"/>
            </w14:solidFill>
          </w14:textFill>
        </w:rPr>
        <w:t>36.29</w:t>
      </w:r>
      <w:r>
        <w:rPr>
          <w:rFonts w:hint="eastAsia"/>
          <w:color w:val="000000" w:themeColor="text1"/>
          <w:highlight w:val="none"/>
          <w14:textFill>
            <w14:solidFill>
              <w14:schemeClr w14:val="tx1"/>
            </w14:solidFill>
          </w14:textFill>
        </w:rPr>
        <w:t>%</w:t>
      </w:r>
      <w:r>
        <w:rPr>
          <w:rFonts w:hint="eastAsia"/>
          <w:highlight w:val="none"/>
        </w:rPr>
        <w:t>的省外生源也优先考虑在省内就业，</w:t>
      </w:r>
      <w:r>
        <w:rPr>
          <w:rFonts w:hint="default"/>
          <w:color w:val="000000" w:themeColor="text1"/>
          <w:highlight w:val="none"/>
          <w14:textFill>
            <w14:solidFill>
              <w14:schemeClr w14:val="tx1"/>
            </w14:solidFill>
          </w14:textFill>
        </w:rPr>
        <w:t>25.81</w:t>
      </w:r>
      <w:r>
        <w:rPr>
          <w:rFonts w:hint="eastAsia"/>
          <w:color w:val="000000" w:themeColor="text1"/>
          <w:highlight w:val="none"/>
          <w14:textFill>
            <w14:solidFill>
              <w14:schemeClr w14:val="tx1"/>
            </w14:solidFill>
          </w14:textFill>
        </w:rPr>
        <w:t>%</w:t>
      </w:r>
      <w:r>
        <w:rPr>
          <w:rFonts w:hint="eastAsia"/>
          <w:highlight w:val="none"/>
        </w:rPr>
        <w:t>的省外生源回生源地就业。</w:t>
      </w:r>
    </w:p>
    <w:p>
      <w:pPr>
        <w:pStyle w:val="199"/>
        <w:ind w:firstLine="480"/>
        <w:jc w:val="center"/>
      </w:pPr>
      <w:r>
        <w:rPr>
          <w:rFonts w:hint="eastAsia"/>
        </w:rPr>
        <w:drawing>
          <wp:anchor distT="0" distB="0" distL="0" distR="0" simplePos="0" relativeHeight="251981824" behindDoc="0" locked="0" layoutInCell="1" allowOverlap="1">
            <wp:simplePos x="0" y="0"/>
            <wp:positionH relativeFrom="column">
              <wp:posOffset>-251460</wp:posOffset>
            </wp:positionH>
            <wp:positionV relativeFrom="paragraph">
              <wp:posOffset>205740</wp:posOffset>
            </wp:positionV>
            <wp:extent cx="3161030" cy="2212975"/>
            <wp:effectExtent l="0" t="0" r="0" b="0"/>
            <wp:wrapNone/>
            <wp:docPr id="928" name="图表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hint="default"/>
        </w:rPr>
        <w:t xml:space="preserve">               </w:t>
      </w:r>
      <w:r>
        <w:rPr>
          <w:rFonts w:hint="eastAsia"/>
        </w:rPr>
        <w:drawing>
          <wp:inline distT="0" distB="0" distL="0" distR="0">
            <wp:extent cx="3695065" cy="2178685"/>
            <wp:effectExtent l="0" t="0" r="13335" b="5715"/>
            <wp:docPr id="929" name="图表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203"/>
        <w:spacing w:before="0" w:beforeLines="0" w:after="0" w:afterLines="0"/>
        <w:rPr>
          <w:rStyle w:val="37"/>
          <w:rFonts w:ascii="黑体" w:hAnsi="黑体" w:eastAsia="宋体"/>
          <w:b/>
          <w:caps w:val="0"/>
          <w:sz w:val="24"/>
          <w:szCs w:val="21"/>
        </w:rPr>
      </w:pPr>
      <w:bookmarkStart w:id="95" w:name="_Toc55919985"/>
      <w:bookmarkStart w:id="96" w:name="_Toc42074233"/>
      <w:r>
        <w:rPr>
          <w:rFonts w:hint="eastAsia"/>
        </w:rPr>
        <w:t>图</w:t>
      </w:r>
      <w:r>
        <w:rPr>
          <w:rFonts w:hint="default"/>
        </w:rPr>
        <w:t>2</w:t>
      </w:r>
      <w:r>
        <w:rPr>
          <w:rFonts w:hint="eastAsia"/>
        </w:rPr>
        <w:t xml:space="preserve">- </w:t>
      </w:r>
      <w:r>
        <w:rPr>
          <w:rFonts w:hint="eastAsia"/>
        </w:rPr>
        <w:fldChar w:fldCharType="begin"/>
      </w:r>
      <w:r>
        <w:rPr>
          <w:rFonts w:hint="eastAsia"/>
        </w:rPr>
        <w:instrText xml:space="preserve"> SEQ 图2- </w:instrText>
      </w:r>
      <w:r>
        <w:rPr>
          <w:rFonts w:hint="eastAsia"/>
        </w:rPr>
        <w:fldChar w:fldCharType="separate"/>
      </w:r>
      <w:r>
        <w:rPr>
          <w:rFonts w:hint="eastAsia"/>
        </w:rPr>
        <w:t>16</w:t>
      </w:r>
      <w:r>
        <w:rPr>
          <w:rFonts w:hint="eastAsia"/>
        </w:rPr>
        <w:fldChar w:fldCharType="end"/>
      </w:r>
      <w:r>
        <w:rPr>
          <w:rFonts w:hint="eastAsia"/>
          <w:bCs/>
        </w:rPr>
        <w:t xml:space="preserve">  </w:t>
      </w:r>
      <w:r>
        <w:rPr>
          <w:bCs/>
        </w:rPr>
        <w:t>2021届</w:t>
      </w:r>
      <w:r>
        <w:rPr>
          <w:rFonts w:hint="eastAsia"/>
        </w:rPr>
        <w:t>省内、省外生源毕业生就业</w:t>
      </w:r>
      <w:r>
        <w:t>地区分布</w:t>
      </w:r>
      <w:bookmarkEnd w:id="95"/>
      <w:bookmarkEnd w:id="96"/>
      <w:r>
        <w:rPr>
          <w:rStyle w:val="37"/>
          <w:rFonts w:hint="eastAsia" w:ascii="黑体" w:hAnsi="黑体"/>
          <w:b w:val="0"/>
          <w:szCs w:val="21"/>
        </w:rPr>
        <w:t xml:space="preserve"> </w:t>
      </w:r>
      <w:bookmarkEnd w:id="91"/>
      <w:bookmarkEnd w:id="92"/>
    </w:p>
    <w:p>
      <w:pPr>
        <w:rPr>
          <w:rFonts w:hint="eastAsia"/>
          <w:color w:val="4F81BD" w:themeColor="accent1"/>
          <w:szCs w:val="22"/>
          <w14:textFill>
            <w14:solidFill>
              <w14:schemeClr w14:val="accent1"/>
            </w14:solidFill>
          </w14:textFill>
        </w:rPr>
      </w:pPr>
      <w:r>
        <w:rPr>
          <w:rFonts w:hint="eastAsia"/>
          <w:color w:val="4F81BD" w:themeColor="accent1"/>
          <w:szCs w:val="22"/>
          <w14:textFill>
            <w14:solidFill>
              <w14:schemeClr w14:val="accent1"/>
            </w14:solidFill>
          </w14:textFill>
        </w:rPr>
        <w:br w:type="page"/>
      </w:r>
    </w:p>
    <w:p>
      <w:pPr>
        <w:pStyle w:val="88"/>
        <w:bidi w:val="0"/>
        <w:rPr>
          <w:rFonts w:hint="eastAsia"/>
          <w:color w:val="4F81BD" w:themeColor="accent1"/>
          <w:szCs w:val="22"/>
          <w14:textFill>
            <w14:solidFill>
              <w14:schemeClr w14:val="accent1"/>
            </w14:solidFill>
          </w14:textFill>
        </w:rPr>
      </w:pPr>
      <w:bookmarkStart w:id="97" w:name="_Toc2054228589"/>
      <w:r>
        <w:rPr>
          <w:rFonts w:hint="eastAsia"/>
        </w:rPr>
        <w:t>第</w:t>
      </w:r>
      <w:r>
        <w:rPr>
          <w:rFonts w:hint="eastAsia"/>
          <w:lang w:val="en-US" w:eastAsia="zh-Hans"/>
        </w:rPr>
        <w:t>三章</w:t>
      </w:r>
      <w:r>
        <w:rPr>
          <w:rFonts w:hint="default"/>
          <w:lang w:eastAsia="zh-Hans"/>
        </w:rPr>
        <w:t xml:space="preserve"> </w:t>
      </w:r>
      <w:r>
        <w:rPr>
          <w:rFonts w:hint="eastAsia"/>
          <w:lang w:val="en-US" w:eastAsia="zh-Hans"/>
        </w:rPr>
        <w:t>毕业生继续深造情况</w:t>
      </w:r>
      <w:bookmarkEnd w:id="64"/>
      <w:bookmarkEnd w:id="97"/>
    </w:p>
    <w:p>
      <w:pPr>
        <w:pStyle w:val="142"/>
        <w:shd w:val="clear" w:color="auto" w:fill="auto"/>
        <w:rPr>
          <w:rFonts w:hint="eastAsia"/>
          <w:color w:val="4F81BD" w:themeColor="accent1"/>
          <w:szCs w:val="22"/>
          <w:lang w:val="en-US" w:eastAsia="zh-Hans"/>
          <w14:textFill>
            <w14:solidFill>
              <w14:schemeClr w14:val="accent1"/>
            </w14:solidFill>
          </w14:textFill>
        </w:rPr>
      </w:pPr>
      <w:bookmarkStart w:id="98" w:name="_Toc325302504"/>
      <w:bookmarkStart w:id="99" w:name="_Toc393891209"/>
      <w:bookmarkStart w:id="100" w:name="_Toc393891213"/>
      <w:r>
        <w:rPr>
          <w:rFonts w:hint="eastAsia"/>
          <w:color w:val="4F81BD" w:themeColor="accent1"/>
          <w:szCs w:val="22"/>
          <w:lang w:val="en-US" w:eastAsia="zh-Hans"/>
          <w14:textFill>
            <w14:solidFill>
              <w14:schemeClr w14:val="accent1"/>
            </w14:solidFill>
          </w14:textFill>
        </w:rPr>
        <w:t>一</w:t>
      </w:r>
      <w:r>
        <w:rPr>
          <w:rFonts w:hint="eastAsia"/>
          <w:color w:val="4F81BD" w:themeColor="accent1"/>
          <w:szCs w:val="22"/>
          <w14:textFill>
            <w14:solidFill>
              <w14:schemeClr w14:val="accent1"/>
            </w14:solidFill>
          </w14:textFill>
        </w:rPr>
        <w:t>、</w:t>
      </w:r>
      <w:r>
        <w:rPr>
          <w:rFonts w:hint="eastAsia"/>
          <w:color w:val="4F81BD" w:themeColor="accent1"/>
          <w:szCs w:val="22"/>
          <w:lang w:val="en-US" w:eastAsia="zh-Hans"/>
          <w14:textFill>
            <w14:solidFill>
              <w14:schemeClr w14:val="accent1"/>
            </w14:solidFill>
          </w14:textFill>
        </w:rPr>
        <w:t>总体继续深造情况</w:t>
      </w:r>
      <w:bookmarkEnd w:id="98"/>
    </w:p>
    <w:p>
      <w:pPr>
        <w:pStyle w:val="144"/>
        <w:bidi w:val="0"/>
        <w:rPr>
          <w:rFonts w:hint="eastAsia"/>
          <w:highlight w:val="none"/>
          <w:lang w:val="en-US" w:eastAsia="zh-Hans"/>
        </w:rPr>
      </w:pPr>
      <w:r>
        <w:rPr>
          <w:rFonts w:hint="eastAsia"/>
          <w:lang w:val="en-US" w:eastAsia="zh-Hans"/>
        </w:rPr>
        <w:t>学校</w:t>
      </w:r>
      <w:r>
        <w:rPr>
          <w:rFonts w:hint="default"/>
          <w:lang w:eastAsia="zh-Hans"/>
        </w:rPr>
        <w:t>2021</w:t>
      </w:r>
      <w:r>
        <w:rPr>
          <w:rFonts w:hint="eastAsia"/>
          <w:lang w:val="en-US" w:eastAsia="zh-Hans"/>
        </w:rPr>
        <w:t>届毕业生</w:t>
      </w:r>
      <w:r>
        <w:rPr>
          <w:rFonts w:hint="default"/>
          <w:lang w:eastAsia="zh-Hans"/>
        </w:rPr>
        <w:t>，</w:t>
      </w:r>
      <w:r>
        <w:rPr>
          <w:rFonts w:hint="eastAsia"/>
          <w:lang w:val="en-US" w:eastAsia="zh-Hans"/>
        </w:rPr>
        <w:t>继续深造共</w:t>
      </w:r>
      <w:r>
        <w:rPr>
          <w:rFonts w:hint="default"/>
          <w:lang w:eastAsia="zh-Hans"/>
        </w:rPr>
        <w:t>132</w:t>
      </w:r>
      <w:r>
        <w:rPr>
          <w:rFonts w:hint="eastAsia"/>
          <w:lang w:val="en-US" w:eastAsia="zh-Hans"/>
        </w:rPr>
        <w:t>人</w:t>
      </w:r>
      <w:r>
        <w:rPr>
          <w:rFonts w:hint="default"/>
          <w:lang w:eastAsia="zh-Hans"/>
        </w:rPr>
        <w:t>，</w:t>
      </w:r>
      <w:r>
        <w:rPr>
          <w:rFonts w:hint="eastAsia"/>
          <w:lang w:val="en-US" w:eastAsia="zh-Hans"/>
        </w:rPr>
        <w:t>其中国内升学</w:t>
      </w:r>
      <w:r>
        <w:rPr>
          <w:rFonts w:hint="default"/>
          <w:lang w:eastAsia="zh-Hans"/>
        </w:rPr>
        <w:t>131</w:t>
      </w:r>
      <w:r>
        <w:rPr>
          <w:rFonts w:hint="eastAsia"/>
          <w:lang w:val="en-US" w:eastAsia="zh-Hans"/>
        </w:rPr>
        <w:t>人</w:t>
      </w:r>
      <w:r>
        <w:rPr>
          <w:rFonts w:hint="default"/>
          <w:lang w:eastAsia="zh-Hans"/>
        </w:rPr>
        <w:t>，</w:t>
      </w:r>
      <w:r>
        <w:rPr>
          <w:rFonts w:hint="eastAsia"/>
          <w:lang w:val="en-US" w:eastAsia="zh-Hans"/>
        </w:rPr>
        <w:t>出国境</w:t>
      </w:r>
      <w:r>
        <w:rPr>
          <w:rFonts w:hint="default"/>
          <w:lang w:eastAsia="zh-Hans"/>
        </w:rPr>
        <w:t>1</w:t>
      </w:r>
      <w:r>
        <w:rPr>
          <w:rFonts w:hint="eastAsia"/>
          <w:lang w:val="en-US" w:eastAsia="zh-Hans"/>
        </w:rPr>
        <w:t>人</w:t>
      </w:r>
      <w:r>
        <w:rPr>
          <w:rFonts w:hint="default"/>
          <w:lang w:eastAsia="zh-Hans"/>
        </w:rPr>
        <w:t>，</w:t>
      </w:r>
      <w:r>
        <w:rPr>
          <w:rFonts w:hint="eastAsia"/>
          <w:lang w:val="en-US" w:eastAsia="zh-Hans"/>
        </w:rPr>
        <w:t>总体继续深造比例</w:t>
      </w:r>
      <w:r>
        <w:rPr>
          <w:rFonts w:hint="default"/>
          <w:lang w:eastAsia="zh-Hans"/>
        </w:rPr>
        <w:t>6.95%。</w:t>
      </w:r>
    </w:p>
    <w:p>
      <w:pPr>
        <w:pStyle w:val="142"/>
        <w:numPr>
          <w:ilvl w:val="0"/>
          <w:numId w:val="0"/>
        </w:numPr>
        <w:shd w:val="clear" w:color="auto" w:fill="auto"/>
        <w:rPr>
          <w:rFonts w:hint="eastAsia"/>
          <w:color w:val="4F81BD" w:themeColor="accent1"/>
          <w:szCs w:val="22"/>
          <w:lang w:val="en-US" w:eastAsia="zh-Hans"/>
          <w14:textFill>
            <w14:solidFill>
              <w14:schemeClr w14:val="accent1"/>
            </w14:solidFill>
          </w14:textFill>
        </w:rPr>
      </w:pPr>
      <w:bookmarkStart w:id="101" w:name="_Toc2013303113"/>
      <w:r>
        <w:rPr>
          <w:rFonts w:hint="eastAsia"/>
          <w:color w:val="4F81BD" w:themeColor="accent1"/>
          <w:szCs w:val="22"/>
          <w:lang w:val="en-US" w:eastAsia="zh-Hans"/>
          <w14:textFill>
            <w14:solidFill>
              <w14:schemeClr w14:val="accent1"/>
            </w14:solidFill>
          </w14:textFill>
        </w:rPr>
        <w:t>二</w:t>
      </w:r>
      <w:r>
        <w:rPr>
          <w:rFonts w:hint="default"/>
          <w:color w:val="4F81BD" w:themeColor="accent1"/>
          <w:szCs w:val="22"/>
          <w:lang w:eastAsia="zh-Hans"/>
          <w14:textFill>
            <w14:solidFill>
              <w14:schemeClr w14:val="accent1"/>
            </w14:solidFill>
          </w14:textFill>
        </w:rPr>
        <w:t>、</w:t>
      </w:r>
      <w:r>
        <w:rPr>
          <w:rFonts w:hint="eastAsia"/>
          <w:color w:val="4F81BD" w:themeColor="accent1"/>
          <w:szCs w:val="22"/>
          <w:lang w:val="en-US" w:eastAsia="zh-Hans"/>
          <w14:textFill>
            <w14:solidFill>
              <w14:schemeClr w14:val="accent1"/>
            </w14:solidFill>
          </w14:textFill>
        </w:rPr>
        <w:t>二级学院及专业继续深造比例</w:t>
      </w:r>
      <w:bookmarkEnd w:id="101"/>
    </w:p>
    <w:p>
      <w:pPr>
        <w:pStyle w:val="199"/>
        <w:bidi w:val="0"/>
        <w:rPr>
          <w:rFonts w:hint="eastAsia"/>
          <w:lang w:val="en-US" w:eastAsia="zh-Hans"/>
        </w:rPr>
      </w:pPr>
      <w:r>
        <w:rPr>
          <w:rFonts w:hint="eastAsia"/>
          <w:lang w:val="en-US" w:eastAsia="zh-Hans"/>
        </w:rPr>
        <w:t>学校</w:t>
      </w:r>
      <w:r>
        <w:rPr>
          <w:rFonts w:hint="default"/>
          <w:lang w:eastAsia="zh-Hans"/>
        </w:rPr>
        <w:t>2021</w:t>
      </w:r>
      <w:r>
        <w:rPr>
          <w:rFonts w:hint="eastAsia"/>
          <w:lang w:val="en-US" w:eastAsia="zh-Hans"/>
        </w:rPr>
        <w:t>届各学院毕业生中</w:t>
      </w:r>
      <w:r>
        <w:rPr>
          <w:rFonts w:hint="default"/>
          <w:lang w:eastAsia="zh-Hans"/>
        </w:rPr>
        <w:t>，材料与化学工程学院</w:t>
      </w:r>
      <w:r>
        <w:rPr>
          <w:rFonts w:hint="eastAsia"/>
          <w:lang w:val="en-US" w:eastAsia="zh-Hans"/>
        </w:rPr>
        <w:t>的毕业生整体继续深造比例相对较高</w:t>
      </w:r>
      <w:r>
        <w:rPr>
          <w:rFonts w:hint="default"/>
          <w:lang w:eastAsia="zh-Hans"/>
        </w:rPr>
        <w:t>，</w:t>
      </w:r>
      <w:r>
        <w:rPr>
          <w:rFonts w:hint="eastAsia"/>
          <w:lang w:val="en-US" w:eastAsia="zh-Hans"/>
        </w:rPr>
        <w:t>为</w:t>
      </w:r>
      <w:r>
        <w:rPr>
          <w:rFonts w:hint="default"/>
          <w:lang w:eastAsia="zh-Hans"/>
        </w:rPr>
        <w:t>20.19%。</w:t>
      </w:r>
    </w:p>
    <w:p>
      <w:pPr>
        <w:pStyle w:val="199"/>
        <w:bidi w:val="0"/>
      </w:pPr>
      <w:r>
        <w:drawing>
          <wp:inline distT="0" distB="0" distL="0" distR="0">
            <wp:extent cx="5770245" cy="3865880"/>
            <wp:effectExtent l="0" t="0" r="20955" b="20320"/>
            <wp:docPr id="1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203"/>
        <w:spacing w:before="0" w:beforeLines="0" w:after="0" w:afterLines="0"/>
        <w:rPr>
          <w:rFonts w:hint="eastAsia"/>
        </w:rPr>
      </w:pPr>
      <w:r>
        <w:rPr>
          <w:rFonts w:hint="eastAsia"/>
        </w:rPr>
        <w:t>图</w:t>
      </w:r>
      <w:r>
        <w:t xml:space="preserve">3- </w:t>
      </w:r>
      <w:r>
        <w:fldChar w:fldCharType="begin"/>
      </w:r>
      <w:r>
        <w:instrText xml:space="preserve"> SEQ </w:instrText>
      </w:r>
      <w:r>
        <w:rPr>
          <w:rFonts w:hint="eastAsia"/>
        </w:rPr>
        <w:instrText xml:space="preserve">图</w:instrText>
      </w:r>
      <w:r>
        <w:instrText xml:space="preserve">3- \* ARABIC </w:instrText>
      </w:r>
      <w:r>
        <w:fldChar w:fldCharType="separate"/>
      </w:r>
      <w:r>
        <w:t>1</w:t>
      </w:r>
      <w:r>
        <w:fldChar w:fldCharType="end"/>
      </w:r>
      <w:r>
        <w:rPr>
          <w:rFonts w:hint="eastAsia"/>
        </w:rPr>
        <w:t xml:space="preserve">  2021届</w:t>
      </w:r>
      <w:r>
        <w:rPr>
          <w:rFonts w:hint="eastAsia"/>
          <w:lang w:val="en-US" w:eastAsia="zh-Hans"/>
        </w:rPr>
        <w:t>各学院</w:t>
      </w:r>
      <w:r>
        <w:rPr>
          <w:rFonts w:hint="eastAsia"/>
        </w:rPr>
        <w:t>毕业生升学</w:t>
      </w:r>
      <w:r>
        <w:rPr>
          <w:rFonts w:hint="eastAsia"/>
          <w:lang w:val="en-US" w:eastAsia="zh-Hans"/>
        </w:rPr>
        <w:t>率</w:t>
      </w:r>
      <w:r>
        <w:rPr>
          <w:rFonts w:hint="eastAsia"/>
        </w:rPr>
        <w:t>分布</w:t>
      </w:r>
    </w:p>
    <w:p>
      <w:pPr>
        <w:pStyle w:val="144"/>
        <w:bidi w:val="0"/>
        <w:rPr>
          <w:rFonts w:hint="eastAsia"/>
          <w:lang w:val="en-US" w:eastAsia="zh-Hans"/>
        </w:rPr>
      </w:pPr>
      <w:r>
        <w:rPr>
          <w:rFonts w:hint="eastAsia"/>
          <w:lang w:val="en-US" w:eastAsia="zh-Hans"/>
        </w:rPr>
        <w:t>学校</w:t>
      </w:r>
      <w:r>
        <w:rPr>
          <w:rFonts w:hint="default"/>
          <w:lang w:eastAsia="zh-Hans"/>
        </w:rPr>
        <w:t>2021</w:t>
      </w:r>
      <w:r>
        <w:rPr>
          <w:rFonts w:hint="eastAsia"/>
          <w:lang w:val="en-US" w:eastAsia="zh-Hans"/>
        </w:rPr>
        <w:t>届各专业毕业生中</w:t>
      </w:r>
      <w:r>
        <w:rPr>
          <w:rFonts w:hint="default"/>
          <w:lang w:eastAsia="zh-Hans"/>
        </w:rPr>
        <w:t>，食品科学与工程</w:t>
      </w:r>
      <w:r>
        <w:rPr>
          <w:rFonts w:hint="eastAsia"/>
          <w:lang w:val="en-US" w:eastAsia="zh-Hans"/>
        </w:rPr>
        <w:t>专业的毕业生整体继续深造比例相对较高</w:t>
      </w:r>
      <w:r>
        <w:rPr>
          <w:rFonts w:hint="default"/>
          <w:lang w:eastAsia="zh-Hans"/>
        </w:rPr>
        <w:t>，</w:t>
      </w:r>
      <w:r>
        <w:rPr>
          <w:rFonts w:hint="eastAsia"/>
          <w:lang w:val="en-US" w:eastAsia="zh-Hans"/>
        </w:rPr>
        <w:t>为</w:t>
      </w:r>
      <w:r>
        <w:rPr>
          <w:rFonts w:hint="default"/>
          <w:lang w:eastAsia="zh-Hans"/>
        </w:rPr>
        <w:t>71.05%；</w:t>
      </w:r>
      <w:r>
        <w:rPr>
          <w:rFonts w:hint="eastAsia"/>
          <w:lang w:val="en-US" w:eastAsia="zh-Hans"/>
        </w:rPr>
        <w:t>其次为</w:t>
      </w:r>
      <w:r>
        <w:rPr>
          <w:rFonts w:hint="default"/>
          <w:lang w:eastAsia="zh-Hans"/>
        </w:rPr>
        <w:t>林学（41.03%）</w:t>
      </w:r>
      <w:r>
        <w:rPr>
          <w:rFonts w:hint="eastAsia"/>
          <w:lang w:val="en-US" w:eastAsia="zh-Hans"/>
        </w:rPr>
        <w:t>专业和</w:t>
      </w:r>
      <w:r>
        <w:rPr>
          <w:rFonts w:hint="default"/>
          <w:lang w:eastAsia="zh-Hans"/>
        </w:rPr>
        <w:t>化学（28.57%）</w:t>
      </w:r>
      <w:r>
        <w:rPr>
          <w:rFonts w:hint="eastAsia"/>
          <w:lang w:val="en-US" w:eastAsia="zh-Hans"/>
        </w:rPr>
        <w:t>专业</w:t>
      </w:r>
      <w:r>
        <w:rPr>
          <w:rFonts w:hint="default"/>
          <w:lang w:eastAsia="zh-Hans"/>
        </w:rPr>
        <w:t>。</w:t>
      </w:r>
    </w:p>
    <w:p>
      <w:pPr>
        <w:rPr>
          <w:rFonts w:hint="eastAsia"/>
          <w:b/>
          <w:color w:val="4F81BD" w:themeColor="accent1"/>
          <w:sz w:val="24"/>
          <w:szCs w:val="24"/>
          <w14:textFill>
            <w14:solidFill>
              <w14:schemeClr w14:val="accent1"/>
            </w14:solidFill>
          </w14:textFill>
        </w:rPr>
      </w:pPr>
    </w:p>
    <w:p>
      <w:pPr>
        <w:pStyle w:val="136"/>
        <w:bidi w:val="0"/>
      </w:pPr>
      <w:r>
        <w:drawing>
          <wp:inline distT="0" distB="0" distL="0" distR="0">
            <wp:extent cx="5812155" cy="6878955"/>
            <wp:effectExtent l="0" t="0" r="0" b="0"/>
            <wp:docPr id="2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203"/>
        <w:spacing w:before="0" w:beforeLines="0" w:after="0" w:afterLines="0"/>
        <w:rPr>
          <w:rFonts w:hint="eastAsia"/>
          <w:lang w:val="en-US" w:eastAsia="zh-Hans"/>
        </w:rPr>
      </w:pPr>
      <w:r>
        <w:rPr>
          <w:rFonts w:hint="eastAsia"/>
        </w:rPr>
        <w:t>图</w:t>
      </w:r>
      <w:r>
        <w:t xml:space="preserve">3- </w:t>
      </w:r>
      <w:r>
        <w:fldChar w:fldCharType="begin"/>
      </w:r>
      <w:r>
        <w:instrText xml:space="preserve"> SEQ </w:instrText>
      </w:r>
      <w:r>
        <w:rPr>
          <w:rFonts w:hint="eastAsia"/>
        </w:rPr>
        <w:instrText xml:space="preserve">图</w:instrText>
      </w:r>
      <w:r>
        <w:instrText xml:space="preserve">3- \* ARABIC </w:instrText>
      </w:r>
      <w:r>
        <w:fldChar w:fldCharType="separate"/>
      </w:r>
      <w:r>
        <w:t>2</w:t>
      </w:r>
      <w:r>
        <w:fldChar w:fldCharType="end"/>
      </w:r>
      <w:r>
        <w:rPr>
          <w:rFonts w:hint="eastAsia"/>
        </w:rPr>
        <w:t xml:space="preserve">  2021届</w:t>
      </w:r>
      <w:r>
        <w:rPr>
          <w:rFonts w:hint="eastAsia"/>
          <w:lang w:val="en-US" w:eastAsia="zh-Hans"/>
        </w:rPr>
        <w:t>各专业</w:t>
      </w:r>
      <w:r>
        <w:rPr>
          <w:rFonts w:hint="eastAsia"/>
        </w:rPr>
        <w:t>毕业生升学</w:t>
      </w:r>
      <w:r>
        <w:rPr>
          <w:rFonts w:hint="eastAsia"/>
          <w:lang w:val="en-US" w:eastAsia="zh-Hans"/>
        </w:rPr>
        <w:t>率</w:t>
      </w:r>
      <w:r>
        <w:rPr>
          <w:rFonts w:hint="eastAsia"/>
        </w:rPr>
        <w:t>分布</w:t>
      </w:r>
    </w:p>
    <w:p>
      <w:pPr>
        <w:pStyle w:val="142"/>
        <w:shd w:val="clear" w:color="auto" w:fill="auto"/>
        <w:rPr>
          <w:rFonts w:hint="eastAsia"/>
          <w:color w:val="4F81BD" w:themeColor="accent1"/>
          <w:szCs w:val="22"/>
          <w14:textFill>
            <w14:solidFill>
              <w14:schemeClr w14:val="accent1"/>
            </w14:solidFill>
          </w14:textFill>
        </w:rPr>
      </w:pPr>
      <w:bookmarkStart w:id="102" w:name="_Toc1833078059"/>
      <w:r>
        <w:rPr>
          <w:rFonts w:hint="eastAsia"/>
          <w:color w:val="4F81BD" w:themeColor="accent1"/>
          <w:szCs w:val="22"/>
          <w:lang w:val="en-US" w:eastAsia="zh-Hans"/>
          <w14:textFill>
            <w14:solidFill>
              <w14:schemeClr w14:val="accent1"/>
            </w14:solidFill>
          </w14:textFill>
        </w:rPr>
        <w:t>三</w:t>
      </w:r>
      <w:r>
        <w:rPr>
          <w:rFonts w:hint="eastAsia"/>
          <w:color w:val="4F81BD" w:themeColor="accent1"/>
          <w:szCs w:val="22"/>
          <w14:textFill>
            <w14:solidFill>
              <w14:schemeClr w14:val="accent1"/>
            </w14:solidFill>
          </w14:textFill>
        </w:rPr>
        <w:t>、</w:t>
      </w:r>
      <w:r>
        <w:rPr>
          <w:rFonts w:hint="eastAsia"/>
          <w:color w:val="4F81BD" w:themeColor="accent1"/>
          <w:szCs w:val="22"/>
          <w:lang w:val="en-US" w:eastAsia="zh-Hans"/>
          <w14:textFill>
            <w14:solidFill>
              <w14:schemeClr w14:val="accent1"/>
            </w14:solidFill>
          </w14:textFill>
        </w:rPr>
        <w:t>国内升学情况</w:t>
      </w:r>
      <w:bookmarkEnd w:id="102"/>
    </w:p>
    <w:p>
      <w:pPr>
        <w:pStyle w:val="144"/>
        <w:bidi w:val="0"/>
        <w:rPr>
          <w:rFonts w:hint="eastAsia"/>
          <w:highlight w:val="none"/>
          <w:lang w:val="en-US" w:eastAsia="zh-Hans"/>
        </w:rPr>
      </w:pPr>
      <w:r>
        <w:rPr>
          <w:rFonts w:hint="eastAsia"/>
        </w:rPr>
        <w:t>学校</w:t>
      </w:r>
      <w:r>
        <w:t>2021届毕业生</w:t>
      </w:r>
      <w:r>
        <w:rPr>
          <w:rFonts w:hint="eastAsia"/>
        </w:rPr>
        <w:t>中，</w:t>
      </w:r>
      <w:r>
        <w:rPr>
          <w:rFonts w:hint="eastAsia"/>
          <w:highlight w:val="none"/>
        </w:rPr>
        <w:t>共有</w:t>
      </w:r>
      <w:r>
        <w:rPr>
          <w:rFonts w:hint="default"/>
          <w:highlight w:val="none"/>
        </w:rPr>
        <w:t>131</w:t>
      </w:r>
      <w:r>
        <w:rPr>
          <w:rFonts w:hint="eastAsia"/>
          <w:highlight w:val="none"/>
        </w:rPr>
        <w:t>人选择国内升学深造，</w:t>
      </w:r>
      <w:r>
        <w:rPr>
          <w:rFonts w:hint="eastAsia"/>
          <w:highlight w:val="none"/>
          <w:lang w:val="en-US" w:eastAsia="zh-Hans"/>
        </w:rPr>
        <w:t>国内</w:t>
      </w:r>
      <w:r>
        <w:rPr>
          <w:rFonts w:hint="eastAsia"/>
          <w:highlight w:val="none"/>
        </w:rPr>
        <w:t>升学率为</w:t>
      </w:r>
      <w:r>
        <w:rPr>
          <w:rFonts w:hint="default"/>
          <w:highlight w:val="none"/>
        </w:rPr>
        <w:t>6.90</w:t>
      </w:r>
      <w:r>
        <w:rPr>
          <w:rFonts w:hint="eastAsia"/>
          <w:highlight w:val="none"/>
        </w:rPr>
        <w:t>%</w:t>
      </w:r>
      <w:r>
        <w:t>。</w:t>
      </w:r>
      <w:r>
        <w:rPr>
          <w:rFonts w:hint="eastAsia"/>
          <w:highlight w:val="none"/>
          <w:lang w:val="en-US" w:eastAsia="zh-Hans"/>
        </w:rPr>
        <w:t>其中</w:t>
      </w:r>
      <w:r>
        <w:rPr>
          <w:rFonts w:hint="default"/>
          <w:highlight w:val="none"/>
          <w:lang w:eastAsia="zh-Hans"/>
        </w:rPr>
        <w:t>35</w:t>
      </w:r>
      <w:r>
        <w:rPr>
          <w:rFonts w:hint="eastAsia"/>
          <w:highlight w:val="none"/>
          <w:lang w:val="en-US" w:eastAsia="zh-Hans"/>
        </w:rPr>
        <w:t>人升入双一流院校</w:t>
      </w:r>
      <w:r>
        <w:rPr>
          <w:rFonts w:hint="default"/>
          <w:highlight w:val="none"/>
          <w:lang w:eastAsia="zh-Hans"/>
        </w:rPr>
        <w:t>，</w:t>
      </w:r>
      <w:r>
        <w:rPr>
          <w:rFonts w:hint="eastAsia"/>
          <w:highlight w:val="none"/>
          <w:lang w:val="en-US" w:eastAsia="zh-Hans"/>
        </w:rPr>
        <w:t>占国内升学比例26.72%</w:t>
      </w:r>
      <w:r>
        <w:rPr>
          <w:rFonts w:hint="default"/>
          <w:highlight w:val="none"/>
          <w:lang w:eastAsia="zh-Hans"/>
        </w:rPr>
        <w:t>。</w:t>
      </w:r>
    </w:p>
    <w:p>
      <w:pPr>
        <w:pStyle w:val="203"/>
        <w:spacing w:before="0" w:beforeLines="0" w:after="0" w:afterLines="0"/>
        <w:rPr>
          <w:bCs/>
        </w:rPr>
      </w:pPr>
      <w:r>
        <w:rPr>
          <w:rFonts w:hint="eastAsia"/>
        </w:rPr>
        <w:t>表</w:t>
      </w:r>
      <w:r>
        <w:rPr>
          <w:rFonts w:hint="default"/>
        </w:rPr>
        <w:t>3</w:t>
      </w:r>
      <w:r>
        <w:rPr>
          <w:rFonts w:hint="eastAsia"/>
        </w:rPr>
        <w:t xml:space="preserve">- </w:t>
      </w:r>
      <w:r>
        <w:fldChar w:fldCharType="begin"/>
      </w:r>
      <w:r>
        <w:instrText xml:space="preserve"> </w:instrText>
      </w:r>
      <w:r>
        <w:rPr>
          <w:rFonts w:hint="eastAsia"/>
        </w:rPr>
        <w:instrText xml:space="preserve">SEQ 表</w:instrText>
      </w:r>
      <w:r>
        <w:rPr>
          <w:rFonts w:hint="default"/>
        </w:rPr>
        <w:instrText xml:space="preserve">3</w:instrText>
      </w:r>
      <w:r>
        <w:rPr>
          <w:rFonts w:hint="eastAsia"/>
        </w:rPr>
        <w:instrText xml:space="preserve">- \* ARABIC</w:instrText>
      </w:r>
      <w:r>
        <w:instrText xml:space="preserve"> </w:instrText>
      </w:r>
      <w:r>
        <w:fldChar w:fldCharType="separate"/>
      </w:r>
      <w:r>
        <w:rPr>
          <w:rFonts w:hint="eastAsia"/>
        </w:rPr>
        <w:t>1</w:t>
      </w:r>
      <w:r>
        <w:fldChar w:fldCharType="end"/>
      </w:r>
      <w:r>
        <w:rPr>
          <w:bCs/>
        </w:rPr>
        <w:t xml:space="preserve">  </w:t>
      </w:r>
      <w:r>
        <w:rPr>
          <w:rFonts w:hint="eastAsia"/>
          <w:bCs/>
        </w:rPr>
        <w:t xml:space="preserve"> </w:t>
      </w:r>
      <w:r>
        <w:rPr>
          <w:bCs/>
        </w:rPr>
        <w:t>2021届毕业生</w:t>
      </w:r>
      <w:r>
        <w:rPr>
          <w:rFonts w:hint="eastAsia"/>
          <w:bCs/>
        </w:rPr>
        <w:t>国内升学院校</w:t>
      </w:r>
      <w:r>
        <w:rPr>
          <w:rFonts w:hint="default"/>
          <w:bCs/>
        </w:rPr>
        <w:t>（</w:t>
      </w:r>
      <w:r>
        <w:rPr>
          <w:rFonts w:hint="eastAsia"/>
          <w:bCs/>
          <w:lang w:val="en-US" w:eastAsia="zh-Hans"/>
        </w:rPr>
        <w:t>双一流院校</w:t>
      </w:r>
      <w:r>
        <w:rPr>
          <w:rFonts w:hint="default"/>
          <w:bCs/>
        </w:rPr>
        <w:t>）</w:t>
      </w:r>
      <w:r>
        <w:rPr>
          <w:rFonts w:hint="eastAsia"/>
          <w:bCs/>
        </w:rPr>
        <w:t>分布</w:t>
      </w:r>
    </w:p>
    <w:tbl>
      <w:tblPr>
        <w:tblStyle w:val="32"/>
        <w:tblW w:w="4997" w:type="pct"/>
        <w:tblInd w:w="0" w:type="dxa"/>
        <w:tblLayout w:type="autofit"/>
        <w:tblCellMar>
          <w:top w:w="15" w:type="dxa"/>
          <w:left w:w="15" w:type="dxa"/>
          <w:bottom w:w="15" w:type="dxa"/>
          <w:right w:w="15" w:type="dxa"/>
        </w:tblCellMar>
      </w:tblPr>
      <w:tblGrid>
        <w:gridCol w:w="3421"/>
        <w:gridCol w:w="843"/>
        <w:gridCol w:w="3768"/>
        <w:gridCol w:w="781"/>
      </w:tblGrid>
      <w:tr>
        <w:tblPrEx>
          <w:tblCellMar>
            <w:top w:w="15" w:type="dxa"/>
            <w:left w:w="15" w:type="dxa"/>
            <w:bottom w:w="15" w:type="dxa"/>
            <w:right w:w="15" w:type="dxa"/>
          </w:tblCellMar>
        </w:tblPrEx>
        <w:trPr>
          <w:trHeight w:val="363" w:hRule="atLeast"/>
        </w:trPr>
        <w:tc>
          <w:tcPr>
            <w:tcW w:w="1940"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220"/>
              <w:bidi w:val="0"/>
              <w:rPr>
                <w:color w:val="FFFFFF"/>
              </w:rPr>
            </w:pPr>
            <w:r>
              <w:rPr>
                <w:rFonts w:hint="eastAsia"/>
                <w:color w:val="FFFFFF"/>
              </w:rPr>
              <w:t>国</w:t>
            </w:r>
            <w:r>
              <w:rPr>
                <w:rFonts w:hint="eastAsia"/>
                <w:color w:val="FFFFFF"/>
                <w:lang w:eastAsia="zh-Hans"/>
              </w:rPr>
              <w:t>内</w:t>
            </w:r>
            <w:r>
              <w:rPr>
                <w:rFonts w:hint="eastAsia"/>
                <w:color w:val="FFFFFF"/>
              </w:rPr>
              <w:t>升学院校</w:t>
            </w:r>
          </w:p>
        </w:tc>
        <w:tc>
          <w:tcPr>
            <w:tcW w:w="478"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220"/>
              <w:bidi w:val="0"/>
              <w:rPr>
                <w:color w:val="FFFFFF"/>
              </w:rPr>
            </w:pPr>
            <w:r>
              <w:rPr>
                <w:rFonts w:hint="eastAsia"/>
                <w:color w:val="FFFFFF"/>
              </w:rPr>
              <w:t>人数</w:t>
            </w:r>
          </w:p>
        </w:tc>
        <w:tc>
          <w:tcPr>
            <w:tcW w:w="2137"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220"/>
              <w:bidi w:val="0"/>
              <w:rPr>
                <w:color w:val="FFFFFF"/>
              </w:rPr>
            </w:pPr>
            <w:r>
              <w:rPr>
                <w:rFonts w:hint="eastAsia"/>
                <w:color w:val="FFFFFF"/>
              </w:rPr>
              <w:t>国</w:t>
            </w:r>
            <w:r>
              <w:rPr>
                <w:rFonts w:hint="eastAsia"/>
                <w:color w:val="FFFFFF"/>
                <w:lang w:eastAsia="zh-Hans"/>
              </w:rPr>
              <w:t>内</w:t>
            </w:r>
            <w:r>
              <w:rPr>
                <w:rFonts w:hint="eastAsia"/>
                <w:color w:val="FFFFFF"/>
              </w:rPr>
              <w:t>升学院校</w:t>
            </w:r>
          </w:p>
        </w:tc>
        <w:tc>
          <w:tcPr>
            <w:tcW w:w="443"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220"/>
              <w:bidi w:val="0"/>
              <w:rPr>
                <w:color w:val="FFFFFF"/>
              </w:rPr>
            </w:pPr>
            <w:r>
              <w:rPr>
                <w:rFonts w:hint="eastAsia"/>
                <w:color w:val="FFFFFF"/>
              </w:rPr>
              <w:t>人数</w:t>
            </w:r>
          </w:p>
        </w:tc>
      </w:tr>
      <w:tr>
        <w:tblPrEx>
          <w:tblCellMar>
            <w:top w:w="15" w:type="dxa"/>
            <w:left w:w="15" w:type="dxa"/>
            <w:bottom w:w="15" w:type="dxa"/>
            <w:right w:w="15" w:type="dxa"/>
          </w:tblCellMar>
        </w:tblPrEx>
        <w:trPr>
          <w:trHeight w:val="363" w:hRule="atLeast"/>
        </w:trPr>
        <w:tc>
          <w:tcPr>
            <w:tcW w:w="1940"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bookmarkStart w:id="103" w:name="_Toc55919990"/>
            <w:r>
              <w:rPr>
                <w:rFonts w:hint="eastAsia"/>
                <w:color w:val="000000"/>
                <w:lang w:val="en-US" w:eastAsia="zh-CN"/>
              </w:rPr>
              <w:t>贵州大学</w:t>
            </w:r>
          </w:p>
        </w:tc>
        <w:tc>
          <w:tcPr>
            <w:tcW w:w="478"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11</w:t>
            </w:r>
          </w:p>
        </w:tc>
        <w:tc>
          <w:tcPr>
            <w:tcW w:w="2137"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中山大学</w:t>
            </w:r>
          </w:p>
        </w:tc>
        <w:tc>
          <w:tcPr>
            <w:tcW w:w="443"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1</w:t>
            </w:r>
          </w:p>
        </w:tc>
      </w:tr>
      <w:tr>
        <w:tblPrEx>
          <w:tblCellMar>
            <w:top w:w="15" w:type="dxa"/>
            <w:left w:w="15" w:type="dxa"/>
            <w:bottom w:w="15" w:type="dxa"/>
            <w:right w:w="15" w:type="dxa"/>
          </w:tblCellMar>
        </w:tblPrEx>
        <w:trPr>
          <w:trHeight w:val="353" w:hRule="atLeast"/>
        </w:trPr>
        <w:tc>
          <w:tcPr>
            <w:tcW w:w="19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海南大学</w:t>
            </w:r>
          </w:p>
        </w:tc>
        <w:tc>
          <w:tcPr>
            <w:tcW w:w="47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3</w:t>
            </w:r>
          </w:p>
        </w:tc>
        <w:tc>
          <w:tcPr>
            <w:tcW w:w="21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中国矿业大学</w:t>
            </w:r>
          </w:p>
        </w:tc>
        <w:tc>
          <w:tcPr>
            <w:tcW w:w="44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1</w:t>
            </w:r>
          </w:p>
        </w:tc>
      </w:tr>
      <w:tr>
        <w:tblPrEx>
          <w:tblCellMar>
            <w:top w:w="15" w:type="dxa"/>
            <w:left w:w="15" w:type="dxa"/>
            <w:bottom w:w="15" w:type="dxa"/>
            <w:right w:w="15" w:type="dxa"/>
          </w:tblCellMar>
        </w:tblPrEx>
        <w:trPr>
          <w:trHeight w:val="363" w:hRule="atLeast"/>
        </w:trPr>
        <w:tc>
          <w:tcPr>
            <w:tcW w:w="1940"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中国海洋大学</w:t>
            </w:r>
          </w:p>
        </w:tc>
        <w:tc>
          <w:tcPr>
            <w:tcW w:w="47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2</w:t>
            </w:r>
          </w:p>
        </w:tc>
        <w:tc>
          <w:tcPr>
            <w:tcW w:w="2137"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西南大学</w:t>
            </w:r>
          </w:p>
        </w:tc>
        <w:tc>
          <w:tcPr>
            <w:tcW w:w="44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1</w:t>
            </w:r>
          </w:p>
        </w:tc>
      </w:tr>
      <w:tr>
        <w:tblPrEx>
          <w:tblCellMar>
            <w:top w:w="15" w:type="dxa"/>
            <w:left w:w="15" w:type="dxa"/>
            <w:bottom w:w="15" w:type="dxa"/>
            <w:right w:w="15" w:type="dxa"/>
          </w:tblCellMar>
        </w:tblPrEx>
        <w:trPr>
          <w:trHeight w:val="363" w:hRule="atLeast"/>
        </w:trPr>
        <w:tc>
          <w:tcPr>
            <w:tcW w:w="19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宁波大学</w:t>
            </w:r>
          </w:p>
        </w:tc>
        <w:tc>
          <w:tcPr>
            <w:tcW w:w="47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2</w:t>
            </w:r>
          </w:p>
        </w:tc>
        <w:tc>
          <w:tcPr>
            <w:tcW w:w="21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西北农林科技大学</w:t>
            </w:r>
          </w:p>
        </w:tc>
        <w:tc>
          <w:tcPr>
            <w:tcW w:w="44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1</w:t>
            </w:r>
          </w:p>
        </w:tc>
      </w:tr>
      <w:tr>
        <w:tblPrEx>
          <w:tblCellMar>
            <w:top w:w="15" w:type="dxa"/>
            <w:left w:w="15" w:type="dxa"/>
            <w:bottom w:w="15" w:type="dxa"/>
            <w:right w:w="15" w:type="dxa"/>
          </w:tblCellMar>
        </w:tblPrEx>
        <w:trPr>
          <w:trHeight w:val="363" w:hRule="atLeast"/>
        </w:trPr>
        <w:tc>
          <w:tcPr>
            <w:tcW w:w="1940"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南京农业大学</w:t>
            </w:r>
          </w:p>
        </w:tc>
        <w:tc>
          <w:tcPr>
            <w:tcW w:w="47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2</w:t>
            </w:r>
          </w:p>
        </w:tc>
        <w:tc>
          <w:tcPr>
            <w:tcW w:w="2137"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天津大学</w:t>
            </w:r>
          </w:p>
        </w:tc>
        <w:tc>
          <w:tcPr>
            <w:tcW w:w="44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1</w:t>
            </w:r>
          </w:p>
        </w:tc>
      </w:tr>
      <w:tr>
        <w:tblPrEx>
          <w:tblCellMar>
            <w:top w:w="15" w:type="dxa"/>
            <w:left w:w="15" w:type="dxa"/>
            <w:bottom w:w="15" w:type="dxa"/>
            <w:right w:w="15" w:type="dxa"/>
          </w:tblCellMar>
        </w:tblPrEx>
        <w:trPr>
          <w:trHeight w:val="363" w:hRule="atLeast"/>
        </w:trPr>
        <w:tc>
          <w:tcPr>
            <w:tcW w:w="19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华中农业大学</w:t>
            </w:r>
          </w:p>
        </w:tc>
        <w:tc>
          <w:tcPr>
            <w:tcW w:w="478"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2</w:t>
            </w:r>
          </w:p>
        </w:tc>
        <w:tc>
          <w:tcPr>
            <w:tcW w:w="21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四川农业大学</w:t>
            </w:r>
          </w:p>
        </w:tc>
        <w:tc>
          <w:tcPr>
            <w:tcW w:w="443"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color w:val="000000"/>
              </w:rPr>
            </w:pPr>
            <w:r>
              <w:rPr>
                <w:rFonts w:hint="eastAsia"/>
                <w:color w:val="000000"/>
                <w:lang w:val="en-US" w:eastAsia="zh-CN"/>
              </w:rPr>
              <w:t>1</w:t>
            </w:r>
          </w:p>
        </w:tc>
      </w:tr>
      <w:tr>
        <w:tblPrEx>
          <w:tblCellMar>
            <w:top w:w="15" w:type="dxa"/>
            <w:left w:w="15" w:type="dxa"/>
            <w:bottom w:w="15" w:type="dxa"/>
            <w:right w:w="15" w:type="dxa"/>
          </w:tblCellMar>
        </w:tblPrEx>
        <w:trPr>
          <w:trHeight w:val="363" w:hRule="atLeast"/>
        </w:trPr>
        <w:tc>
          <w:tcPr>
            <w:tcW w:w="1940"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北京林业大学</w:t>
            </w:r>
          </w:p>
        </w:tc>
        <w:tc>
          <w:tcPr>
            <w:tcW w:w="478"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2</w:t>
            </w:r>
          </w:p>
        </w:tc>
        <w:tc>
          <w:tcPr>
            <w:tcW w:w="2137"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上海海洋大学</w:t>
            </w:r>
          </w:p>
        </w:tc>
        <w:tc>
          <w:tcPr>
            <w:tcW w:w="443"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color w:val="000000"/>
              </w:rPr>
            </w:pPr>
            <w:r>
              <w:rPr>
                <w:rFonts w:hint="eastAsia"/>
                <w:color w:val="000000"/>
                <w:lang w:val="en-US" w:eastAsia="zh-CN"/>
              </w:rPr>
              <w:t>1</w:t>
            </w:r>
          </w:p>
        </w:tc>
      </w:tr>
      <w:tr>
        <w:tblPrEx>
          <w:tblCellMar>
            <w:top w:w="15" w:type="dxa"/>
            <w:left w:w="15" w:type="dxa"/>
            <w:bottom w:w="15" w:type="dxa"/>
            <w:right w:w="15" w:type="dxa"/>
          </w:tblCellMar>
        </w:tblPrEx>
        <w:trPr>
          <w:trHeight w:val="363" w:hRule="atLeast"/>
        </w:trPr>
        <w:tc>
          <w:tcPr>
            <w:tcW w:w="3421"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lang w:val="en-US" w:eastAsia="zh-CN"/>
              </w:rPr>
            </w:pPr>
            <w:r>
              <w:rPr>
                <w:rFonts w:hint="eastAsia"/>
                <w:color w:val="000000"/>
                <w:lang w:val="en-US" w:eastAsia="zh-CN"/>
              </w:rPr>
              <w:t>华中师范大学</w:t>
            </w:r>
          </w:p>
        </w:tc>
        <w:tc>
          <w:tcPr>
            <w:tcW w:w="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lang w:val="en-US" w:eastAsia="zh-CN"/>
              </w:rPr>
            </w:pPr>
            <w:r>
              <w:rPr>
                <w:rFonts w:hint="eastAsia"/>
                <w:color w:val="000000"/>
                <w:lang w:val="en-US" w:eastAsia="zh-CN"/>
              </w:rPr>
              <w:t>1</w:t>
            </w:r>
          </w:p>
        </w:tc>
        <w:tc>
          <w:tcPr>
            <w:tcW w:w="3768"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lang w:val="en-US" w:eastAsia="zh-CN"/>
              </w:rPr>
            </w:pPr>
            <w:r>
              <w:rPr>
                <w:rFonts w:hint="eastAsia"/>
                <w:color w:val="000000"/>
                <w:lang w:val="en-US" w:eastAsia="zh-CN"/>
              </w:rPr>
              <w:t>广西大学</w:t>
            </w:r>
          </w:p>
        </w:tc>
        <w:tc>
          <w:tcPr>
            <w:tcW w:w="781"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lang w:val="en-US" w:eastAsia="zh-CN"/>
              </w:rPr>
            </w:pPr>
            <w:r>
              <w:rPr>
                <w:rFonts w:hint="eastAsia"/>
                <w:color w:val="000000"/>
                <w:lang w:val="en-US" w:eastAsia="zh-CN"/>
              </w:rPr>
              <w:t>1</w:t>
            </w:r>
          </w:p>
        </w:tc>
      </w:tr>
      <w:tr>
        <w:tblPrEx>
          <w:tblCellMar>
            <w:top w:w="15" w:type="dxa"/>
            <w:left w:w="15" w:type="dxa"/>
            <w:bottom w:w="15" w:type="dxa"/>
            <w:right w:w="15" w:type="dxa"/>
          </w:tblCellMar>
        </w:tblPrEx>
        <w:trPr>
          <w:trHeight w:val="363" w:hRule="atLeast"/>
        </w:trPr>
        <w:tc>
          <w:tcPr>
            <w:tcW w:w="3421"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lang w:val="en-US" w:eastAsia="zh-CN"/>
              </w:rPr>
            </w:pPr>
            <w:r>
              <w:rPr>
                <w:rFonts w:hint="eastAsia"/>
                <w:color w:val="000000"/>
                <w:lang w:val="en-US" w:eastAsia="zh-CN"/>
              </w:rPr>
              <w:t>华东理工大学</w:t>
            </w:r>
          </w:p>
        </w:tc>
        <w:tc>
          <w:tcPr>
            <w:tcW w:w="84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lang w:val="en-US" w:eastAsia="zh-CN"/>
              </w:rPr>
            </w:pPr>
            <w:r>
              <w:rPr>
                <w:rFonts w:hint="eastAsia"/>
                <w:color w:val="000000"/>
                <w:lang w:val="en-US" w:eastAsia="zh-CN"/>
              </w:rPr>
              <w:t>1</w:t>
            </w:r>
          </w:p>
        </w:tc>
        <w:tc>
          <w:tcPr>
            <w:tcW w:w="3768"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lang w:val="en-US" w:eastAsia="zh-CN"/>
              </w:rPr>
            </w:pPr>
            <w:r>
              <w:rPr>
                <w:rFonts w:hint="eastAsia"/>
                <w:color w:val="000000"/>
                <w:lang w:val="en-US" w:eastAsia="zh-CN"/>
              </w:rPr>
              <w:t>东北林业大学</w:t>
            </w:r>
          </w:p>
        </w:tc>
        <w:tc>
          <w:tcPr>
            <w:tcW w:w="781"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lang w:val="en-US" w:eastAsia="zh-CN"/>
              </w:rPr>
            </w:pPr>
            <w:r>
              <w:rPr>
                <w:rFonts w:hint="eastAsia"/>
                <w:color w:val="000000"/>
                <w:lang w:val="en-US" w:eastAsia="zh-CN"/>
              </w:rPr>
              <w:t>1</w:t>
            </w:r>
          </w:p>
        </w:tc>
      </w:tr>
      <w:bookmarkEnd w:id="103"/>
    </w:tbl>
    <w:p>
      <w:pPr>
        <w:pStyle w:val="142"/>
        <w:numPr>
          <w:ilvl w:val="0"/>
          <w:numId w:val="0"/>
        </w:numPr>
        <w:shd w:val="clear" w:color="auto" w:fill="auto"/>
        <w:rPr>
          <w:rFonts w:hint="eastAsia"/>
          <w:color w:val="4F81BD" w:themeColor="accent1"/>
          <w:szCs w:val="22"/>
          <w:lang w:val="en-US" w:eastAsia="zh-Hans"/>
          <w14:textFill>
            <w14:solidFill>
              <w14:schemeClr w14:val="accent1"/>
            </w14:solidFill>
          </w14:textFill>
        </w:rPr>
      </w:pPr>
      <w:bookmarkStart w:id="104" w:name="_Toc742537751"/>
      <w:r>
        <w:rPr>
          <w:rFonts w:hint="eastAsia"/>
          <w:color w:val="4F81BD" w:themeColor="accent1"/>
          <w:szCs w:val="22"/>
          <w:lang w:val="en-US" w:eastAsia="zh-Hans"/>
          <w14:textFill>
            <w14:solidFill>
              <w14:schemeClr w14:val="accent1"/>
            </w14:solidFill>
          </w14:textFill>
        </w:rPr>
        <w:t>四</w:t>
      </w:r>
      <w:r>
        <w:rPr>
          <w:rFonts w:hint="default"/>
          <w:color w:val="4F81BD" w:themeColor="accent1"/>
          <w:szCs w:val="22"/>
          <w:lang w:eastAsia="zh-Hans"/>
          <w14:textFill>
            <w14:solidFill>
              <w14:schemeClr w14:val="accent1"/>
            </w14:solidFill>
          </w14:textFill>
        </w:rPr>
        <w:t>、</w:t>
      </w:r>
      <w:r>
        <w:rPr>
          <w:rFonts w:hint="eastAsia"/>
          <w:color w:val="4F81BD" w:themeColor="accent1"/>
          <w:szCs w:val="22"/>
          <w:lang w:val="en-US" w:eastAsia="zh-Hans"/>
          <w14:textFill>
            <w14:solidFill>
              <w14:schemeClr w14:val="accent1"/>
            </w14:solidFill>
          </w14:textFill>
        </w:rPr>
        <w:t>出国</w:t>
      </w:r>
      <w:r>
        <w:rPr>
          <w:rFonts w:hint="default"/>
          <w:color w:val="4F81BD" w:themeColor="accent1"/>
          <w:szCs w:val="22"/>
          <w:lang w:eastAsia="zh-Hans"/>
          <w14:textFill>
            <w14:solidFill>
              <w14:schemeClr w14:val="accent1"/>
            </w14:solidFill>
          </w14:textFill>
        </w:rPr>
        <w:t>（</w:t>
      </w:r>
      <w:r>
        <w:rPr>
          <w:rFonts w:hint="eastAsia"/>
          <w:color w:val="4F81BD" w:themeColor="accent1"/>
          <w:szCs w:val="22"/>
          <w:lang w:val="en-US" w:eastAsia="zh-Hans"/>
          <w14:textFill>
            <w14:solidFill>
              <w14:schemeClr w14:val="accent1"/>
            </w14:solidFill>
          </w14:textFill>
        </w:rPr>
        <w:t>境</w:t>
      </w:r>
      <w:r>
        <w:rPr>
          <w:rFonts w:hint="default"/>
          <w:color w:val="4F81BD" w:themeColor="accent1"/>
          <w:szCs w:val="22"/>
          <w:lang w:eastAsia="zh-Hans"/>
          <w14:textFill>
            <w14:solidFill>
              <w14:schemeClr w14:val="accent1"/>
            </w14:solidFill>
          </w14:textFill>
        </w:rPr>
        <w:t>）</w:t>
      </w:r>
      <w:r>
        <w:rPr>
          <w:rFonts w:hint="eastAsia"/>
          <w:color w:val="4F81BD" w:themeColor="accent1"/>
          <w:szCs w:val="22"/>
          <w:lang w:val="en-US" w:eastAsia="zh-Hans"/>
          <w14:textFill>
            <w14:solidFill>
              <w14:schemeClr w14:val="accent1"/>
            </w14:solidFill>
          </w14:textFill>
        </w:rPr>
        <w:t>情况</w:t>
      </w:r>
      <w:bookmarkEnd w:id="104"/>
    </w:p>
    <w:p>
      <w:pPr>
        <w:pStyle w:val="144"/>
        <w:bidi w:val="0"/>
        <w:rPr>
          <w:rFonts w:hint="eastAsia"/>
          <w:highlight w:val="none"/>
          <w:lang w:val="en-US" w:eastAsia="zh-Hans"/>
        </w:rPr>
      </w:pPr>
      <w:r>
        <w:rPr>
          <w:rFonts w:hint="eastAsia"/>
        </w:rPr>
        <w:t>学校</w:t>
      </w:r>
      <w:r>
        <w:t>2021届毕业生</w:t>
      </w:r>
      <w:r>
        <w:rPr>
          <w:rFonts w:hint="eastAsia"/>
        </w:rPr>
        <w:t>中，</w:t>
      </w:r>
      <w:r>
        <w:rPr>
          <w:rFonts w:hint="eastAsia"/>
          <w:highlight w:val="none"/>
        </w:rPr>
        <w:t>共有</w:t>
      </w:r>
      <w:r>
        <w:rPr>
          <w:rFonts w:hint="default"/>
          <w:highlight w:val="none"/>
        </w:rPr>
        <w:t>1</w:t>
      </w:r>
      <w:r>
        <w:rPr>
          <w:rFonts w:hint="eastAsia"/>
          <w:highlight w:val="none"/>
        </w:rPr>
        <w:t>人选择</w:t>
      </w:r>
      <w:r>
        <w:rPr>
          <w:rFonts w:hint="eastAsia"/>
          <w:highlight w:val="none"/>
          <w:lang w:val="en-US" w:eastAsia="zh-Hans"/>
        </w:rPr>
        <w:t>出国</w:t>
      </w:r>
      <w:r>
        <w:rPr>
          <w:rFonts w:hint="default"/>
          <w:highlight w:val="none"/>
          <w:lang w:eastAsia="zh-Hans"/>
        </w:rPr>
        <w:t>（</w:t>
      </w:r>
      <w:r>
        <w:rPr>
          <w:rFonts w:hint="eastAsia"/>
          <w:highlight w:val="none"/>
          <w:lang w:val="en-US" w:eastAsia="zh-Hans"/>
        </w:rPr>
        <w:t>境</w:t>
      </w:r>
      <w:r>
        <w:rPr>
          <w:rFonts w:hint="default"/>
          <w:highlight w:val="none"/>
          <w:lang w:eastAsia="zh-Hans"/>
        </w:rPr>
        <w:t>）</w:t>
      </w:r>
      <w:r>
        <w:rPr>
          <w:rFonts w:hint="eastAsia"/>
          <w:highlight w:val="none"/>
        </w:rPr>
        <w:t>深造</w:t>
      </w:r>
      <w:r>
        <w:rPr>
          <w:rFonts w:hint="default"/>
          <w:highlight w:val="none"/>
        </w:rPr>
        <w:t>，</w:t>
      </w:r>
      <w:r>
        <w:rPr>
          <w:rFonts w:hint="eastAsia"/>
          <w:highlight w:val="none"/>
          <w:lang w:val="en-US" w:eastAsia="zh-Hans"/>
        </w:rPr>
        <w:t>占比</w:t>
      </w:r>
      <w:r>
        <w:rPr>
          <w:rFonts w:hint="default"/>
          <w:highlight w:val="none"/>
          <w:lang w:eastAsia="zh-Hans"/>
        </w:rPr>
        <w:t>0.05%</w:t>
      </w:r>
      <w:r>
        <w:t>。</w:t>
      </w:r>
    </w:p>
    <w:p>
      <w:pPr>
        <w:pStyle w:val="203"/>
        <w:spacing w:before="0" w:beforeLines="0" w:after="0" w:afterLines="0"/>
        <w:rPr>
          <w:bCs/>
        </w:rPr>
      </w:pPr>
      <w:r>
        <w:rPr>
          <w:rFonts w:hint="eastAsia"/>
        </w:rPr>
        <w:t>表</w:t>
      </w:r>
      <w:r>
        <w:rPr>
          <w:rFonts w:hint="default"/>
        </w:rPr>
        <w:t>3</w:t>
      </w:r>
      <w:r>
        <w:rPr>
          <w:rFonts w:hint="eastAsia"/>
        </w:rPr>
        <w:t xml:space="preserve">- </w:t>
      </w:r>
      <w:r>
        <w:fldChar w:fldCharType="begin"/>
      </w:r>
      <w:r>
        <w:instrText xml:space="preserve"> </w:instrText>
      </w:r>
      <w:r>
        <w:rPr>
          <w:rFonts w:hint="eastAsia"/>
        </w:rPr>
        <w:instrText xml:space="preserve">SEQ 表</w:instrText>
      </w:r>
      <w:r>
        <w:rPr>
          <w:rFonts w:hint="default"/>
        </w:rPr>
        <w:instrText xml:space="preserve">3</w:instrText>
      </w:r>
      <w:r>
        <w:rPr>
          <w:rFonts w:hint="eastAsia"/>
        </w:rPr>
        <w:instrText xml:space="preserve">- \* ARABIC</w:instrText>
      </w:r>
      <w:r>
        <w:instrText xml:space="preserve"> </w:instrText>
      </w:r>
      <w:r>
        <w:fldChar w:fldCharType="separate"/>
      </w:r>
      <w:r>
        <w:rPr>
          <w:rFonts w:hint="eastAsia"/>
        </w:rPr>
        <w:t>2</w:t>
      </w:r>
      <w:r>
        <w:fldChar w:fldCharType="end"/>
      </w:r>
      <w:r>
        <w:rPr>
          <w:bCs/>
        </w:rPr>
        <w:t xml:space="preserve">  </w:t>
      </w:r>
      <w:r>
        <w:rPr>
          <w:rFonts w:hint="eastAsia"/>
          <w:bCs/>
        </w:rPr>
        <w:t xml:space="preserve"> </w:t>
      </w:r>
      <w:r>
        <w:rPr>
          <w:bCs/>
        </w:rPr>
        <w:t>2021届毕业生</w:t>
      </w:r>
      <w:r>
        <w:rPr>
          <w:rFonts w:hint="eastAsia"/>
          <w:bCs/>
          <w:lang w:val="en-US" w:eastAsia="zh-Hans"/>
        </w:rPr>
        <w:t>出国境</w:t>
      </w:r>
      <w:r>
        <w:rPr>
          <w:rFonts w:hint="eastAsia"/>
          <w:bCs/>
        </w:rPr>
        <w:t>升学院校分布</w:t>
      </w:r>
    </w:p>
    <w:tbl>
      <w:tblPr>
        <w:tblStyle w:val="32"/>
        <w:tblW w:w="4999" w:type="pct"/>
        <w:tblInd w:w="0" w:type="dxa"/>
        <w:tblLayout w:type="autofit"/>
        <w:tblCellMar>
          <w:top w:w="15" w:type="dxa"/>
          <w:left w:w="15" w:type="dxa"/>
          <w:bottom w:w="15" w:type="dxa"/>
          <w:right w:w="15" w:type="dxa"/>
        </w:tblCellMar>
      </w:tblPr>
      <w:tblGrid>
        <w:gridCol w:w="7074"/>
        <w:gridCol w:w="1742"/>
      </w:tblGrid>
      <w:tr>
        <w:tblPrEx>
          <w:tblCellMar>
            <w:top w:w="15" w:type="dxa"/>
            <w:left w:w="15" w:type="dxa"/>
            <w:bottom w:w="15" w:type="dxa"/>
            <w:right w:w="15" w:type="dxa"/>
          </w:tblCellMar>
        </w:tblPrEx>
        <w:trPr>
          <w:trHeight w:val="363" w:hRule="atLeast"/>
        </w:trPr>
        <w:tc>
          <w:tcPr>
            <w:tcW w:w="4011"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rPr>
                <w:color w:val="FFFFFF"/>
              </w:rPr>
            </w:pPr>
            <w:r>
              <w:rPr>
                <w:rFonts w:hint="eastAsia"/>
                <w:color w:val="FFFFFF"/>
                <w:highlight w:val="none"/>
                <w:lang w:val="en-US" w:eastAsia="zh-Hans"/>
              </w:rPr>
              <w:t>出国</w:t>
            </w:r>
            <w:r>
              <w:rPr>
                <w:rFonts w:hint="default"/>
                <w:color w:val="FFFFFF"/>
                <w:highlight w:val="none"/>
                <w:lang w:eastAsia="zh-Hans"/>
              </w:rPr>
              <w:t>（</w:t>
            </w:r>
            <w:r>
              <w:rPr>
                <w:rFonts w:hint="eastAsia"/>
                <w:color w:val="FFFFFF"/>
                <w:highlight w:val="none"/>
                <w:lang w:val="en-US" w:eastAsia="zh-Hans"/>
              </w:rPr>
              <w:t>境</w:t>
            </w:r>
            <w:r>
              <w:rPr>
                <w:rFonts w:hint="default"/>
                <w:color w:val="FFFFFF"/>
                <w:highlight w:val="none"/>
                <w:lang w:eastAsia="zh-Hans"/>
              </w:rPr>
              <w:t>）</w:t>
            </w:r>
            <w:r>
              <w:rPr>
                <w:rFonts w:hint="eastAsia"/>
                <w:color w:val="FFFFFF"/>
              </w:rPr>
              <w:t>升学院校</w:t>
            </w:r>
          </w:p>
        </w:tc>
        <w:tc>
          <w:tcPr>
            <w:tcW w:w="988" w:type="pct"/>
            <w:tcBorders>
              <w:top w:val="single" w:color="4BACC6" w:sz="8" w:space="0"/>
              <w:left w:val="single" w:color="4BACC6" w:sz="8" w:space="0"/>
              <w:bottom w:val="single" w:color="FFFFFF" w:sz="0" w:space="0"/>
              <w:right w:val="single" w:color="4BACC6" w:sz="8" w:space="0"/>
            </w:tcBorders>
            <w:shd w:val="clear" w:color="auto" w:fill="4BACC6"/>
            <w:vAlign w:val="center"/>
          </w:tcPr>
          <w:p>
            <w:pPr>
              <w:pStyle w:val="117"/>
              <w:bidi w:val="0"/>
              <w:rPr>
                <w:color w:val="FFFFFF"/>
              </w:rPr>
            </w:pPr>
            <w:r>
              <w:rPr>
                <w:rFonts w:hint="eastAsia"/>
                <w:color w:val="FFFFFF"/>
              </w:rPr>
              <w:t>人数</w:t>
            </w:r>
          </w:p>
        </w:tc>
      </w:tr>
      <w:tr>
        <w:tblPrEx>
          <w:tblCellMar>
            <w:top w:w="15" w:type="dxa"/>
            <w:left w:w="15" w:type="dxa"/>
            <w:bottom w:w="15" w:type="dxa"/>
            <w:right w:w="15" w:type="dxa"/>
          </w:tblCellMar>
        </w:tblPrEx>
        <w:trPr>
          <w:trHeight w:val="363" w:hRule="atLeast"/>
        </w:trPr>
        <w:tc>
          <w:tcPr>
            <w:tcW w:w="4011" w:type="pct"/>
            <w:tcBorders>
              <w:top w:val="single" w:color="FFFFFF" w:sz="8" w:space="0"/>
              <w:left w:val="single" w:color="4BACC6" w:sz="8" w:space="0"/>
              <w:bottom w:val="single" w:color="4BACC6" w:sz="8" w:space="0"/>
              <w:right w:val="single" w:color="4BACC6" w:sz="8" w:space="0"/>
            </w:tcBorders>
            <w:shd w:val="clear" w:color="auto" w:fill="CCE8CF" w:themeFill="background1"/>
            <w:vAlign w:val="center"/>
          </w:tcPr>
          <w:p>
            <w:pPr>
              <w:pStyle w:val="117"/>
              <w:bidi w:val="0"/>
            </w:pPr>
            <w:r>
              <w:rPr>
                <w:rFonts w:hint="eastAsia"/>
                <w:lang w:val="en-US" w:eastAsia="zh-CN"/>
              </w:rPr>
              <w:t>泰国正大管理学院</w:t>
            </w:r>
          </w:p>
        </w:tc>
        <w:tc>
          <w:tcPr>
            <w:tcW w:w="988" w:type="pct"/>
            <w:tcBorders>
              <w:top w:val="single" w:color="FFFFFF" w:sz="8" w:space="0"/>
              <w:left w:val="single" w:color="4BACC6" w:sz="8" w:space="0"/>
              <w:bottom w:val="single" w:color="4BACC6" w:sz="8" w:space="0"/>
              <w:right w:val="single" w:color="4BACC6" w:sz="8" w:space="0"/>
            </w:tcBorders>
            <w:shd w:val="clear" w:color="auto" w:fill="CCE8CF" w:themeFill="background1"/>
            <w:vAlign w:val="center"/>
          </w:tcPr>
          <w:p>
            <w:pPr>
              <w:pStyle w:val="117"/>
              <w:bidi w:val="0"/>
            </w:pPr>
            <w:r>
              <w:rPr>
                <w:rFonts w:hint="eastAsia"/>
                <w:lang w:val="en-US" w:eastAsia="zh-CN"/>
              </w:rPr>
              <w:t>1</w:t>
            </w:r>
          </w:p>
        </w:tc>
      </w:tr>
    </w:tbl>
    <w:p>
      <w:pPr>
        <w:pStyle w:val="142"/>
        <w:numPr>
          <w:ilvl w:val="0"/>
          <w:numId w:val="0"/>
        </w:numPr>
        <w:shd w:val="clear" w:color="auto" w:fill="auto"/>
        <w:rPr>
          <w:rFonts w:hint="eastAsia"/>
          <w:color w:val="4F81BD" w:themeColor="accent1"/>
          <w:szCs w:val="22"/>
          <w:lang w:val="en-US" w:eastAsia="zh-Hans"/>
          <w14:textFill>
            <w14:solidFill>
              <w14:schemeClr w14:val="accent1"/>
            </w14:solidFill>
          </w14:textFill>
        </w:rPr>
      </w:pPr>
    </w:p>
    <w:p>
      <w:pPr>
        <w:rPr>
          <w:rFonts w:hint="eastAsia"/>
          <w:b/>
          <w:color w:val="4F81BD" w:themeColor="accent1"/>
          <w:sz w:val="24"/>
          <w:szCs w:val="24"/>
          <w14:textFill>
            <w14:solidFill>
              <w14:schemeClr w14:val="accent1"/>
            </w14:solidFill>
          </w14:textFill>
        </w:rPr>
      </w:pPr>
      <w:r>
        <w:rPr>
          <w:rFonts w:hint="eastAsia"/>
          <w:b/>
          <w:color w:val="4F81BD" w:themeColor="accent1"/>
          <w:sz w:val="24"/>
          <w:szCs w:val="24"/>
          <w14:textFill>
            <w14:solidFill>
              <w14:schemeClr w14:val="accent1"/>
            </w14:solidFill>
          </w14:textFill>
        </w:rPr>
        <w:br w:type="page"/>
      </w:r>
      <w:bookmarkEnd w:id="99"/>
      <w:bookmarkEnd w:id="100"/>
    </w:p>
    <w:p>
      <w:pPr>
        <w:pStyle w:val="88"/>
        <w:bidi w:val="0"/>
        <w:rPr>
          <w:rFonts w:hint="eastAsia"/>
          <w:color w:val="4F81BD" w:themeColor="accent1"/>
          <w:szCs w:val="22"/>
          <w14:textFill>
            <w14:solidFill>
              <w14:schemeClr w14:val="accent1"/>
            </w14:solidFill>
          </w14:textFill>
        </w:rPr>
      </w:pPr>
      <w:bookmarkStart w:id="105" w:name="_Toc804508340"/>
      <w:r>
        <w:rPr>
          <w:rFonts w:hint="eastAsia"/>
        </w:rPr>
        <w:t>第</w:t>
      </w:r>
      <w:r>
        <w:rPr>
          <w:rFonts w:hint="eastAsia"/>
          <w:lang w:val="en-US" w:eastAsia="zh-Hans"/>
        </w:rPr>
        <w:t>四章</w:t>
      </w:r>
      <w:r>
        <w:rPr>
          <w:rFonts w:hint="default"/>
          <w:lang w:eastAsia="zh-Hans"/>
        </w:rPr>
        <w:t xml:space="preserve"> </w:t>
      </w:r>
      <w:r>
        <w:rPr>
          <w:rFonts w:hint="eastAsia"/>
          <w:lang w:val="en-US" w:eastAsia="zh-Hans"/>
        </w:rPr>
        <w:t>毕业生自主创业情况</w:t>
      </w:r>
      <w:bookmarkEnd w:id="105"/>
    </w:p>
    <w:p>
      <w:pPr>
        <w:pStyle w:val="142"/>
        <w:numPr>
          <w:ilvl w:val="0"/>
          <w:numId w:val="0"/>
        </w:numPr>
        <w:shd w:val="clear" w:color="auto" w:fill="auto"/>
        <w:rPr>
          <w:rFonts w:hint="eastAsia"/>
          <w:color w:val="4F81BD" w:themeColor="accent1"/>
          <w:szCs w:val="22"/>
          <w:lang w:val="en-US" w:eastAsia="zh-Hans"/>
          <w14:textFill>
            <w14:solidFill>
              <w14:schemeClr w14:val="accent1"/>
            </w14:solidFill>
          </w14:textFill>
        </w:rPr>
      </w:pPr>
      <w:bookmarkStart w:id="106" w:name="_Toc814628868"/>
      <w:r>
        <w:rPr>
          <w:rFonts w:hint="eastAsia"/>
          <w:color w:val="4F81BD" w:themeColor="accent1"/>
          <w:szCs w:val="22"/>
          <w:lang w:val="en-US" w:eastAsia="zh-Hans"/>
          <w14:textFill>
            <w14:solidFill>
              <w14:schemeClr w14:val="accent1"/>
            </w14:solidFill>
          </w14:textFill>
        </w:rPr>
        <w:t>一</w:t>
      </w:r>
      <w:r>
        <w:rPr>
          <w:rFonts w:hint="default"/>
          <w:color w:val="4F81BD" w:themeColor="accent1"/>
          <w:szCs w:val="22"/>
          <w:lang w:eastAsia="zh-Hans"/>
          <w14:textFill>
            <w14:solidFill>
              <w14:schemeClr w14:val="accent1"/>
            </w14:solidFill>
          </w14:textFill>
        </w:rPr>
        <w:t>、</w:t>
      </w:r>
      <w:r>
        <w:rPr>
          <w:rFonts w:hint="eastAsia"/>
          <w:color w:val="4F81BD" w:themeColor="accent1"/>
          <w:szCs w:val="22"/>
          <w:lang w:val="en-US" w:eastAsia="zh-Hans"/>
          <w14:textFill>
            <w14:solidFill>
              <w14:schemeClr w14:val="accent1"/>
            </w14:solidFill>
          </w14:textFill>
        </w:rPr>
        <w:t>自主创业人数</w:t>
      </w:r>
      <w:bookmarkEnd w:id="106"/>
    </w:p>
    <w:p>
      <w:pPr>
        <w:pStyle w:val="199"/>
        <w:ind w:firstLine="482"/>
      </w:pPr>
      <w:r>
        <w:rPr>
          <w:rFonts w:hint="eastAsia"/>
          <w:b w:val="0"/>
          <w:bCs/>
          <w:color w:val="auto"/>
        </w:rPr>
        <w:t>创新创业是经济和社会发展的巨大推力，为响应“以创新引领创业，以创业带动就业”的发展战略，学校多措并举，营造创新创业文化氛围，与时俱进，创造条件，鼓励学生的创新创业活动。</w:t>
      </w:r>
      <w:r>
        <w:rPr>
          <w:rFonts w:hint="eastAsia"/>
        </w:rPr>
        <w:t>学校</w:t>
      </w:r>
      <w:r>
        <w:t>2021届毕业生中，</w:t>
      </w:r>
      <w:r>
        <w:rPr>
          <w:rFonts w:hint="eastAsia"/>
        </w:rPr>
        <w:t>共有</w:t>
      </w:r>
      <w:r>
        <w:rPr>
          <w:rFonts w:hint="default"/>
        </w:rPr>
        <w:t>10</w:t>
      </w:r>
      <w:r>
        <w:rPr>
          <w:rFonts w:hint="eastAsia"/>
        </w:rPr>
        <w:t>人选择</w:t>
      </w:r>
      <w:r>
        <w:t>自主创业，</w:t>
      </w:r>
      <w:r>
        <w:rPr>
          <w:rFonts w:hint="eastAsia"/>
        </w:rPr>
        <w:t>创业率</w:t>
      </w:r>
      <w:r>
        <w:t>为</w:t>
      </w:r>
      <w:r>
        <w:rPr>
          <w:rFonts w:hint="eastAsia"/>
        </w:rPr>
        <w:t>0.53%</w:t>
      </w:r>
      <w:r>
        <w:t>。</w:t>
      </w:r>
      <w:r>
        <w:rPr>
          <w:rFonts w:hint="eastAsia"/>
          <w:lang w:val="en-US" w:eastAsia="zh-Hans"/>
        </w:rPr>
        <w:t>创业毕业生主要集中在教育学院</w:t>
      </w:r>
      <w:r>
        <w:rPr>
          <w:rFonts w:hint="default"/>
          <w:lang w:eastAsia="zh-Hans"/>
        </w:rPr>
        <w:t>，</w:t>
      </w:r>
      <w:r>
        <w:rPr>
          <w:rFonts w:hint="eastAsia"/>
          <w:lang w:eastAsia="zh-Hans"/>
        </w:rPr>
        <w:t>占创业总人数的</w:t>
      </w:r>
      <w:r>
        <w:rPr>
          <w:lang w:eastAsia="zh-Hans"/>
        </w:rPr>
        <w:t>70%。</w:t>
      </w:r>
    </w:p>
    <w:p>
      <w:pPr>
        <w:pStyle w:val="203"/>
        <w:bidi w:val="0"/>
      </w:pPr>
      <w:r>
        <w:rPr>
          <w:rFonts w:hint="eastAsia"/>
        </w:rPr>
        <w:t>表</w:t>
      </w:r>
      <w:r>
        <w:rPr>
          <w:rFonts w:hint="default"/>
        </w:rPr>
        <w:t>4</w:t>
      </w:r>
      <w:r>
        <w:rPr>
          <w:rFonts w:hint="eastAsia"/>
        </w:rPr>
        <w:t xml:space="preserve">- </w:t>
      </w:r>
      <w:r>
        <w:rPr>
          <w:rFonts w:hint="eastAsia"/>
        </w:rPr>
        <w:fldChar w:fldCharType="begin"/>
      </w:r>
      <w:r>
        <w:rPr>
          <w:rFonts w:hint="eastAsia"/>
        </w:rPr>
        <w:instrText xml:space="preserve"> SEQ 表</w:instrText>
      </w:r>
      <w:r>
        <w:rPr>
          <w:rFonts w:hint="default"/>
        </w:rPr>
        <w:instrText xml:space="preserve">4</w:instrText>
      </w:r>
      <w:r>
        <w:rPr>
          <w:rFonts w:hint="eastAsia"/>
        </w:rPr>
        <w:instrText xml:space="preserve">- \* ARABIC </w:instrText>
      </w:r>
      <w:r>
        <w:rPr>
          <w:rFonts w:hint="eastAsia"/>
        </w:rPr>
        <w:fldChar w:fldCharType="separate"/>
      </w:r>
      <w:r>
        <w:rPr>
          <w:rFonts w:hint="eastAsia"/>
        </w:rPr>
        <w:t>1</w:t>
      </w:r>
      <w:r>
        <w:rPr>
          <w:rFonts w:hint="eastAsia"/>
        </w:rPr>
        <w:fldChar w:fldCharType="end"/>
      </w:r>
      <w:r>
        <w:rPr>
          <w:rFonts w:hint="eastAsia"/>
        </w:rPr>
        <w:t xml:space="preserve"> </w:t>
      </w:r>
      <w:r>
        <w:rPr>
          <w:rFonts w:hint="default"/>
        </w:rPr>
        <w:t>2021</w:t>
      </w:r>
      <w:r>
        <w:rPr>
          <w:rFonts w:hint="eastAsia"/>
          <w:lang w:val="en-US" w:eastAsia="zh-Hans"/>
        </w:rPr>
        <w:t>届</w:t>
      </w:r>
      <w:r>
        <w:rPr>
          <w:rFonts w:hint="eastAsia"/>
        </w:rPr>
        <w:t>毕业生自主创业专业分布</w:t>
      </w:r>
    </w:p>
    <w:tbl>
      <w:tblPr>
        <w:tblStyle w:val="3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86"/>
        <w:gridCol w:w="2187"/>
        <w:gridCol w:w="2187"/>
        <w:gridCol w:w="2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240" w:type="pct"/>
            <w:tcBorders>
              <w:top w:val="single" w:color="4BACC6" w:sz="8" w:space="0"/>
              <w:left w:val="single" w:color="4BACC6" w:sz="8" w:space="0"/>
              <w:bottom w:val="single" w:color="FFFFFF" w:sz="8" w:space="0"/>
              <w:right w:val="single" w:color="4BACC6" w:sz="8" w:space="0"/>
            </w:tcBorders>
            <w:shd w:val="clear" w:color="auto" w:fill="4BACC6"/>
            <w:vAlign w:val="center"/>
          </w:tcPr>
          <w:p>
            <w:pPr>
              <w:pStyle w:val="220"/>
              <w:bidi w:val="0"/>
              <w:rPr>
                <w:rFonts w:hint="eastAsia"/>
                <w:color w:val="FFFFFF"/>
              </w:rPr>
            </w:pPr>
            <w:r>
              <w:rPr>
                <w:rFonts w:hint="eastAsia"/>
                <w:color w:val="FFFFFF"/>
                <w:lang w:val="en-US" w:eastAsia="zh-CN"/>
              </w:rPr>
              <w:t>学院</w:t>
            </w:r>
          </w:p>
        </w:tc>
        <w:tc>
          <w:tcPr>
            <w:tcW w:w="1240" w:type="pct"/>
            <w:tcBorders>
              <w:top w:val="single" w:color="4BACC6" w:sz="8" w:space="0"/>
              <w:left w:val="single" w:color="4BACC6" w:sz="8" w:space="0"/>
              <w:bottom w:val="single" w:color="FFFFFF" w:sz="8" w:space="0"/>
              <w:right w:val="single" w:color="4BACC6" w:sz="8" w:space="0"/>
            </w:tcBorders>
            <w:shd w:val="clear" w:color="auto" w:fill="4BACC6"/>
            <w:vAlign w:val="center"/>
          </w:tcPr>
          <w:p>
            <w:pPr>
              <w:pStyle w:val="220"/>
              <w:bidi w:val="0"/>
              <w:rPr>
                <w:rFonts w:hint="eastAsia"/>
                <w:color w:val="FFFFFF"/>
              </w:rPr>
            </w:pPr>
            <w:r>
              <w:rPr>
                <w:rFonts w:hint="eastAsia"/>
                <w:color w:val="FFFFFF"/>
                <w:lang w:val="en-US" w:eastAsia="zh-CN"/>
              </w:rPr>
              <w:t>专业</w:t>
            </w:r>
          </w:p>
        </w:tc>
        <w:tc>
          <w:tcPr>
            <w:tcW w:w="1240" w:type="pct"/>
            <w:tcBorders>
              <w:top w:val="single" w:color="4BACC6" w:sz="8" w:space="0"/>
              <w:left w:val="single" w:color="4BACC6" w:sz="8" w:space="0"/>
              <w:bottom w:val="single" w:color="FFFFFF" w:sz="8" w:space="0"/>
              <w:right w:val="single" w:color="4BACC6" w:sz="8" w:space="0"/>
            </w:tcBorders>
            <w:shd w:val="clear" w:color="auto" w:fill="4BACC6"/>
            <w:vAlign w:val="center"/>
          </w:tcPr>
          <w:p>
            <w:pPr>
              <w:pStyle w:val="220"/>
              <w:bidi w:val="0"/>
              <w:rPr>
                <w:rFonts w:hint="eastAsia"/>
                <w:color w:val="FFFFFF"/>
              </w:rPr>
            </w:pPr>
            <w:r>
              <w:rPr>
                <w:rFonts w:hint="eastAsia"/>
                <w:color w:val="FFFFFF"/>
                <w:lang w:val="en-US" w:eastAsia="zh-CN"/>
              </w:rPr>
              <w:t>创业人数</w:t>
            </w:r>
          </w:p>
        </w:tc>
        <w:tc>
          <w:tcPr>
            <w:tcW w:w="1279" w:type="pct"/>
            <w:tcBorders>
              <w:top w:val="single" w:color="4BACC6" w:sz="8" w:space="0"/>
              <w:left w:val="single" w:color="4BACC6" w:sz="8" w:space="0"/>
              <w:bottom w:val="single" w:color="FFFFFF" w:sz="8" w:space="0"/>
              <w:right w:val="single" w:color="4BACC6" w:sz="8" w:space="0"/>
            </w:tcBorders>
            <w:shd w:val="clear" w:color="auto" w:fill="4BACC6"/>
            <w:vAlign w:val="center"/>
          </w:tcPr>
          <w:p>
            <w:pPr>
              <w:pStyle w:val="220"/>
              <w:bidi w:val="0"/>
              <w:rPr>
                <w:rFonts w:hint="eastAsia"/>
                <w:color w:val="FFFFFF"/>
              </w:rPr>
            </w:pPr>
            <w:r>
              <w:rPr>
                <w:rFonts w:hint="eastAsia"/>
                <w:color w:val="FFFFFF"/>
                <w:lang w:val="en-US" w:eastAsia="zh-CN"/>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40"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教育学院</w:t>
            </w:r>
          </w:p>
        </w:tc>
        <w:tc>
          <w:tcPr>
            <w:tcW w:w="1240"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学前教育</w:t>
            </w:r>
          </w:p>
        </w:tc>
        <w:tc>
          <w:tcPr>
            <w:tcW w:w="1240"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6</w:t>
            </w:r>
          </w:p>
        </w:tc>
        <w:tc>
          <w:tcPr>
            <w:tcW w:w="1279" w:type="pct"/>
            <w:tcBorders>
              <w:top w:val="single" w:color="FFFFFF"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教育学院</w:t>
            </w:r>
          </w:p>
        </w:tc>
        <w:tc>
          <w:tcPr>
            <w:tcW w:w="12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小学教育</w:t>
            </w:r>
          </w:p>
        </w:tc>
        <w:tc>
          <w:tcPr>
            <w:tcW w:w="12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1</w:t>
            </w:r>
          </w:p>
        </w:tc>
        <w:tc>
          <w:tcPr>
            <w:tcW w:w="12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40"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材料与化学工程学院</w:t>
            </w:r>
          </w:p>
        </w:tc>
        <w:tc>
          <w:tcPr>
            <w:tcW w:w="1240"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制药工程</w:t>
            </w:r>
          </w:p>
        </w:tc>
        <w:tc>
          <w:tcPr>
            <w:tcW w:w="1240"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1</w:t>
            </w:r>
          </w:p>
        </w:tc>
        <w:tc>
          <w:tcPr>
            <w:tcW w:w="127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材料与化学工程学院</w:t>
            </w:r>
          </w:p>
        </w:tc>
        <w:tc>
          <w:tcPr>
            <w:tcW w:w="12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材料科学与工程</w:t>
            </w:r>
          </w:p>
        </w:tc>
        <w:tc>
          <w:tcPr>
            <w:tcW w:w="12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1</w:t>
            </w:r>
          </w:p>
        </w:tc>
        <w:tc>
          <w:tcPr>
            <w:tcW w:w="12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40"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大健康学院</w:t>
            </w:r>
          </w:p>
        </w:tc>
        <w:tc>
          <w:tcPr>
            <w:tcW w:w="1240"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社会工作</w:t>
            </w:r>
          </w:p>
        </w:tc>
        <w:tc>
          <w:tcPr>
            <w:tcW w:w="1240"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1</w:t>
            </w:r>
          </w:p>
        </w:tc>
        <w:tc>
          <w:tcPr>
            <w:tcW w:w="1279" w:type="pct"/>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220"/>
              <w:bidi w:val="0"/>
              <w:rPr>
                <w:rFonts w:hint="eastAsia"/>
                <w:color w:val="000000"/>
              </w:rPr>
            </w:pPr>
            <w:r>
              <w:rPr>
                <w:rFonts w:hint="eastAsia"/>
                <w:color w:val="000000"/>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2480" w:type="pct"/>
            <w:gridSpan w:val="2"/>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总计</w:t>
            </w:r>
          </w:p>
        </w:tc>
        <w:tc>
          <w:tcPr>
            <w:tcW w:w="1240"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10</w:t>
            </w:r>
          </w:p>
        </w:tc>
        <w:tc>
          <w:tcPr>
            <w:tcW w:w="12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20"/>
              <w:bidi w:val="0"/>
              <w:rPr>
                <w:rFonts w:hint="eastAsia"/>
                <w:color w:val="000000"/>
              </w:rPr>
            </w:pPr>
            <w:r>
              <w:rPr>
                <w:rFonts w:hint="eastAsia"/>
                <w:color w:val="000000"/>
                <w:lang w:val="en-US" w:eastAsia="zh-CN"/>
              </w:rPr>
              <w:t>100.00%</w:t>
            </w:r>
          </w:p>
        </w:tc>
      </w:tr>
    </w:tbl>
    <w:p>
      <w:pPr>
        <w:pStyle w:val="142"/>
        <w:numPr>
          <w:ilvl w:val="0"/>
          <w:numId w:val="0"/>
        </w:numPr>
        <w:shd w:val="clear" w:color="auto" w:fill="auto"/>
        <w:rPr>
          <w:rFonts w:hint="eastAsia"/>
          <w:color w:val="4F81BD" w:themeColor="accent1"/>
          <w:szCs w:val="22"/>
          <w:lang w:val="en-US" w:eastAsia="zh-Hans"/>
          <w14:textFill>
            <w14:solidFill>
              <w14:schemeClr w14:val="accent1"/>
            </w14:solidFill>
          </w14:textFill>
        </w:rPr>
      </w:pPr>
      <w:bookmarkStart w:id="107" w:name="_Toc1259134851"/>
      <w:r>
        <w:rPr>
          <w:rFonts w:hint="eastAsia"/>
          <w:color w:val="4F81BD" w:themeColor="accent1"/>
          <w:szCs w:val="22"/>
          <w:lang w:val="en-US" w:eastAsia="zh-Hans"/>
          <w14:textFill>
            <w14:solidFill>
              <w14:schemeClr w14:val="accent1"/>
            </w14:solidFill>
          </w14:textFill>
        </w:rPr>
        <w:t>二</w:t>
      </w:r>
      <w:r>
        <w:rPr>
          <w:rFonts w:hint="default"/>
          <w:color w:val="4F81BD" w:themeColor="accent1"/>
          <w:szCs w:val="22"/>
          <w:lang w:eastAsia="zh-Hans"/>
          <w14:textFill>
            <w14:solidFill>
              <w14:schemeClr w14:val="accent1"/>
            </w14:solidFill>
          </w14:textFill>
        </w:rPr>
        <w:t>、</w:t>
      </w:r>
      <w:r>
        <w:rPr>
          <w:rFonts w:hint="eastAsia"/>
          <w:color w:val="4F81BD" w:themeColor="accent1"/>
          <w:szCs w:val="22"/>
          <w:lang w:val="en-US" w:eastAsia="zh-Hans"/>
          <w14:textFill>
            <w14:solidFill>
              <w14:schemeClr w14:val="accent1"/>
            </w14:solidFill>
          </w14:textFill>
        </w:rPr>
        <w:t>自主创业行业分布</w:t>
      </w:r>
      <w:bookmarkEnd w:id="107"/>
    </w:p>
    <w:p>
      <w:pPr>
        <w:pStyle w:val="136"/>
        <w:ind w:firstLine="482"/>
      </w:pPr>
      <w:r>
        <w:rPr>
          <w:b/>
          <w:color w:val="4F81BD" w:themeColor="accent1"/>
          <w14:textFill>
            <w14:solidFill>
              <w14:schemeClr w14:val="accent1"/>
            </w14:solidFill>
          </w14:textFill>
        </w:rPr>
        <w:t>创业行业</w:t>
      </w:r>
      <w:r>
        <w:rPr>
          <w:rFonts w:hint="eastAsia"/>
          <w:b/>
          <w:color w:val="4F81BD" w:themeColor="accent1"/>
          <w14:textFill>
            <w14:solidFill>
              <w14:schemeClr w14:val="accent1"/>
            </w14:solidFill>
          </w14:textFill>
        </w:rPr>
        <w:t>：</w:t>
      </w:r>
      <w:r>
        <w:rPr>
          <w:color w:val="auto"/>
        </w:rPr>
        <w:t>2021届毕业生</w:t>
      </w:r>
      <w:r>
        <w:rPr>
          <w:rFonts w:hint="eastAsia"/>
        </w:rPr>
        <w:t>创业行业呈多元化</w:t>
      </w:r>
      <w:r>
        <w:t>分布</w:t>
      </w:r>
      <w:r>
        <w:rPr>
          <w:rFonts w:hint="eastAsia"/>
        </w:rPr>
        <w:t>，主要集中在</w:t>
      </w:r>
      <w:r>
        <w:rPr>
          <w:rFonts w:hint="eastAsia"/>
          <w:lang w:eastAsia="zh-Hans"/>
        </w:rPr>
        <w:t>“</w:t>
      </w:r>
      <w:r>
        <w:rPr>
          <w:rFonts w:hint="eastAsia"/>
        </w:rPr>
        <w:t>批发和零售业</w:t>
      </w:r>
      <w:r>
        <w:rPr>
          <w:rFonts w:hint="eastAsia"/>
          <w:lang w:eastAsia="zh-Hans"/>
        </w:rPr>
        <w:t>”</w:t>
      </w:r>
      <w:r>
        <w:rPr>
          <w:rFonts w:hint="eastAsia"/>
          <w:lang w:val="en-US" w:eastAsia="zh-Hans"/>
        </w:rPr>
        <w:t>和“</w:t>
      </w:r>
      <w:r>
        <w:rPr>
          <w:rFonts w:hint="eastAsia"/>
        </w:rPr>
        <w:t>居民服务、修理和其他服务业</w:t>
      </w:r>
      <w:r>
        <w:rPr>
          <w:rFonts w:hint="eastAsia"/>
          <w:lang w:eastAsia="zh-Hans"/>
        </w:rPr>
        <w:t>”</w:t>
      </w:r>
      <w:r>
        <w:rPr>
          <w:rFonts w:hint="eastAsia"/>
        </w:rPr>
        <w:t>。</w:t>
      </w:r>
    </w:p>
    <w:p>
      <w:pPr>
        <w:pStyle w:val="199"/>
        <w:ind w:firstLine="482"/>
      </w:pPr>
      <w:r>
        <w:rPr>
          <w:b/>
        </w:rPr>
        <w:drawing>
          <wp:inline distT="0" distB="0" distL="0" distR="0">
            <wp:extent cx="5669280" cy="2247265"/>
            <wp:effectExtent l="0" t="0" r="20320" b="13335"/>
            <wp:docPr id="461"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203"/>
        <w:bidi w:val="0"/>
      </w:pPr>
      <w:bookmarkStart w:id="108" w:name="_Toc55912382"/>
      <w:r>
        <w:rPr>
          <w:rFonts w:hint="eastAsia"/>
        </w:rPr>
        <w:t>图</w:t>
      </w:r>
      <w:r>
        <w:rPr>
          <w:rFonts w:hint="default"/>
        </w:rPr>
        <w:t>4</w:t>
      </w:r>
      <w:r>
        <w:rPr>
          <w:rFonts w:hint="eastAsia"/>
        </w:rPr>
        <w:t xml:space="preserve">- </w:t>
      </w:r>
      <w:r>
        <w:fldChar w:fldCharType="begin"/>
      </w:r>
      <w:r>
        <w:instrText xml:space="preserve"> </w:instrText>
      </w:r>
      <w:r>
        <w:rPr>
          <w:rFonts w:hint="eastAsia"/>
        </w:rPr>
        <w:instrText xml:space="preserve">SEQ 图</w:instrText>
      </w:r>
      <w:r>
        <w:rPr>
          <w:rFonts w:hint="default"/>
        </w:rPr>
        <w:instrText xml:space="preserve">4</w:instrText>
      </w:r>
      <w:r>
        <w:rPr>
          <w:rFonts w:hint="eastAsia"/>
        </w:rPr>
        <w:instrText xml:space="preserve">- \* ARABIC</w:instrText>
      </w:r>
      <w:r>
        <w:instrText xml:space="preserve"> </w:instrText>
      </w:r>
      <w:r>
        <w:fldChar w:fldCharType="separate"/>
      </w:r>
      <w:r>
        <w:rPr>
          <w:rFonts w:hint="eastAsia"/>
        </w:rPr>
        <w:t>1</w:t>
      </w:r>
      <w:r>
        <w:fldChar w:fldCharType="end"/>
      </w:r>
      <w:r>
        <w:rPr>
          <w:rFonts w:hint="eastAsia"/>
        </w:rPr>
        <w:t xml:space="preserve">  </w:t>
      </w:r>
      <w:r>
        <w:t>2021届毕业生创业行业</w:t>
      </w:r>
      <w:bookmarkEnd w:id="108"/>
      <w:r>
        <w:rPr>
          <w:rFonts w:hint="eastAsia"/>
          <w:lang w:val="en-US" w:eastAsia="zh-Hans"/>
        </w:rPr>
        <w:t>分布</w:t>
      </w:r>
    </w:p>
    <w:p>
      <w:pPr>
        <w:pStyle w:val="142"/>
        <w:numPr>
          <w:ilvl w:val="0"/>
          <w:numId w:val="0"/>
        </w:numPr>
        <w:shd w:val="clear" w:color="auto" w:fill="auto"/>
        <w:rPr>
          <w:rFonts w:hint="eastAsia"/>
          <w:color w:val="4F81BD" w:themeColor="accent1"/>
          <w:szCs w:val="22"/>
          <w:lang w:val="en-US" w:eastAsia="zh-Hans"/>
          <w14:textFill>
            <w14:solidFill>
              <w14:schemeClr w14:val="accent1"/>
            </w14:solidFill>
          </w14:textFill>
        </w:rPr>
      </w:pPr>
      <w:bookmarkStart w:id="109" w:name="_Toc975583219"/>
      <w:r>
        <w:rPr>
          <w:rFonts w:hint="eastAsia"/>
          <w:color w:val="4F81BD" w:themeColor="accent1"/>
          <w:szCs w:val="22"/>
          <w:lang w:val="en-US" w:eastAsia="zh-Hans"/>
          <w14:textFill>
            <w14:solidFill>
              <w14:schemeClr w14:val="accent1"/>
            </w14:solidFill>
          </w14:textFill>
        </w:rPr>
        <w:t>三</w:t>
      </w:r>
      <w:r>
        <w:rPr>
          <w:rFonts w:hint="default"/>
          <w:color w:val="4F81BD" w:themeColor="accent1"/>
          <w:szCs w:val="22"/>
          <w:lang w:eastAsia="zh-Hans"/>
          <w14:textFill>
            <w14:solidFill>
              <w14:schemeClr w14:val="accent1"/>
            </w14:solidFill>
          </w14:textFill>
        </w:rPr>
        <w:t>、</w:t>
      </w:r>
      <w:r>
        <w:rPr>
          <w:rFonts w:hint="eastAsia"/>
          <w:color w:val="4F81BD" w:themeColor="accent1"/>
          <w:szCs w:val="22"/>
          <w:lang w:val="en-US" w:eastAsia="zh-Hans"/>
          <w14:textFill>
            <w14:solidFill>
              <w14:schemeClr w14:val="accent1"/>
            </w14:solidFill>
          </w14:textFill>
        </w:rPr>
        <w:t>自主创业地区分布</w:t>
      </w:r>
      <w:bookmarkEnd w:id="109"/>
    </w:p>
    <w:p>
      <w:pPr>
        <w:pStyle w:val="113"/>
        <w:bidi w:val="0"/>
      </w:pPr>
      <w:r>
        <w:rPr>
          <w:rFonts w:hint="eastAsia"/>
          <w:b/>
          <w:bCs/>
          <w:color w:val="4F81BD" w:themeColor="accent1"/>
          <w14:textFill>
            <w14:solidFill>
              <w14:schemeClr w14:val="accent1"/>
            </w14:solidFill>
          </w14:textFill>
        </w:rPr>
        <w:t>创业</w:t>
      </w:r>
      <w:r>
        <w:rPr>
          <w:rFonts w:hint="eastAsia"/>
          <w:b/>
          <w:bCs/>
          <w:color w:val="4F81BD" w:themeColor="accent1"/>
          <w:lang w:val="en-US" w:eastAsia="zh-Hans"/>
          <w14:textFill>
            <w14:solidFill>
              <w14:schemeClr w14:val="accent1"/>
            </w14:solidFill>
          </w14:textFill>
        </w:rPr>
        <w:t>地区</w:t>
      </w:r>
      <w:r>
        <w:rPr>
          <w:b/>
          <w:bCs/>
          <w:color w:val="4F81BD" w:themeColor="accent1"/>
          <w14:textFill>
            <w14:solidFill>
              <w14:schemeClr w14:val="accent1"/>
            </w14:solidFill>
          </w14:textFill>
        </w:rPr>
        <w:t>：</w:t>
      </w:r>
      <w:r>
        <w:rPr>
          <w:rFonts w:hint="eastAsia"/>
        </w:rPr>
        <w:t>学校</w:t>
      </w:r>
      <w:r>
        <w:t>2021届毕业生中，</w:t>
      </w:r>
      <w:r>
        <w:rPr>
          <w:rFonts w:hint="eastAsia" w:eastAsia="宋体"/>
          <w:caps w:val="0"/>
          <w:color w:val="auto"/>
          <w:sz w:val="24"/>
          <w:szCs w:val="24"/>
        </w:rPr>
        <w:t>创业所属的</w:t>
      </w:r>
      <w:r>
        <w:rPr>
          <w:rFonts w:hint="eastAsia" w:eastAsia="宋体"/>
          <w:caps w:val="0"/>
          <w:color w:val="auto"/>
          <w:sz w:val="24"/>
          <w:szCs w:val="24"/>
          <w:lang w:eastAsia="zh-CN"/>
        </w:rPr>
        <w:t>主要地区为贵州省</w:t>
      </w:r>
      <w:r>
        <w:rPr>
          <w:rFonts w:eastAsia="宋体"/>
          <w:caps w:val="0"/>
          <w:color w:val="auto"/>
          <w:sz w:val="24"/>
          <w:szCs w:val="24"/>
          <w:lang w:eastAsia="zh-CN"/>
        </w:rPr>
        <w:t>（70.00%）。</w:t>
      </w:r>
    </w:p>
    <w:p>
      <w:pPr>
        <w:pStyle w:val="132"/>
        <w:ind w:firstLine="361"/>
        <w:rPr>
          <w:b/>
        </w:rPr>
      </w:pPr>
      <w:r>
        <w:drawing>
          <wp:inline distT="0" distB="0" distL="114300" distR="114300">
            <wp:extent cx="5408930" cy="2371725"/>
            <wp:effectExtent l="0" t="0" r="1270" b="15875"/>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203"/>
        <w:bidi w:val="0"/>
      </w:pPr>
      <w:r>
        <w:rPr>
          <w:rFonts w:hint="eastAsia"/>
        </w:rPr>
        <w:t>图</w:t>
      </w:r>
      <w:r>
        <w:rPr>
          <w:rFonts w:hint="default"/>
        </w:rPr>
        <w:t>4</w:t>
      </w:r>
      <w:r>
        <w:rPr>
          <w:rFonts w:hint="eastAsia"/>
        </w:rPr>
        <w:t xml:space="preserve">- </w:t>
      </w:r>
      <w:r>
        <w:fldChar w:fldCharType="begin"/>
      </w:r>
      <w:r>
        <w:instrText xml:space="preserve"> </w:instrText>
      </w:r>
      <w:r>
        <w:rPr>
          <w:rFonts w:hint="eastAsia"/>
        </w:rPr>
        <w:instrText xml:space="preserve">SEQ 图</w:instrText>
      </w:r>
      <w:r>
        <w:rPr>
          <w:rFonts w:hint="default"/>
        </w:rPr>
        <w:instrText xml:space="preserve">4</w:instrText>
      </w:r>
      <w:r>
        <w:rPr>
          <w:rFonts w:hint="eastAsia"/>
        </w:rPr>
        <w:instrText xml:space="preserve">- \* ARABIC</w:instrText>
      </w:r>
      <w:r>
        <w:instrText xml:space="preserve"> </w:instrText>
      </w:r>
      <w:r>
        <w:fldChar w:fldCharType="separate"/>
      </w:r>
      <w:r>
        <w:rPr>
          <w:rFonts w:hint="eastAsia"/>
        </w:rPr>
        <w:t>2</w:t>
      </w:r>
      <w:r>
        <w:fldChar w:fldCharType="end"/>
      </w:r>
      <w:r>
        <w:rPr>
          <w:rFonts w:hint="eastAsia"/>
        </w:rPr>
        <w:t xml:space="preserve">  </w:t>
      </w:r>
      <w:r>
        <w:t>2021届毕业生创业</w:t>
      </w:r>
      <w:r>
        <w:rPr>
          <w:rFonts w:hint="eastAsia"/>
          <w:lang w:val="en-US" w:eastAsia="zh-Hans"/>
        </w:rPr>
        <w:t>地区分布</w:t>
      </w:r>
    </w:p>
    <w:p>
      <w:pPr>
        <w:rPr>
          <w:rFonts w:hint="eastAsia"/>
        </w:rPr>
      </w:pPr>
      <w:bookmarkStart w:id="110" w:name="_Toc55912653"/>
      <w:bookmarkStart w:id="111" w:name="_Toc22053361"/>
      <w:bookmarkStart w:id="112" w:name="_Toc16673862"/>
      <w:r>
        <w:rPr>
          <w:rFonts w:hint="eastAsia"/>
        </w:rPr>
        <w:br w:type="page"/>
      </w:r>
    </w:p>
    <w:p>
      <w:pPr>
        <w:pStyle w:val="88"/>
        <w:bidi w:val="0"/>
      </w:pPr>
      <w:bookmarkStart w:id="113" w:name="_Toc589516888"/>
      <w:r>
        <w:rPr>
          <w:rFonts w:hint="eastAsia"/>
        </w:rPr>
        <w:t>第</w:t>
      </w:r>
      <w:r>
        <w:rPr>
          <w:rFonts w:hint="eastAsia"/>
          <w:lang w:val="en-US" w:eastAsia="zh-Hans"/>
        </w:rPr>
        <w:t>五章</w:t>
      </w:r>
      <w:r>
        <w:rPr>
          <w:rFonts w:hint="default"/>
          <w:lang w:eastAsia="zh-Hans"/>
        </w:rPr>
        <w:t xml:space="preserve"> </w:t>
      </w:r>
      <w:r>
        <w:rPr>
          <w:rFonts w:hint="eastAsia"/>
        </w:rPr>
        <w:t>就业创业工作举措</w:t>
      </w:r>
      <w:bookmarkEnd w:id="110"/>
      <w:bookmarkEnd w:id="113"/>
    </w:p>
    <w:p>
      <w:pPr>
        <w:pStyle w:val="136"/>
        <w:bidi w:val="0"/>
        <w:rPr>
          <w:rFonts w:hint="eastAsia"/>
          <w:lang w:val="en-US" w:eastAsia="zh-CN"/>
        </w:rPr>
      </w:pPr>
      <w:bookmarkStart w:id="114" w:name="_Toc55912654"/>
      <w:bookmarkStart w:id="115" w:name="_Toc487790110"/>
      <w:bookmarkStart w:id="116" w:name="_Toc520328945"/>
      <w:bookmarkStart w:id="117" w:name="_Toc487789929"/>
      <w:r>
        <w:rPr>
          <w:rFonts w:hint="eastAsia"/>
          <w:lang w:val="en-US" w:eastAsia="zh-CN"/>
        </w:rPr>
        <w:t>2021年，学校深入贯彻“一把手”工程，学校党政领导从2020年下半年起，总计4次召开专题会议，研究部署毕业生就业创业工作，从寻求扩大基层就业机会、开发设置公益性岗位、重点帮扶建档立卡毕业生等方面进行全面安排和部署，制定《铜仁学院2021届毕业生就业创业工作方案》，出台《请求各区县人社局支持我校毕业生报告各类就业招聘考试的函》，助推毕业生充分就业。</w:t>
      </w:r>
    </w:p>
    <w:p>
      <w:pPr>
        <w:pStyle w:val="142"/>
        <w:bidi w:val="0"/>
        <w:rPr>
          <w:rFonts w:hint="eastAsia"/>
          <w:lang w:val="en-US" w:eastAsia="zh-CN"/>
        </w:rPr>
      </w:pPr>
      <w:bookmarkStart w:id="118" w:name="_Toc1668273005"/>
      <w:r>
        <w:rPr>
          <w:rFonts w:hint="eastAsia"/>
          <w:lang w:val="en-US" w:eastAsia="zh-CN"/>
        </w:rPr>
        <w:t>一、全面落实“六稳”“六保”任务</w:t>
      </w:r>
      <w:bookmarkEnd w:id="118"/>
    </w:p>
    <w:p>
      <w:pPr>
        <w:pStyle w:val="136"/>
        <w:bidi w:val="0"/>
        <w:rPr>
          <w:rFonts w:hint="eastAsia"/>
          <w:lang w:val="en-US" w:eastAsia="zh-CN"/>
        </w:rPr>
      </w:pPr>
      <w:r>
        <w:rPr>
          <w:rFonts w:hint="eastAsia"/>
          <w:lang w:val="en-US" w:eastAsia="zh-CN"/>
        </w:rPr>
        <w:t>坚决贯彻习近平总书记重要指示精神和视察贵州重要讲话精神，全面落实党中央、国务院“六稳”“六保”决策部署，坚持以人民为中心的发展理念，把毕业生就业创业当作学校转型发展的重点工作，当作建设特色鲜明应用型高水平大学的主要工作来抓；始终站在讲政治、顾大局的高度，以党史学习教育“我为群众办实事”实践活动为契机，主动担当作为，千方百计助推毕业生充分就业，确保2021届毕业生就业创业工作有序稳步开展。毕业生初次毕业去向落实情况达到预定目标，工作保障有力，就业指导服务与管理效能进一步提升，毕业生就业质量与服务成效进一步提高。</w:t>
      </w:r>
    </w:p>
    <w:p>
      <w:pPr>
        <w:pStyle w:val="142"/>
        <w:bidi w:val="0"/>
        <w:rPr>
          <w:rFonts w:hint="eastAsia"/>
          <w:lang w:val="en-US" w:eastAsia="zh-CN"/>
        </w:rPr>
      </w:pPr>
      <w:bookmarkStart w:id="119" w:name="_Toc1117899803"/>
      <w:r>
        <w:rPr>
          <w:rFonts w:hint="eastAsia"/>
          <w:lang w:val="en-US" w:eastAsia="zh-CN"/>
        </w:rPr>
        <w:t>二、坚持线上线下“双线”同步，畅通就业渠道</w:t>
      </w:r>
      <w:bookmarkEnd w:id="119"/>
    </w:p>
    <w:p>
      <w:pPr>
        <w:pStyle w:val="136"/>
        <w:bidi w:val="0"/>
        <w:rPr>
          <w:rFonts w:hint="eastAsia"/>
          <w:lang w:val="en-US" w:eastAsia="zh-CN"/>
        </w:rPr>
      </w:pPr>
      <w:r>
        <w:rPr>
          <w:rFonts w:hint="eastAsia"/>
          <w:lang w:val="en-US" w:eastAsia="zh-CN"/>
        </w:rPr>
        <w:t>认真落实教育部关于举办“2021届高校毕业生全国网络联合招聘24365校园招聘服务”“就业促进周”活动，通过学校就业平台共举办线上线下专场招聘会30余场，提供招聘岗位5000余个。发布就业招聘信息100余条，就业招聘岗位30000余个，岗位数与毕业生数之比达到15:1。</w:t>
      </w:r>
    </w:p>
    <w:p>
      <w:pPr>
        <w:pStyle w:val="142"/>
        <w:bidi w:val="0"/>
        <w:rPr>
          <w:rFonts w:hint="eastAsia"/>
          <w:lang w:val="en-US" w:eastAsia="zh-CN"/>
        </w:rPr>
      </w:pPr>
      <w:bookmarkStart w:id="120" w:name="_Toc207561418"/>
      <w:r>
        <w:rPr>
          <w:rFonts w:hint="eastAsia"/>
          <w:lang w:val="en-US" w:eastAsia="zh-CN"/>
        </w:rPr>
        <w:t>三、多措并举，加强分类指导，精准服务毕业生就业</w:t>
      </w:r>
      <w:bookmarkEnd w:id="120"/>
    </w:p>
    <w:p>
      <w:pPr>
        <w:pStyle w:val="136"/>
        <w:bidi w:val="0"/>
        <w:rPr>
          <w:rFonts w:hint="eastAsia"/>
          <w:lang w:val="en-US" w:eastAsia="zh-CN"/>
        </w:rPr>
      </w:pPr>
      <w:r>
        <w:rPr>
          <w:rFonts w:hint="eastAsia"/>
          <w:lang w:val="en-US" w:eastAsia="zh-CN"/>
        </w:rPr>
        <w:t xml:space="preserve">一是引导鼓励毕业生到基层就业，共有31名毕业生参加“西部计划”；36名毕业生考取特岗教师；393名毕业生到中小微企业就业。基层就业工作的有效实施进一步促进了毕业生充分就业。  </w:t>
      </w:r>
    </w:p>
    <w:p>
      <w:pPr>
        <w:pStyle w:val="136"/>
        <w:bidi w:val="0"/>
        <w:rPr>
          <w:rFonts w:hint="eastAsia"/>
          <w:lang w:val="en-US" w:eastAsia="zh-CN"/>
        </w:rPr>
      </w:pPr>
      <w:r>
        <w:rPr>
          <w:rFonts w:hint="eastAsia"/>
          <w:lang w:val="en-US" w:eastAsia="zh-CN"/>
        </w:rPr>
        <w:t>二是大力开展考研宣传，利用网课进行考研培训，考取研究生132名，占比为6.94%，占比创历年新高。</w:t>
      </w:r>
    </w:p>
    <w:p>
      <w:pPr>
        <w:pStyle w:val="136"/>
        <w:bidi w:val="0"/>
        <w:rPr>
          <w:rFonts w:hint="eastAsia"/>
          <w:lang w:val="en-US" w:eastAsia="zh-CN"/>
        </w:rPr>
      </w:pPr>
      <w:r>
        <w:rPr>
          <w:rFonts w:hint="eastAsia"/>
          <w:lang w:val="en-US" w:eastAsia="zh-CN"/>
        </w:rPr>
        <w:t>三是鼓励引导毕业生应征入伍，应届毕业生应征入伍22人，超计划完成全年征兵任务。</w:t>
      </w:r>
    </w:p>
    <w:p>
      <w:pPr>
        <w:pStyle w:val="136"/>
        <w:bidi w:val="0"/>
        <w:rPr>
          <w:rFonts w:hint="eastAsia"/>
          <w:lang w:val="en-US" w:eastAsia="zh-CN"/>
        </w:rPr>
      </w:pPr>
      <w:r>
        <w:rPr>
          <w:rFonts w:hint="eastAsia"/>
          <w:lang w:val="en-US" w:eastAsia="zh-CN"/>
        </w:rPr>
        <w:t>四是扶持毕业生自主创业。对入驻学校创新创业孵化基地的自主创业项目给予支持，毕业生不出校园即可创业。2021年孵化基地共吸纳26个项目入驻，解决30余名毕业生就业，其中建档立卡毕业生12人。</w:t>
      </w:r>
    </w:p>
    <w:p>
      <w:pPr>
        <w:pStyle w:val="136"/>
        <w:bidi w:val="0"/>
        <w:rPr>
          <w:rFonts w:hint="eastAsia"/>
          <w:lang w:val="en-US" w:eastAsia="zh-CN"/>
        </w:rPr>
      </w:pPr>
      <w:r>
        <w:rPr>
          <w:rFonts w:hint="eastAsia"/>
          <w:lang w:val="en-US" w:eastAsia="zh-CN"/>
        </w:rPr>
        <w:t>五是精准服务，助力脱贫攻坚。2021届建档立卡毕业生656人，出台建档立卡毕业生就业帮扶工作方案。对就业困难毕业生分类造册，开展“一对一”就业指导服务，实行“一生一策”动态管理，精准推荐岗位，精准就业帮扶。落实求职创业补贴1063人，共计发放求职补贴106.3万元。</w:t>
      </w:r>
    </w:p>
    <w:p>
      <w:pPr>
        <w:pStyle w:val="136"/>
        <w:bidi w:val="0"/>
        <w:rPr>
          <w:rFonts w:hint="eastAsia"/>
          <w:lang w:val="en-US" w:eastAsia="zh-CN"/>
        </w:rPr>
      </w:pPr>
      <w:r>
        <w:rPr>
          <w:rFonts w:hint="eastAsia"/>
          <w:lang w:val="en-US" w:eastAsia="zh-CN"/>
        </w:rPr>
        <w:t xml:space="preserve">六是真抓实干，做好岗位设置。积极响应科技部、教育部等六部门印发的《关于鼓励科研项目开发科研助理岗位吸纳高校毕业生就业的通知》精神，聘用28名毕业生从事科研助理、行政助理公益岗位，解决了因备考研究生、公务员和事业单位等暂缓就业毕业生的就业问题。 </w:t>
      </w:r>
    </w:p>
    <w:p>
      <w:pPr>
        <w:pStyle w:val="136"/>
        <w:bidi w:val="0"/>
      </w:pPr>
      <w:r>
        <w:rPr>
          <w:rFonts w:hint="eastAsia"/>
          <w:lang w:val="en-US" w:eastAsia="zh-CN"/>
        </w:rPr>
        <w:t>七是严格核查，防范化解风险。严格落实教育部、省教育厅关于毕业生就业统计工作要求，严禁就业数据弄虚作假，严防就业统计失真、数据“注水”等问题。共计清理就业数据6批次，处理省教育厅反馈数据6批次，全面挤干“水分”，确保毕业生就业数据真实准确，为学校宏观调控、科学决策、学科专业结构优化提供有效参考。</w:t>
      </w:r>
    </w:p>
    <w:p>
      <w:pPr>
        <w:rPr>
          <w:rFonts w:hint="eastAsia"/>
        </w:rPr>
      </w:pPr>
      <w:r>
        <w:rPr>
          <w:rFonts w:hint="eastAsia"/>
        </w:rPr>
        <w:br w:type="page"/>
      </w:r>
    </w:p>
    <w:p>
      <w:pPr>
        <w:pStyle w:val="88"/>
        <w:numPr>
          <w:ilvl w:val="0"/>
          <w:numId w:val="1"/>
        </w:numPr>
        <w:bidi w:val="0"/>
        <w:rPr>
          <w:rFonts w:hint="eastAsia"/>
        </w:rPr>
      </w:pPr>
      <w:bookmarkStart w:id="121" w:name="_Toc971309598"/>
      <w:r>
        <w:rPr>
          <w:rFonts w:hint="eastAsia"/>
          <w:lang w:val="en-US" w:eastAsia="zh-Hans"/>
        </w:rPr>
        <w:t>毕业生</w:t>
      </w:r>
      <w:r>
        <w:rPr>
          <w:rFonts w:hint="eastAsia"/>
        </w:rPr>
        <w:t>就业质量分析</w:t>
      </w:r>
      <w:bookmarkEnd w:id="114"/>
      <w:bookmarkEnd w:id="121"/>
    </w:p>
    <w:p>
      <w:pPr>
        <w:pStyle w:val="136"/>
        <w:bidi w:val="0"/>
      </w:pPr>
      <w:r>
        <w:rPr>
          <w:rFonts w:hint="eastAsia"/>
        </w:rPr>
        <w:t>本部分数据来源于“</w:t>
      </w:r>
      <w:r>
        <w:rPr>
          <w:rFonts w:hint="eastAsia"/>
          <w:lang w:val="en-US" w:eastAsia="zh-Hans"/>
        </w:rPr>
        <w:t>铜仁学院</w:t>
      </w:r>
      <w:r>
        <w:rPr>
          <w:rFonts w:hint="eastAsia"/>
        </w:rPr>
        <w:t xml:space="preserve"> 2021 届毕业生就业质量调研问卷”。毕业生就业</w:t>
      </w:r>
      <w:r>
        <w:rPr>
          <w:rFonts w:hint="eastAsia"/>
          <w:lang w:val="en-US" w:eastAsia="zh-Hans"/>
        </w:rPr>
        <w:t>质量</w:t>
      </w:r>
      <w:r>
        <w:rPr>
          <w:rFonts w:hint="eastAsia"/>
        </w:rPr>
        <w:t>分析主要从就业满意度、人职适配、薪资福利、</w:t>
      </w:r>
      <w:r>
        <w:rPr>
          <w:rFonts w:hint="eastAsia"/>
          <w:lang w:val="en-US" w:eastAsia="zh-Hans"/>
        </w:rPr>
        <w:t>就业发展</w:t>
      </w:r>
      <w:r>
        <w:rPr>
          <w:rFonts w:hint="eastAsia"/>
        </w:rPr>
        <w:t>、</w:t>
      </w:r>
      <w:r>
        <w:rPr>
          <w:rFonts w:hint="eastAsia"/>
          <w:lang w:val="en-US" w:eastAsia="zh-Hans"/>
        </w:rPr>
        <w:t>就业稳定性</w:t>
      </w:r>
      <w:r>
        <w:rPr>
          <w:rFonts w:hint="eastAsia"/>
        </w:rPr>
        <w:t>五个方面展开。</w:t>
      </w:r>
    </w:p>
    <w:p>
      <w:pPr>
        <w:pStyle w:val="142"/>
        <w:pBdr>
          <w:top w:val="none" w:color="auto" w:sz="0" w:space="0"/>
          <w:left w:val="none" w:color="auto" w:sz="0" w:space="0"/>
          <w:bottom w:val="none" w:color="auto" w:sz="0" w:space="0"/>
          <w:right w:val="none" w:color="auto" w:sz="0" w:space="0"/>
        </w:pBdr>
        <w:rPr>
          <w:color w:val="4F81BD" w:themeColor="accent1"/>
          <w14:textFill>
            <w14:solidFill>
              <w14:schemeClr w14:val="accent1"/>
            </w14:solidFill>
          </w14:textFill>
        </w:rPr>
      </w:pPr>
      <w:bookmarkStart w:id="122" w:name="_Toc55912656"/>
      <w:bookmarkStart w:id="123" w:name="_Toc1777212739"/>
      <w:r>
        <w:rPr>
          <w:rFonts w:hint="eastAsia"/>
          <w:color w:val="4F81BD" w:themeColor="accent1"/>
          <w:lang w:val="en-US" w:eastAsia="zh-Hans"/>
          <w14:textFill>
            <w14:solidFill>
              <w14:schemeClr w14:val="accent1"/>
            </w14:solidFill>
          </w14:textFill>
        </w:rPr>
        <w:t>一</w:t>
      </w:r>
      <w:r>
        <w:rPr>
          <w:rFonts w:hint="eastAsia"/>
          <w:color w:val="4F81BD" w:themeColor="accent1"/>
          <w14:textFill>
            <w14:solidFill>
              <w14:schemeClr w14:val="accent1"/>
            </w14:solidFill>
          </w14:textFill>
        </w:rPr>
        <w:t>、</w:t>
      </w:r>
      <w:r>
        <w:rPr>
          <w:rFonts w:hint="eastAsia"/>
          <w:color w:val="4F81BD" w:themeColor="accent1"/>
          <w:lang w:val="en-US" w:eastAsia="zh-Hans"/>
          <w14:textFill>
            <w14:solidFill>
              <w14:schemeClr w14:val="accent1"/>
            </w14:solidFill>
          </w14:textFill>
        </w:rPr>
        <w:t>就业满意度</w:t>
      </w:r>
      <w:bookmarkEnd w:id="122"/>
      <w:bookmarkEnd w:id="123"/>
    </w:p>
    <w:p>
      <w:pPr>
        <w:spacing w:line="360" w:lineRule="auto"/>
        <w:ind w:firstLine="480" w:firstLineChars="200"/>
        <w:jc w:val="both"/>
        <w:rPr>
          <w:rFonts w:ascii="宋体" w:hAnsi="宋体"/>
          <w:color w:val="000000"/>
          <w:sz w:val="24"/>
          <w:szCs w:val="24"/>
          <w:lang w:val="en-US"/>
        </w:rPr>
      </w:pPr>
      <w:r>
        <w:rPr>
          <w:rFonts w:hint="eastAsia" w:ascii="宋体" w:hAnsi="宋体"/>
          <w:b/>
          <w:color w:val="4F81BD" w:themeColor="accent1"/>
          <w:sz w:val="24"/>
          <w:szCs w:val="24"/>
          <w:lang w:val="zh-CN"/>
          <w14:textFill>
            <w14:solidFill>
              <w14:schemeClr w14:val="accent1"/>
            </w14:solidFill>
          </w14:textFill>
        </w:rPr>
        <w:t>总体</w:t>
      </w:r>
      <w:r>
        <w:rPr>
          <w:rFonts w:hint="eastAsia" w:ascii="宋体" w:hAnsi="宋体"/>
          <w:b/>
          <w:color w:val="4F81BD" w:themeColor="accent1"/>
          <w:sz w:val="24"/>
          <w:szCs w:val="24"/>
          <w:lang w:val="en-US" w:eastAsia="zh-Hans"/>
          <w14:textFill>
            <w14:solidFill>
              <w14:schemeClr w14:val="accent1"/>
            </w14:solidFill>
          </w14:textFill>
        </w:rPr>
        <w:t>就业满意</w:t>
      </w:r>
      <w:r>
        <w:rPr>
          <w:rFonts w:hint="eastAsia" w:ascii="宋体" w:hAnsi="宋体"/>
          <w:b/>
          <w:color w:val="4F81BD" w:themeColor="accent1"/>
          <w:sz w:val="24"/>
          <w:szCs w:val="24"/>
          <w:lang w:val="zh-CN"/>
          <w14:textFill>
            <w14:solidFill>
              <w14:schemeClr w14:val="accent1"/>
            </w14:solidFill>
          </w14:textFill>
        </w:rPr>
        <w:t>度：</w:t>
      </w:r>
      <w:r>
        <w:rPr>
          <w:rStyle w:val="145"/>
          <w:rFonts w:hint="eastAsia"/>
        </w:rPr>
        <w:t>学校</w:t>
      </w:r>
      <w:r>
        <w:rPr>
          <w:rStyle w:val="145"/>
        </w:rPr>
        <w:t>2021届毕业生</w:t>
      </w:r>
      <w:r>
        <w:rPr>
          <w:rStyle w:val="145"/>
          <w:rFonts w:hint="eastAsia"/>
        </w:rPr>
        <w:t>对目前</w:t>
      </w:r>
      <w:r>
        <w:rPr>
          <w:rStyle w:val="145"/>
        </w:rPr>
        <w:t>工作</w:t>
      </w:r>
      <w:r>
        <w:rPr>
          <w:rStyle w:val="145"/>
          <w:rFonts w:hint="eastAsia"/>
        </w:rPr>
        <w:t>总</w:t>
      </w:r>
      <w:r>
        <w:rPr>
          <w:rStyle w:val="145"/>
          <w:rFonts w:hint="eastAsia"/>
          <w:lang w:val="en-US" w:eastAsia="zh-Hans"/>
        </w:rPr>
        <w:t>体</w:t>
      </w:r>
      <w:r>
        <w:rPr>
          <w:rStyle w:val="145"/>
          <w:rFonts w:hint="eastAsia"/>
        </w:rPr>
        <w:t>满意度为75.44%。</w:t>
      </w:r>
      <w:r>
        <w:rPr>
          <w:rStyle w:val="145"/>
        </w:rPr>
        <w:t>其中</w:t>
      </w:r>
      <w:r>
        <w:rPr>
          <w:rStyle w:val="145"/>
          <w:rFonts w:hint="eastAsia" w:eastAsiaTheme="minorEastAsia"/>
          <w:lang w:eastAsia="zh-Hans"/>
        </w:rPr>
        <w:t>“</w:t>
      </w:r>
      <w:r>
        <w:rPr>
          <w:rStyle w:val="145"/>
          <w:rFonts w:hint="eastAsia"/>
          <w:lang w:val="en-US" w:eastAsia="zh-Hans"/>
        </w:rPr>
        <w:t>非常满意”占比</w:t>
      </w:r>
      <w:r>
        <w:rPr>
          <w:rStyle w:val="145"/>
          <w:rFonts w:hint="default"/>
          <w:lang w:eastAsia="zh-Hans"/>
        </w:rPr>
        <w:t>13.57%，</w:t>
      </w:r>
      <w:r>
        <w:rPr>
          <w:rStyle w:val="145"/>
          <w:rFonts w:hint="eastAsia"/>
          <w:lang w:eastAsia="zh-Hans"/>
        </w:rPr>
        <w:t>“</w:t>
      </w:r>
      <w:r>
        <w:rPr>
          <w:rStyle w:val="145"/>
          <w:rFonts w:hint="eastAsia"/>
          <w:lang w:val="en-US" w:eastAsia="zh-Hans"/>
        </w:rPr>
        <w:t>满意”占比</w:t>
      </w:r>
      <w:r>
        <w:rPr>
          <w:rStyle w:val="145"/>
          <w:rFonts w:hint="default"/>
          <w:lang w:eastAsia="zh-Hans"/>
        </w:rPr>
        <w:t>24.21%。</w:t>
      </w:r>
    </w:p>
    <w:p>
      <w:pPr>
        <w:spacing w:line="360" w:lineRule="auto"/>
        <w:jc w:val="center"/>
        <w:rPr>
          <w:color w:val="4BACC6" w:themeColor="accent5"/>
          <w:highlight w:val="green"/>
          <w14:textFill>
            <w14:solidFill>
              <w14:schemeClr w14:val="accent5"/>
            </w14:solidFill>
          </w14:textFill>
        </w:rPr>
      </w:pPr>
      <w:r>
        <w:rPr>
          <w:color w:val="DCE6F2" w:themeColor="accent1" w:themeTint="33"/>
          <w14:textFill>
            <w14:solidFill>
              <w14:schemeClr w14:val="accent1">
                <w14:lumMod w14:val="20000"/>
                <w14:lumOff w14:val="80000"/>
              </w14:schemeClr>
            </w14:solidFill>
          </w14:textFill>
        </w:rPr>
        <w:drawing>
          <wp:inline distT="0" distB="0" distL="0" distR="0">
            <wp:extent cx="5657215" cy="1865630"/>
            <wp:effectExtent l="0" t="0" r="6985" b="13970"/>
            <wp:docPr id="4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1</w:t>
      </w:r>
      <w:r>
        <w:rPr>
          <w:rFonts w:hint="eastAsia"/>
        </w:rPr>
        <w:fldChar w:fldCharType="end"/>
      </w:r>
      <w:r>
        <w:t xml:space="preserve">  2021届毕业生</w:t>
      </w:r>
      <w:r>
        <w:rPr>
          <w:rFonts w:hint="eastAsia"/>
          <w:lang w:val="en-US" w:eastAsia="zh-Hans"/>
        </w:rPr>
        <w:t>总体就业满意</w:t>
      </w:r>
      <w:r>
        <w:t>度</w:t>
      </w:r>
      <w:r>
        <w:rPr>
          <w:rFonts w:hint="eastAsia"/>
        </w:rPr>
        <w:t>分布</w:t>
      </w:r>
    </w:p>
    <w:p>
      <w:pPr>
        <w:spacing w:line="360" w:lineRule="auto"/>
        <w:ind w:firstLine="480" w:firstLineChars="200"/>
        <w:jc w:val="both"/>
        <w:rPr>
          <w:rStyle w:val="114"/>
          <w:rFonts w:hint="eastAsia"/>
          <w:lang w:val="en-US" w:eastAsia="zh-Hans"/>
        </w:rPr>
      </w:pPr>
      <w:r>
        <w:rPr>
          <w:rFonts w:hint="eastAsia" w:ascii="宋体" w:hAnsi="宋体"/>
          <w:b/>
          <w:color w:val="4F81BD" w:themeColor="accent1"/>
          <w:sz w:val="24"/>
          <w:szCs w:val="24"/>
          <w:lang w:val="en-US" w:eastAsia="zh-Hans"/>
          <w14:textFill>
            <w14:solidFill>
              <w14:schemeClr w14:val="accent1"/>
            </w14:solidFill>
          </w14:textFill>
        </w:rPr>
        <w:t>各学院就业满意度</w:t>
      </w:r>
      <w:r>
        <w:rPr>
          <w:rFonts w:hint="default" w:ascii="宋体" w:hAnsi="宋体"/>
          <w:b/>
          <w:color w:val="4F81BD" w:themeColor="accent1"/>
          <w:sz w:val="24"/>
          <w:szCs w:val="24"/>
          <w:lang w:eastAsia="zh-Hans"/>
          <w14:textFill>
            <w14:solidFill>
              <w14:schemeClr w14:val="accent1"/>
            </w14:solidFill>
          </w14:textFill>
        </w:rPr>
        <w:t>：</w:t>
      </w:r>
      <w:r>
        <w:rPr>
          <w:rStyle w:val="114"/>
          <w:rFonts w:hint="eastAsia"/>
          <w:lang w:val="zh-CN"/>
        </w:rPr>
        <w:t>学校2021届毕业生</w:t>
      </w:r>
      <w:r>
        <w:rPr>
          <w:rStyle w:val="114"/>
          <w:rFonts w:hint="eastAsia"/>
          <w:lang w:val="en-US" w:eastAsia="zh-Hans"/>
        </w:rPr>
        <w:t>中</w:t>
      </w:r>
      <w:r>
        <w:rPr>
          <w:rStyle w:val="114"/>
          <w:rFonts w:hint="default"/>
          <w:lang w:eastAsia="zh-Hans"/>
        </w:rPr>
        <w:t>，</w:t>
      </w:r>
      <w:r>
        <w:rPr>
          <w:rStyle w:val="114"/>
          <w:rFonts w:hint="eastAsia"/>
          <w:lang w:val="zh-CN"/>
        </w:rPr>
        <w:t>对目前工作总</w:t>
      </w:r>
      <w:r>
        <w:rPr>
          <w:rStyle w:val="114"/>
          <w:rFonts w:hint="eastAsia"/>
          <w:lang w:val="en-US" w:eastAsia="zh-Hans"/>
        </w:rPr>
        <w:t>体</w:t>
      </w:r>
      <w:r>
        <w:rPr>
          <w:rStyle w:val="114"/>
          <w:rFonts w:hint="eastAsia"/>
          <w:lang w:val="zh-CN"/>
        </w:rPr>
        <w:t>满意度</w:t>
      </w:r>
      <w:r>
        <w:rPr>
          <w:rStyle w:val="114"/>
          <w:rFonts w:hint="eastAsia"/>
          <w:lang w:val="en-US" w:eastAsia="zh-Hans"/>
        </w:rPr>
        <w:t>相对较高的学院是艺术学院</w:t>
      </w:r>
      <w:r>
        <w:rPr>
          <w:rStyle w:val="114"/>
          <w:rFonts w:hint="default"/>
          <w:lang w:eastAsia="zh-Hans"/>
        </w:rPr>
        <w:t>，</w:t>
      </w:r>
      <w:r>
        <w:rPr>
          <w:rStyle w:val="114"/>
          <w:rFonts w:hint="eastAsia"/>
          <w:lang w:val="en-US" w:eastAsia="zh-Hans"/>
        </w:rPr>
        <w:t>就业满意度为</w:t>
      </w:r>
      <w:r>
        <w:rPr>
          <w:rStyle w:val="114"/>
          <w:rFonts w:hint="default"/>
          <w:lang w:eastAsia="zh-Hans"/>
        </w:rPr>
        <w:t>100.00%。</w:t>
      </w:r>
    </w:p>
    <w:p>
      <w:pPr>
        <w:spacing w:line="360" w:lineRule="auto"/>
        <w:ind w:firstLine="480" w:firstLineChars="200"/>
        <w:jc w:val="both"/>
        <w:rPr>
          <w:rFonts w:hint="eastAsia" w:ascii="宋体" w:hAnsi="宋体"/>
          <w:b/>
          <w:color w:val="4F81BD" w:themeColor="accent1"/>
          <w:sz w:val="24"/>
          <w:szCs w:val="24"/>
          <w:lang w:val="zh-CN"/>
          <w14:textFill>
            <w14:solidFill>
              <w14:schemeClr w14:val="accent1"/>
            </w14:solidFill>
          </w14:textFill>
        </w:rPr>
      </w:pPr>
      <w:r>
        <w:rPr>
          <w:rFonts w:hint="eastAsia" w:ascii="宋体" w:hAnsi="宋体"/>
          <w:b/>
          <w:color w:val="4F81BD" w:themeColor="accent1"/>
          <w:sz w:val="24"/>
          <w:szCs w:val="24"/>
          <w:lang w:val="zh-CN"/>
          <w14:textFill>
            <w14:solidFill>
              <w14:schemeClr w14:val="accent1"/>
            </w14:solidFill>
          </w14:textFill>
        </w:rPr>
        <w:drawing>
          <wp:inline distT="0" distB="0" distL="0" distR="0">
            <wp:extent cx="5398770" cy="2521585"/>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2</w:t>
      </w:r>
      <w:r>
        <w:rPr>
          <w:rFonts w:hint="eastAsia"/>
        </w:rPr>
        <w:fldChar w:fldCharType="end"/>
      </w:r>
      <w:r>
        <w:t xml:space="preserve">  2021届</w:t>
      </w:r>
      <w:r>
        <w:rPr>
          <w:rFonts w:hint="eastAsia"/>
          <w:lang w:val="en-US" w:eastAsia="zh-Hans"/>
        </w:rPr>
        <w:t>各学院</w:t>
      </w:r>
      <w:r>
        <w:t>毕业生</w:t>
      </w:r>
      <w:r>
        <w:rPr>
          <w:rFonts w:hint="eastAsia"/>
          <w:lang w:val="en-US" w:eastAsia="zh-Hans"/>
        </w:rPr>
        <w:t>就业满意</w:t>
      </w:r>
      <w:r>
        <w:t>度</w:t>
      </w:r>
      <w:r>
        <w:rPr>
          <w:rFonts w:hint="eastAsia"/>
        </w:rPr>
        <w:t>分布</w:t>
      </w:r>
    </w:p>
    <w:p>
      <w:pPr>
        <w:pStyle w:val="142"/>
        <w:pBdr>
          <w:top w:val="none" w:color="auto" w:sz="0" w:space="0"/>
          <w:left w:val="none" w:color="auto" w:sz="0" w:space="0"/>
          <w:bottom w:val="none" w:color="auto" w:sz="0" w:space="0"/>
          <w:right w:val="none" w:color="auto" w:sz="0" w:space="0"/>
        </w:pBdr>
        <w:rPr>
          <w:color w:val="4F81BD" w:themeColor="accent1"/>
          <w14:textFill>
            <w14:solidFill>
              <w14:schemeClr w14:val="accent1"/>
            </w14:solidFill>
          </w14:textFill>
        </w:rPr>
      </w:pPr>
      <w:bookmarkStart w:id="124" w:name="_Toc264458250"/>
      <w:r>
        <w:rPr>
          <w:rFonts w:hint="eastAsia"/>
          <w:color w:val="4F81BD" w:themeColor="accent1"/>
          <w:lang w:val="en-US" w:eastAsia="zh-Hans"/>
          <w14:textFill>
            <w14:solidFill>
              <w14:schemeClr w14:val="accent1"/>
            </w14:solidFill>
          </w14:textFill>
        </w:rPr>
        <w:t>二</w:t>
      </w:r>
      <w:r>
        <w:rPr>
          <w:rFonts w:hint="eastAsia"/>
          <w:color w:val="4F81BD" w:themeColor="accent1"/>
          <w14:textFill>
            <w14:solidFill>
              <w14:schemeClr w14:val="accent1"/>
            </w14:solidFill>
          </w14:textFill>
        </w:rPr>
        <w:t>、</w:t>
      </w:r>
      <w:r>
        <w:rPr>
          <w:rFonts w:hint="eastAsia"/>
          <w:color w:val="4F81BD" w:themeColor="accent1"/>
          <w:lang w:val="en-US" w:eastAsia="zh-Hans"/>
          <w14:textFill>
            <w14:solidFill>
              <w14:schemeClr w14:val="accent1"/>
            </w14:solidFill>
          </w14:textFill>
        </w:rPr>
        <w:t>人职适配</w:t>
      </w:r>
      <w:bookmarkEnd w:id="124"/>
    </w:p>
    <w:p>
      <w:pPr>
        <w:pStyle w:val="152"/>
        <w:bidi w:val="0"/>
        <w:rPr>
          <w:rFonts w:hint="eastAsia"/>
          <w:lang w:val="en-US" w:eastAsia="zh-Hans"/>
        </w:rPr>
      </w:pPr>
      <w:bookmarkStart w:id="125" w:name="_Toc1606142107"/>
      <w:r>
        <w:rPr>
          <w:rFonts w:hint="default"/>
          <w:lang w:eastAsia="zh-Hans"/>
        </w:rPr>
        <w:t>（</w:t>
      </w:r>
      <w:r>
        <w:rPr>
          <w:rFonts w:hint="eastAsia"/>
          <w:lang w:val="en-US" w:eastAsia="zh-Hans"/>
        </w:rPr>
        <w:t>一</w:t>
      </w:r>
      <w:r>
        <w:rPr>
          <w:rFonts w:hint="default"/>
          <w:lang w:eastAsia="zh-Hans"/>
        </w:rPr>
        <w:t>）</w:t>
      </w:r>
      <w:r>
        <w:rPr>
          <w:rFonts w:hint="eastAsia"/>
          <w:lang w:val="en-US" w:eastAsia="zh-Hans"/>
        </w:rPr>
        <w:t>专业相关度</w:t>
      </w:r>
      <w:bookmarkEnd w:id="125"/>
    </w:p>
    <w:p>
      <w:pPr>
        <w:spacing w:line="360" w:lineRule="auto"/>
        <w:ind w:firstLine="480" w:firstLineChars="200"/>
        <w:jc w:val="both"/>
        <w:rPr>
          <w:rStyle w:val="137"/>
          <w:lang w:val="zh-CN"/>
        </w:rPr>
      </w:pPr>
      <w:r>
        <w:rPr>
          <w:rFonts w:hint="eastAsia" w:ascii="宋体" w:hAnsi="宋体"/>
          <w:b/>
          <w:color w:val="4F81BD" w:themeColor="accent1"/>
          <w:sz w:val="24"/>
          <w:szCs w:val="24"/>
          <w:lang w:val="zh-CN"/>
          <w14:textFill>
            <w14:solidFill>
              <w14:schemeClr w14:val="accent1"/>
            </w14:solidFill>
          </w14:textFill>
        </w:rPr>
        <w:t>总体</w:t>
      </w:r>
      <w:r>
        <w:rPr>
          <w:rFonts w:hint="eastAsia" w:ascii="宋体" w:hAnsi="宋体"/>
          <w:b/>
          <w:color w:val="4F81BD" w:themeColor="accent1"/>
          <w:sz w:val="24"/>
          <w:szCs w:val="24"/>
          <w:lang w:val="en-US" w:eastAsia="zh-Hans"/>
          <w14:textFill>
            <w14:solidFill>
              <w14:schemeClr w14:val="accent1"/>
            </w14:solidFill>
          </w14:textFill>
        </w:rPr>
        <w:t>就业</w:t>
      </w:r>
      <w:r>
        <w:rPr>
          <w:rFonts w:ascii="宋体" w:hAnsi="宋体"/>
          <w:b/>
          <w:color w:val="4F81BD" w:themeColor="accent1"/>
          <w:sz w:val="24"/>
          <w:szCs w:val="24"/>
          <w:lang w:val="zh-CN"/>
          <w14:textFill>
            <w14:solidFill>
              <w14:schemeClr w14:val="accent1"/>
            </w14:solidFill>
          </w14:textFill>
        </w:rPr>
        <w:t>专业相关</w:t>
      </w:r>
      <w:r>
        <w:rPr>
          <w:rFonts w:hint="eastAsia" w:ascii="宋体" w:hAnsi="宋体"/>
          <w:b/>
          <w:color w:val="4F81BD" w:themeColor="accent1"/>
          <w:sz w:val="24"/>
          <w:szCs w:val="24"/>
          <w:lang w:val="zh-CN"/>
          <w14:textFill>
            <w14:solidFill>
              <w14:schemeClr w14:val="accent1"/>
            </w14:solidFill>
          </w14:textFill>
        </w:rPr>
        <w:t>度：</w:t>
      </w:r>
      <w:r>
        <w:rPr>
          <w:rStyle w:val="137"/>
          <w:rFonts w:hint="eastAsia"/>
          <w:lang w:val="zh-CN"/>
        </w:rPr>
        <w:t>75.84%的毕业生认为目前就职岗位与所学专业相关</w:t>
      </w:r>
      <w:r>
        <w:rPr>
          <w:rStyle w:val="137"/>
          <w:rFonts w:hint="default"/>
        </w:rPr>
        <w:t>，</w:t>
      </w:r>
      <w:r>
        <w:rPr>
          <w:rStyle w:val="137"/>
          <w:rFonts w:hint="eastAsia"/>
          <w:lang w:val="en-US" w:eastAsia="zh-Hans"/>
        </w:rPr>
        <w:t>其中“非常相关”占比</w:t>
      </w:r>
      <w:r>
        <w:rPr>
          <w:rStyle w:val="137"/>
          <w:rFonts w:hint="default"/>
          <w:lang w:eastAsia="zh-Hans"/>
        </w:rPr>
        <w:t>30.14%，</w:t>
      </w:r>
      <w:r>
        <w:rPr>
          <w:rStyle w:val="137"/>
          <w:rFonts w:hint="eastAsia"/>
          <w:lang w:eastAsia="zh-Hans"/>
        </w:rPr>
        <w:t>“</w:t>
      </w:r>
      <w:r>
        <w:rPr>
          <w:rStyle w:val="137"/>
          <w:rFonts w:hint="eastAsia"/>
          <w:lang w:val="en-US" w:eastAsia="zh-Hans"/>
        </w:rPr>
        <w:t>相关”占比</w:t>
      </w:r>
      <w:r>
        <w:rPr>
          <w:rStyle w:val="137"/>
          <w:rFonts w:hint="default"/>
          <w:lang w:eastAsia="zh-Hans"/>
        </w:rPr>
        <w:t>28.47%。</w:t>
      </w:r>
    </w:p>
    <w:p>
      <w:pPr>
        <w:spacing w:line="360" w:lineRule="auto"/>
        <w:jc w:val="center"/>
        <w:rPr>
          <w:color w:val="4BACC6" w:themeColor="accent5"/>
          <w:highlight w:val="green"/>
          <w14:textFill>
            <w14:solidFill>
              <w14:schemeClr w14:val="accent5"/>
            </w14:solidFill>
          </w14:textFill>
        </w:rPr>
      </w:pPr>
      <w:r>
        <w:rPr>
          <w:color w:val="DCE6F2" w:themeColor="accent1" w:themeTint="33"/>
          <w14:textFill>
            <w14:solidFill>
              <w14:schemeClr w14:val="accent1">
                <w14:lumMod w14:val="20000"/>
                <w14:lumOff w14:val="80000"/>
              </w14:schemeClr>
            </w14:solidFill>
          </w14:textFill>
        </w:rPr>
        <w:drawing>
          <wp:inline distT="0" distB="0" distL="0" distR="0">
            <wp:extent cx="5454015" cy="2018665"/>
            <wp:effectExtent l="0" t="0" r="6985" b="13335"/>
            <wp:docPr id="2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3</w:t>
      </w:r>
      <w:r>
        <w:rPr>
          <w:rFonts w:hint="eastAsia"/>
        </w:rPr>
        <w:fldChar w:fldCharType="end"/>
      </w:r>
      <w:r>
        <w:t xml:space="preserve">  2021届毕业生</w:t>
      </w:r>
      <w:r>
        <w:rPr>
          <w:rFonts w:hint="eastAsia"/>
          <w:lang w:val="en-US" w:eastAsia="zh-Hans"/>
        </w:rPr>
        <w:t>就业</w:t>
      </w:r>
      <w:r>
        <w:rPr>
          <w:rFonts w:hint="eastAsia"/>
        </w:rPr>
        <w:t>专业相关</w:t>
      </w:r>
      <w:r>
        <w:t>度</w:t>
      </w:r>
      <w:r>
        <w:rPr>
          <w:rFonts w:hint="eastAsia"/>
        </w:rPr>
        <w:t>分布</w:t>
      </w:r>
    </w:p>
    <w:p>
      <w:pPr>
        <w:pStyle w:val="136"/>
        <w:bidi w:val="0"/>
        <w:rPr>
          <w:rFonts w:hint="eastAsia"/>
          <w:lang w:val="en-US" w:eastAsia="zh-Hans"/>
        </w:rPr>
      </w:pPr>
      <w:r>
        <w:rPr>
          <w:rFonts w:hint="eastAsia" w:ascii="宋体" w:hAnsi="宋体" w:eastAsia="宋体" w:cs="Times New Roman"/>
          <w:b/>
          <w:color w:val="4F81BD" w:themeColor="accent1"/>
          <w:sz w:val="24"/>
          <w:szCs w:val="24"/>
          <w:lang w:val="en-US" w:eastAsia="zh-Hans" w:bidi="ar-SA"/>
          <w14:textFill>
            <w14:solidFill>
              <w14:schemeClr w14:val="accent1"/>
            </w14:solidFill>
          </w14:textFill>
        </w:rPr>
        <w:t>各学院</w:t>
      </w:r>
      <w:r>
        <w:rPr>
          <w:rFonts w:hint="eastAsia" w:ascii="宋体" w:hAnsi="宋体" w:cs="Times New Roman"/>
          <w:b/>
          <w:color w:val="4F81BD" w:themeColor="accent1"/>
          <w:sz w:val="24"/>
          <w:szCs w:val="24"/>
          <w:lang w:val="en-US" w:eastAsia="zh-Hans" w:bidi="ar-SA"/>
          <w14:textFill>
            <w14:solidFill>
              <w14:schemeClr w14:val="accent1"/>
            </w14:solidFill>
          </w14:textFill>
        </w:rPr>
        <w:t>就业</w:t>
      </w:r>
      <w:r>
        <w:rPr>
          <w:rFonts w:hint="eastAsia" w:ascii="宋体" w:hAnsi="宋体" w:eastAsia="宋体" w:cs="Times New Roman"/>
          <w:b/>
          <w:color w:val="4F81BD" w:themeColor="accent1"/>
          <w:sz w:val="24"/>
          <w:szCs w:val="24"/>
          <w:lang w:val="en-US" w:eastAsia="zh-Hans" w:bidi="ar-SA"/>
          <w14:textFill>
            <w14:solidFill>
              <w14:schemeClr w14:val="accent1"/>
            </w14:solidFill>
          </w14:textFill>
        </w:rPr>
        <w:t>专业相关度</w:t>
      </w:r>
      <w:r>
        <w:rPr>
          <w:rFonts w:hint="default" w:ascii="宋体" w:hAnsi="宋体" w:eastAsia="宋体" w:cs="Times New Roman"/>
          <w:b/>
          <w:color w:val="4F81BD" w:themeColor="accent1"/>
          <w:sz w:val="24"/>
          <w:szCs w:val="24"/>
          <w:lang w:eastAsia="zh-Hans" w:bidi="ar-SA"/>
          <w14:textFill>
            <w14:solidFill>
              <w14:schemeClr w14:val="accent1"/>
            </w14:solidFill>
          </w14:textFill>
        </w:rPr>
        <w:t>：</w:t>
      </w:r>
      <w:r>
        <w:rPr>
          <w:rFonts w:hint="eastAsia"/>
          <w:lang w:val="zh-CN"/>
        </w:rPr>
        <w:t>学校2021届毕业生</w:t>
      </w:r>
      <w:r>
        <w:rPr>
          <w:rFonts w:hint="eastAsia"/>
          <w:lang w:val="en-US" w:eastAsia="zh-Hans"/>
        </w:rPr>
        <w:t>中</w:t>
      </w:r>
      <w:r>
        <w:rPr>
          <w:rFonts w:hint="default"/>
          <w:lang w:eastAsia="zh-Hans"/>
        </w:rPr>
        <w:t>，</w:t>
      </w:r>
      <w:r>
        <w:rPr>
          <w:rFonts w:hint="eastAsia"/>
          <w:lang w:val="en-US" w:eastAsia="zh-Hans"/>
        </w:rPr>
        <w:t>人文学院专业相关度相对较高</w:t>
      </w:r>
      <w:r>
        <w:rPr>
          <w:rFonts w:hint="default"/>
          <w:lang w:eastAsia="zh-Hans"/>
        </w:rPr>
        <w:t>，</w:t>
      </w:r>
      <w:r>
        <w:rPr>
          <w:rFonts w:hint="eastAsia"/>
          <w:lang w:val="en-US" w:eastAsia="zh-Hans"/>
        </w:rPr>
        <w:t>达到了</w:t>
      </w:r>
      <w:r>
        <w:rPr>
          <w:rFonts w:hint="default"/>
          <w:lang w:eastAsia="zh-Hans"/>
        </w:rPr>
        <w:t>84.38%。</w:t>
      </w:r>
    </w:p>
    <w:p>
      <w:pPr>
        <w:pStyle w:val="119"/>
        <w:ind w:firstLine="360"/>
        <w:rPr>
          <w:color w:val="4F81BD" w:themeColor="accent1"/>
          <w14:textFill>
            <w14:solidFill>
              <w14:schemeClr w14:val="accent1"/>
            </w14:solidFill>
          </w14:textFill>
        </w:rPr>
      </w:pPr>
      <w:r>
        <w:rPr>
          <w:rFonts w:hint="eastAsia" w:ascii="宋体" w:hAnsi="宋体"/>
          <w:b/>
          <w:color w:val="4F81BD" w:themeColor="accent1"/>
          <w:sz w:val="24"/>
          <w:szCs w:val="24"/>
          <w:lang w:val="zh-CN"/>
          <w14:textFill>
            <w14:solidFill>
              <w14:schemeClr w14:val="accent1"/>
            </w14:solidFill>
          </w14:textFill>
        </w:rPr>
        <w:drawing>
          <wp:inline distT="0" distB="0" distL="0" distR="0">
            <wp:extent cx="5381625" cy="3090545"/>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181"/>
        <w:tabs>
          <w:tab w:val="left" w:pos="400"/>
          <w:tab w:val="center" w:pos="4394"/>
        </w:tabs>
        <w:spacing w:before="156" w:after="156" w:line="240" w:lineRule="auto"/>
        <w:rPr>
          <w:color w:val="5B9BD5"/>
          <w:highlight w:val="green"/>
        </w:rPr>
      </w:pPr>
      <w:bookmarkStart w:id="126" w:name="_Hlk19116654"/>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4</w:t>
      </w:r>
      <w:r>
        <w:rPr>
          <w:rFonts w:hint="eastAsia"/>
        </w:rPr>
        <w:fldChar w:fldCharType="end"/>
      </w:r>
      <w:r>
        <w:t xml:space="preserve">   2021届</w:t>
      </w:r>
      <w:r>
        <w:rPr>
          <w:rFonts w:hint="eastAsia"/>
          <w:lang w:val="en-US" w:eastAsia="zh-Hans"/>
        </w:rPr>
        <w:t>各学院</w:t>
      </w:r>
      <w:r>
        <w:t>毕业生</w:t>
      </w:r>
      <w:r>
        <w:rPr>
          <w:rFonts w:hint="eastAsia"/>
          <w:lang w:val="en-US" w:eastAsia="zh-Hans"/>
        </w:rPr>
        <w:t>就业</w:t>
      </w:r>
      <w:r>
        <w:rPr>
          <w:rFonts w:hint="eastAsia"/>
        </w:rPr>
        <w:t>专业相关</w:t>
      </w:r>
      <w:r>
        <w:t>度</w:t>
      </w:r>
      <w:r>
        <w:rPr>
          <w:rFonts w:hint="eastAsia"/>
        </w:rPr>
        <w:t>分布</w:t>
      </w:r>
    </w:p>
    <w:p>
      <w:pPr>
        <w:pStyle w:val="64"/>
        <w:spacing w:before="156" w:after="156"/>
        <w:ind w:firstLine="482"/>
        <w:jc w:val="both"/>
        <w:rPr>
          <w:rStyle w:val="114"/>
          <w:rFonts w:hint="eastAsia"/>
        </w:rPr>
      </w:pPr>
      <w:r>
        <w:rPr>
          <w:rFonts w:ascii="Times New Roman" w:hAnsi="Times New Roman"/>
          <w:b/>
          <w:color w:val="4F81BD" w:themeColor="accent1"/>
          <w14:textFill>
            <w14:solidFill>
              <w14:schemeClr w14:val="accent1"/>
            </w14:solidFill>
          </w14:textFill>
        </w:rPr>
        <w:t>从事</w:t>
      </w:r>
      <w:r>
        <w:rPr>
          <w:rFonts w:hint="eastAsia" w:ascii="Times New Roman" w:hAnsi="Times New Roman"/>
          <w:b/>
          <w:color w:val="4F81BD" w:themeColor="accent1"/>
          <w14:textFill>
            <w14:solidFill>
              <w14:schemeClr w14:val="accent1"/>
            </w14:solidFill>
          </w14:textFill>
        </w:rPr>
        <w:t>与</w:t>
      </w:r>
      <w:r>
        <w:rPr>
          <w:rFonts w:ascii="Times New Roman" w:hAnsi="Times New Roman"/>
          <w:b/>
          <w:color w:val="4F81BD" w:themeColor="accent1"/>
          <w14:textFill>
            <w14:solidFill>
              <w14:schemeClr w14:val="accent1"/>
            </w14:solidFill>
          </w14:textFill>
        </w:rPr>
        <w:t>专业</w:t>
      </w:r>
      <w:r>
        <w:rPr>
          <w:rFonts w:hint="eastAsia" w:ascii="Times New Roman" w:hAnsi="Times New Roman"/>
          <w:b/>
          <w:color w:val="4F81BD" w:themeColor="accent1"/>
          <w14:textFill>
            <w14:solidFill>
              <w14:schemeClr w14:val="accent1"/>
            </w14:solidFill>
          </w14:textFill>
        </w:rPr>
        <w:t>不相关</w:t>
      </w:r>
      <w:r>
        <w:rPr>
          <w:rFonts w:ascii="Times New Roman" w:hAnsi="Times New Roman"/>
          <w:b/>
          <w:color w:val="4F81BD" w:themeColor="accent1"/>
          <w14:textFill>
            <w14:solidFill>
              <w14:schemeClr w14:val="accent1"/>
            </w14:solidFill>
          </w14:textFill>
        </w:rPr>
        <w:t>工作的原因：</w:t>
      </w:r>
      <w:r>
        <w:rPr>
          <w:rStyle w:val="114"/>
        </w:rPr>
        <w:t>主要为</w:t>
      </w:r>
      <w:r>
        <w:rPr>
          <w:rStyle w:val="114"/>
          <w:rFonts w:hint="eastAsia"/>
          <w:lang w:eastAsia="zh-Hans"/>
        </w:rPr>
        <w:t>“</w:t>
      </w:r>
      <w:r>
        <w:rPr>
          <w:rStyle w:val="114"/>
          <w:rFonts w:hint="eastAsia"/>
        </w:rPr>
        <w:t>迫于现实先就业再择业</w:t>
      </w:r>
      <w:r>
        <w:rPr>
          <w:rStyle w:val="114"/>
          <w:rFonts w:hint="eastAsia"/>
          <w:lang w:eastAsia="zh-Hans"/>
        </w:rPr>
        <w:t>”</w:t>
      </w:r>
      <w:r>
        <w:rPr>
          <w:rStyle w:val="114"/>
          <w:rFonts w:hint="default" w:ascii="Times New Roman"/>
          <w:lang w:eastAsia="zh-Hans"/>
        </w:rPr>
        <w:t>（</w:t>
      </w:r>
      <w:r>
        <w:rPr>
          <w:rStyle w:val="114"/>
          <w:rFonts w:hint="eastAsia"/>
        </w:rPr>
        <w:t>37.62%</w:t>
      </w:r>
      <w:r>
        <w:rPr>
          <w:rStyle w:val="114"/>
          <w:rFonts w:hint="default"/>
        </w:rPr>
        <w:t>）</w:t>
      </w:r>
      <w:r>
        <w:rPr>
          <w:rStyle w:val="114"/>
          <w:rFonts w:hint="eastAsia"/>
          <w:lang w:val="en-US" w:eastAsia="zh-Hans"/>
        </w:rPr>
        <w:t>和“</w:t>
      </w:r>
      <w:r>
        <w:rPr>
          <w:rStyle w:val="114"/>
          <w:rFonts w:hint="eastAsia"/>
        </w:rPr>
        <w:t>专业工作岗位招聘少</w:t>
      </w:r>
      <w:r>
        <w:rPr>
          <w:rStyle w:val="114"/>
          <w:rFonts w:hint="eastAsia"/>
          <w:lang w:eastAsia="zh-Hans"/>
        </w:rPr>
        <w:t>”</w:t>
      </w:r>
      <w:r>
        <w:rPr>
          <w:rStyle w:val="114"/>
          <w:rFonts w:hint="default"/>
        </w:rPr>
        <w:t>（</w:t>
      </w:r>
      <w:r>
        <w:rPr>
          <w:rStyle w:val="114"/>
          <w:rFonts w:hint="eastAsia"/>
        </w:rPr>
        <w:t>14.85%</w:t>
      </w:r>
      <w:r>
        <w:rPr>
          <w:rStyle w:val="114"/>
          <w:rFonts w:hint="default"/>
        </w:rPr>
        <w:t>）。</w:t>
      </w:r>
    </w:p>
    <w:p>
      <w:pPr>
        <w:pStyle w:val="64"/>
        <w:spacing w:before="156" w:after="156"/>
        <w:jc w:val="both"/>
        <w:rPr>
          <w:rFonts w:ascii="Times New Roman" w:hAnsi="Times New Roman"/>
        </w:rPr>
      </w:pPr>
      <w:r>
        <w:rPr>
          <w:lang w:val="en-US"/>
        </w:rPr>
        <w:drawing>
          <wp:inline distT="0" distB="0" distL="0" distR="0">
            <wp:extent cx="5389880" cy="3020695"/>
            <wp:effectExtent l="0" t="0" r="20320" b="1905"/>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203"/>
        <w:bidi w:val="0"/>
      </w:pPr>
      <w:bookmarkStart w:id="127" w:name="_Toc55912389"/>
      <w:bookmarkStart w:id="128" w:name="_Toc525725822"/>
      <w:r>
        <w:rPr>
          <w:rFonts w:hint="eastAsia"/>
        </w:rPr>
        <w:t>图</w:t>
      </w:r>
      <w:r>
        <w:rPr>
          <w:rFonts w:hint="default"/>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5</w:t>
      </w:r>
      <w:r>
        <w:rPr>
          <w:rFonts w:hint="eastAsia"/>
        </w:rPr>
        <w:fldChar w:fldCharType="end"/>
      </w:r>
      <w:r>
        <w:rPr>
          <w:rFonts w:hint="eastAsia"/>
        </w:rPr>
        <w:t xml:space="preserve">  </w:t>
      </w:r>
      <w:r>
        <w:t>2021届毕业生</w:t>
      </w:r>
      <w:r>
        <w:rPr>
          <w:rFonts w:hint="eastAsia"/>
        </w:rPr>
        <w:t>从事与专业不相关</w:t>
      </w:r>
      <w:r>
        <w:t>工作的原因</w:t>
      </w:r>
      <w:bookmarkEnd w:id="126"/>
      <w:bookmarkEnd w:id="127"/>
      <w:bookmarkEnd w:id="128"/>
    </w:p>
    <w:p>
      <w:pPr>
        <w:pStyle w:val="152"/>
        <w:bidi w:val="0"/>
        <w:rPr>
          <w:rFonts w:hint="eastAsia"/>
          <w:lang w:val="en-US" w:eastAsia="zh-Hans"/>
        </w:rPr>
      </w:pPr>
      <w:bookmarkStart w:id="129" w:name="_Toc560949559"/>
      <w:bookmarkStart w:id="130" w:name="_Toc55912657"/>
      <w:r>
        <w:rPr>
          <w:rFonts w:hint="default"/>
          <w:lang w:eastAsia="zh-Hans"/>
        </w:rPr>
        <w:t>（</w:t>
      </w:r>
      <w:r>
        <w:rPr>
          <w:rFonts w:hint="eastAsia"/>
          <w:lang w:val="en-US" w:eastAsia="zh-Hans"/>
        </w:rPr>
        <w:t>二</w:t>
      </w:r>
      <w:r>
        <w:rPr>
          <w:rFonts w:hint="default"/>
          <w:lang w:eastAsia="zh-Hans"/>
        </w:rPr>
        <w:t>）</w:t>
      </w:r>
      <w:r>
        <w:rPr>
          <w:rFonts w:hint="eastAsia"/>
          <w:lang w:val="en-US" w:eastAsia="zh-Hans"/>
        </w:rPr>
        <w:t>职业期待吻合度</w:t>
      </w:r>
      <w:bookmarkEnd w:id="129"/>
    </w:p>
    <w:p>
      <w:pPr>
        <w:spacing w:line="360" w:lineRule="auto"/>
        <w:ind w:firstLine="480" w:firstLineChars="200"/>
        <w:jc w:val="both"/>
        <w:rPr>
          <w:rStyle w:val="114"/>
          <w:lang w:val="zh-CN"/>
        </w:rPr>
      </w:pPr>
      <w:r>
        <w:rPr>
          <w:rFonts w:hint="eastAsia" w:ascii="宋体" w:hAnsi="宋体"/>
          <w:b/>
          <w:color w:val="4F81BD" w:themeColor="accent1"/>
          <w:sz w:val="24"/>
          <w:szCs w:val="24"/>
          <w:lang w:val="zh-CN"/>
          <w14:textFill>
            <w14:solidFill>
              <w14:schemeClr w14:val="accent1"/>
            </w14:solidFill>
          </w14:textFill>
        </w:rPr>
        <w:t>总体</w:t>
      </w:r>
      <w:r>
        <w:rPr>
          <w:rFonts w:hint="eastAsia" w:ascii="宋体" w:hAnsi="宋体"/>
          <w:b/>
          <w:color w:val="4F81BD" w:themeColor="accent1"/>
          <w:sz w:val="24"/>
          <w:szCs w:val="24"/>
          <w:lang w:val="en-US" w:eastAsia="zh-Hans"/>
          <w14:textFill>
            <w14:solidFill>
              <w14:schemeClr w14:val="accent1"/>
            </w14:solidFill>
          </w14:textFill>
        </w:rPr>
        <w:t>职业期待</w:t>
      </w:r>
      <w:r>
        <w:rPr>
          <w:rFonts w:hint="eastAsia" w:ascii="宋体" w:hAnsi="宋体"/>
          <w:b/>
          <w:color w:val="4F81BD" w:themeColor="accent1"/>
          <w:sz w:val="24"/>
          <w:szCs w:val="24"/>
          <w:lang w:val="zh-CN"/>
          <w14:textFill>
            <w14:solidFill>
              <w14:schemeClr w14:val="accent1"/>
            </w14:solidFill>
          </w14:textFill>
        </w:rPr>
        <w:t>度：</w:t>
      </w:r>
      <w:r>
        <w:rPr>
          <w:rStyle w:val="114"/>
          <w:rFonts w:hint="default"/>
          <w:lang w:eastAsia="zh-Hans"/>
        </w:rPr>
        <w:t xml:space="preserve">毕业生从事工作与其职业期望的匹配度为 </w:t>
      </w:r>
      <w:r>
        <w:rPr>
          <w:rStyle w:val="114"/>
          <w:rFonts w:hint="eastAsia"/>
          <w:lang w:val="zh-CN"/>
        </w:rPr>
        <w:t>74.16%</w:t>
      </w:r>
      <w:r>
        <w:rPr>
          <w:rStyle w:val="114"/>
          <w:rFonts w:hint="default"/>
          <w:lang w:eastAsia="zh-Hans"/>
        </w:rPr>
        <w:t xml:space="preserve">，其中 </w:t>
      </w:r>
      <w:r>
        <w:rPr>
          <w:rStyle w:val="114"/>
          <w:rFonts w:hint="eastAsia"/>
          <w:lang w:eastAsia="zh-Hans"/>
        </w:rPr>
        <w:t>“</w:t>
      </w:r>
      <w:r>
        <w:rPr>
          <w:rStyle w:val="114"/>
          <w:rFonts w:hint="default"/>
          <w:lang w:eastAsia="zh-Hans"/>
        </w:rPr>
        <w:t>非常</w:t>
      </w:r>
      <w:r>
        <w:rPr>
          <w:rStyle w:val="114"/>
          <w:rFonts w:hint="eastAsia"/>
          <w:lang w:val="en-US" w:eastAsia="zh-Hans"/>
        </w:rPr>
        <w:t>吻合</w:t>
      </w:r>
      <w:r>
        <w:rPr>
          <w:rStyle w:val="114"/>
          <w:rFonts w:hint="eastAsia"/>
          <w:lang w:eastAsia="zh-Hans"/>
        </w:rPr>
        <w:t>”</w:t>
      </w:r>
      <w:r>
        <w:rPr>
          <w:rStyle w:val="114"/>
          <w:rFonts w:hint="default"/>
          <w:lang w:eastAsia="zh-Hans"/>
        </w:rPr>
        <w:t>占比 11.96%，</w:t>
      </w:r>
      <w:r>
        <w:rPr>
          <w:rStyle w:val="114"/>
          <w:rFonts w:hint="eastAsia"/>
          <w:lang w:eastAsia="zh-Hans"/>
        </w:rPr>
        <w:t>“</w:t>
      </w:r>
      <w:r>
        <w:rPr>
          <w:rStyle w:val="114"/>
          <w:rFonts w:hint="eastAsia"/>
          <w:lang w:val="en-US" w:eastAsia="zh-Hans"/>
        </w:rPr>
        <w:t>吻合”</w:t>
      </w:r>
      <w:r>
        <w:rPr>
          <w:rStyle w:val="114"/>
          <w:rFonts w:hint="default"/>
          <w:lang w:eastAsia="zh-Hans"/>
        </w:rPr>
        <w:t>占比 26.56%，</w:t>
      </w:r>
      <w:r>
        <w:rPr>
          <w:rStyle w:val="114"/>
          <w:rFonts w:hint="eastAsia"/>
          <w:lang w:eastAsia="zh-Hans"/>
        </w:rPr>
        <w:t>“</w:t>
      </w:r>
      <w:r>
        <w:rPr>
          <w:rStyle w:val="114"/>
          <w:rFonts w:hint="default"/>
          <w:lang w:eastAsia="zh-Hans"/>
        </w:rPr>
        <w:t>比较</w:t>
      </w:r>
      <w:r>
        <w:rPr>
          <w:rStyle w:val="114"/>
          <w:rFonts w:hint="eastAsia"/>
          <w:lang w:val="en-US" w:eastAsia="zh-Hans"/>
        </w:rPr>
        <w:t>吻合</w:t>
      </w:r>
      <w:r>
        <w:rPr>
          <w:rStyle w:val="114"/>
          <w:rFonts w:hint="eastAsia"/>
          <w:lang w:eastAsia="zh-Hans"/>
        </w:rPr>
        <w:t>”</w:t>
      </w:r>
      <w:r>
        <w:rPr>
          <w:rStyle w:val="114"/>
          <w:rFonts w:hint="default"/>
          <w:lang w:eastAsia="zh-Hans"/>
        </w:rPr>
        <w:t>占比 35.65%。</w:t>
      </w:r>
    </w:p>
    <w:p>
      <w:pPr>
        <w:spacing w:line="360" w:lineRule="auto"/>
        <w:jc w:val="center"/>
        <w:rPr>
          <w:color w:val="4BACC6" w:themeColor="accent5"/>
          <w:highlight w:val="green"/>
          <w14:textFill>
            <w14:solidFill>
              <w14:schemeClr w14:val="accent5"/>
            </w14:solidFill>
          </w14:textFill>
        </w:rPr>
      </w:pPr>
      <w:r>
        <w:rPr>
          <w:color w:val="DCE6F2" w:themeColor="accent1" w:themeTint="33"/>
          <w14:textFill>
            <w14:solidFill>
              <w14:schemeClr w14:val="accent1">
                <w14:lumMod w14:val="20000"/>
                <w14:lumOff w14:val="80000"/>
              </w14:schemeClr>
            </w14:solidFill>
          </w14:textFill>
        </w:rPr>
        <w:drawing>
          <wp:inline distT="0" distB="0" distL="0" distR="0">
            <wp:extent cx="5369560" cy="1892300"/>
            <wp:effectExtent l="0" t="0" r="15240" b="12700"/>
            <wp:docPr id="2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6</w:t>
      </w:r>
      <w:r>
        <w:rPr>
          <w:rFonts w:hint="eastAsia"/>
        </w:rPr>
        <w:fldChar w:fldCharType="end"/>
      </w:r>
      <w:r>
        <w:t xml:space="preserve">  2021届毕业生</w:t>
      </w:r>
      <w:r>
        <w:rPr>
          <w:rFonts w:hint="eastAsia"/>
        </w:rPr>
        <w:t>职业期待吻合度分布</w:t>
      </w:r>
    </w:p>
    <w:p>
      <w:pPr>
        <w:pStyle w:val="136"/>
        <w:bidi w:val="0"/>
        <w:rPr>
          <w:rFonts w:hint="eastAsia"/>
          <w:lang w:val="en-US" w:eastAsia="zh-Hans"/>
        </w:rPr>
      </w:pPr>
      <w:r>
        <w:rPr>
          <w:rFonts w:hint="eastAsia" w:ascii="宋体" w:hAnsi="宋体" w:eastAsia="宋体" w:cs="Times New Roman"/>
          <w:b/>
          <w:color w:val="4F81BD" w:themeColor="accent1"/>
          <w:sz w:val="24"/>
          <w:szCs w:val="24"/>
          <w:lang w:val="en-US" w:eastAsia="zh-Hans" w:bidi="ar-SA"/>
          <w14:textFill>
            <w14:solidFill>
              <w14:schemeClr w14:val="accent1"/>
            </w14:solidFill>
          </w14:textFill>
        </w:rPr>
        <w:t>各学院</w:t>
      </w:r>
      <w:r>
        <w:rPr>
          <w:rFonts w:hint="eastAsia" w:ascii="宋体" w:hAnsi="宋体"/>
          <w:b/>
          <w:color w:val="4F81BD" w:themeColor="accent1"/>
          <w:sz w:val="24"/>
          <w:szCs w:val="24"/>
          <w:lang w:val="en-US" w:eastAsia="zh-Hans"/>
          <w14:textFill>
            <w14:solidFill>
              <w14:schemeClr w14:val="accent1"/>
            </w14:solidFill>
          </w14:textFill>
        </w:rPr>
        <w:t>职业期待</w:t>
      </w:r>
      <w:r>
        <w:rPr>
          <w:rFonts w:hint="eastAsia" w:ascii="宋体" w:hAnsi="宋体"/>
          <w:b/>
          <w:color w:val="4F81BD" w:themeColor="accent1"/>
          <w:sz w:val="24"/>
          <w:szCs w:val="24"/>
          <w:lang w:val="zh-CN"/>
          <w14:textFill>
            <w14:solidFill>
              <w14:schemeClr w14:val="accent1"/>
            </w14:solidFill>
          </w14:textFill>
        </w:rPr>
        <w:t>度</w:t>
      </w:r>
      <w:r>
        <w:rPr>
          <w:rFonts w:hint="default" w:ascii="宋体" w:hAnsi="宋体" w:eastAsia="宋体" w:cs="Times New Roman"/>
          <w:b/>
          <w:color w:val="4F81BD" w:themeColor="accent1"/>
          <w:sz w:val="24"/>
          <w:szCs w:val="24"/>
          <w:lang w:eastAsia="zh-Hans" w:bidi="ar-SA"/>
          <w14:textFill>
            <w14:solidFill>
              <w14:schemeClr w14:val="accent1"/>
            </w14:solidFill>
          </w14:textFill>
        </w:rPr>
        <w:t>：</w:t>
      </w:r>
      <w:r>
        <w:rPr>
          <w:rFonts w:hint="eastAsia"/>
          <w:lang w:val="zh-CN"/>
        </w:rPr>
        <w:t>学校2021届毕业生</w:t>
      </w:r>
      <w:r>
        <w:rPr>
          <w:rFonts w:hint="eastAsia"/>
          <w:lang w:val="en-US" w:eastAsia="zh-Hans"/>
        </w:rPr>
        <w:t>中</w:t>
      </w:r>
      <w:r>
        <w:rPr>
          <w:rFonts w:hint="default"/>
          <w:lang w:eastAsia="zh-Hans"/>
        </w:rPr>
        <w:t>，</w:t>
      </w:r>
      <w:r>
        <w:rPr>
          <w:rFonts w:hint="eastAsia"/>
          <w:lang w:val="en-US" w:eastAsia="zh-Hans"/>
        </w:rPr>
        <w:t>人文学院职业期待度相对较高</w:t>
      </w:r>
      <w:r>
        <w:rPr>
          <w:rFonts w:hint="default"/>
          <w:lang w:eastAsia="zh-Hans"/>
        </w:rPr>
        <w:t>，</w:t>
      </w:r>
      <w:r>
        <w:rPr>
          <w:rFonts w:hint="eastAsia"/>
          <w:lang w:val="en-US" w:eastAsia="zh-Hans"/>
        </w:rPr>
        <w:t>达到了</w:t>
      </w:r>
      <w:r>
        <w:rPr>
          <w:rFonts w:hint="default"/>
          <w:lang w:eastAsia="zh-Hans"/>
        </w:rPr>
        <w:t>84.38%。</w:t>
      </w:r>
    </w:p>
    <w:p>
      <w:pPr>
        <w:pStyle w:val="119"/>
        <w:ind w:firstLine="360"/>
        <w:rPr>
          <w:color w:val="4F81BD" w:themeColor="accent1"/>
          <w14:textFill>
            <w14:solidFill>
              <w14:schemeClr w14:val="accent1"/>
            </w14:solidFill>
          </w14:textFill>
        </w:rPr>
      </w:pPr>
      <w:r>
        <w:rPr>
          <w:rFonts w:hint="eastAsia" w:ascii="宋体" w:hAnsi="宋体"/>
          <w:b/>
          <w:color w:val="4F81BD" w:themeColor="accent1"/>
          <w:sz w:val="24"/>
          <w:szCs w:val="24"/>
          <w:lang w:val="zh-CN"/>
          <w14:textFill>
            <w14:solidFill>
              <w14:schemeClr w14:val="accent1"/>
            </w14:solidFill>
          </w14:textFill>
        </w:rPr>
        <w:drawing>
          <wp:inline distT="0" distB="0" distL="0" distR="0">
            <wp:extent cx="5347335" cy="2709545"/>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7</w:t>
      </w:r>
      <w:r>
        <w:rPr>
          <w:rFonts w:hint="eastAsia"/>
        </w:rPr>
        <w:fldChar w:fldCharType="end"/>
      </w:r>
      <w:r>
        <w:t xml:space="preserve">   2021届</w:t>
      </w:r>
      <w:r>
        <w:rPr>
          <w:rFonts w:hint="eastAsia"/>
          <w:lang w:val="en-US" w:eastAsia="zh-Hans"/>
        </w:rPr>
        <w:t>各学院</w:t>
      </w:r>
      <w:r>
        <w:t>毕业生</w:t>
      </w:r>
      <w:r>
        <w:rPr>
          <w:rFonts w:hint="eastAsia"/>
        </w:rPr>
        <w:t>职业期待度分布</w:t>
      </w:r>
    </w:p>
    <w:p>
      <w:pPr>
        <w:pStyle w:val="142"/>
        <w:pBdr>
          <w:top w:val="none" w:color="auto" w:sz="0" w:space="0"/>
          <w:left w:val="none" w:color="auto" w:sz="0" w:space="0"/>
          <w:bottom w:val="none" w:color="auto" w:sz="0" w:space="0"/>
          <w:right w:val="none" w:color="auto" w:sz="0" w:space="0"/>
        </w:pBdr>
        <w:rPr>
          <w:color w:val="4F81BD" w:themeColor="accent1"/>
          <w:highlight w:val="none"/>
          <w14:textFill>
            <w14:solidFill>
              <w14:schemeClr w14:val="accent1"/>
            </w14:solidFill>
          </w14:textFill>
        </w:rPr>
      </w:pPr>
      <w:bookmarkStart w:id="131" w:name="_Toc55912655"/>
      <w:bookmarkStart w:id="132" w:name="_Toc426027783"/>
      <w:r>
        <w:rPr>
          <w:rFonts w:hint="eastAsia"/>
          <w:color w:val="4F81BD" w:themeColor="accent1"/>
          <w:highlight w:val="none"/>
          <w:lang w:val="en-US" w:eastAsia="zh-Hans"/>
          <w14:textFill>
            <w14:solidFill>
              <w14:schemeClr w14:val="accent1"/>
            </w14:solidFill>
          </w14:textFill>
        </w:rPr>
        <w:t>三</w:t>
      </w:r>
      <w:r>
        <w:rPr>
          <w:color w:val="4F81BD" w:themeColor="accent1"/>
          <w:highlight w:val="none"/>
          <w14:textFill>
            <w14:solidFill>
              <w14:schemeClr w14:val="accent1"/>
            </w14:solidFill>
          </w14:textFill>
        </w:rPr>
        <w:t>、</w:t>
      </w:r>
      <w:r>
        <w:rPr>
          <w:rFonts w:hint="eastAsia"/>
          <w:color w:val="4F81BD" w:themeColor="accent1"/>
          <w:highlight w:val="none"/>
          <w14:textFill>
            <w14:solidFill>
              <w14:schemeClr w14:val="accent1"/>
            </w14:solidFill>
          </w14:textFill>
        </w:rPr>
        <w:t>薪酬</w:t>
      </w:r>
      <w:r>
        <w:rPr>
          <w:color w:val="4F81BD" w:themeColor="accent1"/>
          <w:highlight w:val="none"/>
          <w14:textFill>
            <w14:solidFill>
              <w14:schemeClr w14:val="accent1"/>
            </w14:solidFill>
          </w14:textFill>
        </w:rPr>
        <w:t>水平</w:t>
      </w:r>
      <w:bookmarkEnd w:id="131"/>
      <w:bookmarkEnd w:id="132"/>
    </w:p>
    <w:p>
      <w:pPr>
        <w:pStyle w:val="152"/>
        <w:bidi w:val="0"/>
        <w:rPr>
          <w:rFonts w:hint="eastAsia"/>
          <w:lang w:val="en-US" w:eastAsia="zh-Hans"/>
        </w:rPr>
      </w:pPr>
      <w:bookmarkStart w:id="133" w:name="_Toc538469783"/>
      <w:r>
        <w:rPr>
          <w:rFonts w:hint="default"/>
          <w:lang w:eastAsia="zh-Hans"/>
        </w:rPr>
        <w:t>（</w:t>
      </w:r>
      <w:r>
        <w:rPr>
          <w:rFonts w:hint="eastAsia"/>
          <w:lang w:val="en-US" w:eastAsia="zh-Hans"/>
        </w:rPr>
        <w:t>一</w:t>
      </w:r>
      <w:r>
        <w:rPr>
          <w:rFonts w:hint="default"/>
          <w:lang w:eastAsia="zh-Hans"/>
        </w:rPr>
        <w:t>）</w:t>
      </w:r>
      <w:r>
        <w:rPr>
          <w:rFonts w:hint="eastAsia"/>
          <w:lang w:val="en-US" w:eastAsia="zh-Hans"/>
        </w:rPr>
        <w:t>薪酬情况</w:t>
      </w:r>
      <w:bookmarkEnd w:id="133"/>
    </w:p>
    <w:p>
      <w:pPr>
        <w:pStyle w:val="136"/>
        <w:ind w:firstLine="482"/>
        <w:rPr>
          <w:rFonts w:hint="eastAsia"/>
          <w:highlight w:val="none"/>
        </w:rPr>
      </w:pPr>
      <w:r>
        <w:rPr>
          <w:rFonts w:hint="eastAsia"/>
          <w:b/>
          <w:color w:val="4F81BD" w:themeColor="accent1"/>
          <w:highlight w:val="none"/>
          <w14:textFill>
            <w14:solidFill>
              <w14:schemeClr w14:val="accent1"/>
            </w14:solidFill>
          </w14:textFill>
        </w:rPr>
        <w:t>总体薪酬收入：</w:t>
      </w:r>
      <w:r>
        <w:rPr>
          <w:rFonts w:hint="eastAsia"/>
          <w:highlight w:val="none"/>
        </w:rPr>
        <w:t>学校</w:t>
      </w:r>
      <w:r>
        <w:rPr>
          <w:highlight w:val="none"/>
        </w:rPr>
        <w:t>2021届毕业生</w:t>
      </w:r>
      <w:r>
        <w:rPr>
          <w:rFonts w:hint="eastAsia"/>
          <w:highlight w:val="none"/>
        </w:rPr>
        <w:t>薪酬区间</w:t>
      </w:r>
      <w:r>
        <w:rPr>
          <w:highlight w:val="none"/>
        </w:rPr>
        <w:t>主要集中</w:t>
      </w:r>
      <w:r>
        <w:rPr>
          <w:rFonts w:hint="eastAsia"/>
          <w:highlight w:val="none"/>
        </w:rPr>
        <w:t>在3</w:t>
      </w:r>
      <w:r>
        <w:rPr>
          <w:rFonts w:hint="default"/>
          <w:highlight w:val="none"/>
        </w:rPr>
        <w:t>0</w:t>
      </w:r>
      <w:r>
        <w:rPr>
          <w:rFonts w:hint="eastAsia"/>
          <w:highlight w:val="none"/>
        </w:rPr>
        <w:t>01到</w:t>
      </w:r>
      <w:r>
        <w:rPr>
          <w:rFonts w:hint="default"/>
          <w:highlight w:val="none"/>
        </w:rPr>
        <w:t>4</w:t>
      </w:r>
      <w:r>
        <w:rPr>
          <w:rFonts w:hint="eastAsia"/>
          <w:highlight w:val="none"/>
        </w:rPr>
        <w:t>000元（</w:t>
      </w:r>
      <w:r>
        <w:rPr>
          <w:rFonts w:hint="default"/>
          <w:highlight w:val="none"/>
        </w:rPr>
        <w:t>28.23</w:t>
      </w:r>
      <w:r>
        <w:rPr>
          <w:rFonts w:hint="eastAsia"/>
          <w:highlight w:val="none"/>
        </w:rPr>
        <w:t>%），其次为</w:t>
      </w:r>
      <w:r>
        <w:rPr>
          <w:rFonts w:hint="default"/>
          <w:highlight w:val="none"/>
        </w:rPr>
        <w:t>4</w:t>
      </w:r>
      <w:r>
        <w:rPr>
          <w:rFonts w:hint="eastAsia"/>
          <w:highlight w:val="none"/>
        </w:rPr>
        <w:t>001到500</w:t>
      </w:r>
      <w:r>
        <w:rPr>
          <w:rFonts w:hint="default"/>
          <w:highlight w:val="none"/>
        </w:rPr>
        <w:t>0</w:t>
      </w:r>
      <w:r>
        <w:rPr>
          <w:rFonts w:hint="eastAsia"/>
          <w:highlight w:val="none"/>
        </w:rPr>
        <w:t>元（2</w:t>
      </w:r>
      <w:r>
        <w:rPr>
          <w:highlight w:val="none"/>
        </w:rPr>
        <w:t>5.36</w:t>
      </w:r>
      <w:r>
        <w:rPr>
          <w:rFonts w:hint="eastAsia"/>
          <w:highlight w:val="none"/>
        </w:rPr>
        <w:t>%</w:t>
      </w:r>
      <w:r>
        <w:rPr>
          <w:highlight w:val="none"/>
        </w:rPr>
        <w:t>）</w:t>
      </w:r>
      <w:r>
        <w:rPr>
          <w:rFonts w:hint="eastAsia"/>
          <w:highlight w:val="none"/>
        </w:rPr>
        <w:t>。</w:t>
      </w:r>
    </w:p>
    <w:p>
      <w:pPr>
        <w:pStyle w:val="136"/>
        <w:spacing w:before="156" w:beforeLines="50" w:after="156" w:afterLines="50" w:line="240" w:lineRule="auto"/>
        <w:ind w:firstLine="0" w:firstLineChars="0"/>
        <w:jc w:val="center"/>
        <w:rPr>
          <w:highlight w:val="none"/>
        </w:rPr>
      </w:pPr>
      <w:r>
        <w:rPr>
          <w:rFonts w:hint="eastAsia"/>
          <w:highlight w:val="none"/>
        </w:rPr>
        <w:drawing>
          <wp:inline distT="0" distB="0" distL="0" distR="0">
            <wp:extent cx="5970270" cy="3097530"/>
            <wp:effectExtent l="0" t="0" r="24130" b="127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203"/>
        <w:spacing w:before="156" w:after="156"/>
        <w:rPr>
          <w:highlight w:val="none"/>
        </w:rPr>
      </w:pPr>
      <w:bookmarkStart w:id="134" w:name="_Toc55912383"/>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8</w:t>
      </w:r>
      <w:r>
        <w:rPr>
          <w:rFonts w:hint="eastAsia"/>
        </w:rPr>
        <w:fldChar w:fldCharType="end"/>
      </w:r>
      <w:r>
        <w:rPr>
          <w:highlight w:val="none"/>
        </w:rPr>
        <w:t xml:space="preserve">  2021届毕业生</w:t>
      </w:r>
      <w:r>
        <w:rPr>
          <w:rFonts w:hint="eastAsia"/>
          <w:highlight w:val="none"/>
        </w:rPr>
        <w:t>薪酬区间分布</w:t>
      </w:r>
      <w:bookmarkEnd w:id="134"/>
    </w:p>
    <w:p>
      <w:pPr>
        <w:pStyle w:val="199"/>
        <w:bidi w:val="0"/>
        <w:rPr>
          <w:rFonts w:hint="eastAsia"/>
          <w:lang w:val="en-US" w:eastAsia="zh-Hans"/>
        </w:rPr>
      </w:pPr>
      <w:bookmarkStart w:id="135" w:name="_Toc601657804"/>
      <w:r>
        <w:rPr>
          <w:rFonts w:hint="eastAsia" w:cstheme="minorBidi"/>
          <w:b/>
          <w:color w:val="4F81BD" w:themeColor="accent1"/>
          <w:sz w:val="24"/>
          <w:szCs w:val="24"/>
          <w:highlight w:val="none"/>
          <w:lang w:val="en-US" w:eastAsia="zh-Hans" w:bidi="ar-SA"/>
          <w14:textFill>
            <w14:solidFill>
              <w14:schemeClr w14:val="accent1"/>
            </w14:solidFill>
          </w14:textFill>
        </w:rPr>
        <w:t>薪酬</w:t>
      </w:r>
      <w:r>
        <w:rPr>
          <w:rFonts w:hint="eastAsia" w:ascii="Times New Roman" w:hAnsi="Times New Roman" w:eastAsia="宋体" w:cstheme="minorBidi"/>
          <w:b/>
          <w:color w:val="4F81BD" w:themeColor="accent1"/>
          <w:sz w:val="24"/>
          <w:szCs w:val="24"/>
          <w:highlight w:val="none"/>
          <w:lang w:val="en-US" w:eastAsia="zh-Hans" w:bidi="ar-SA"/>
          <w14:textFill>
            <w14:solidFill>
              <w14:schemeClr w14:val="accent1"/>
            </w14:solidFill>
          </w14:textFill>
        </w:rPr>
        <w:t>水平满意度</w:t>
      </w:r>
      <w:r>
        <w:rPr>
          <w:rFonts w:hint="default" w:ascii="Times New Roman" w:hAnsi="Times New Roman" w:eastAsia="宋体" w:cstheme="minorBidi"/>
          <w:b/>
          <w:color w:val="4F81BD" w:themeColor="accent1"/>
          <w:sz w:val="24"/>
          <w:szCs w:val="24"/>
          <w:highlight w:val="none"/>
          <w:lang w:eastAsia="zh-Hans" w:bidi="ar-SA"/>
          <w14:textFill>
            <w14:solidFill>
              <w14:schemeClr w14:val="accent1"/>
            </w14:solidFill>
          </w14:textFill>
        </w:rPr>
        <w:t>：</w:t>
      </w:r>
      <w:r>
        <w:rPr>
          <w:rFonts w:hint="eastAsia"/>
          <w:lang w:val="en-US" w:eastAsia="zh-Hans"/>
        </w:rPr>
        <w:t>学校</w:t>
      </w:r>
      <w:r>
        <w:rPr>
          <w:rFonts w:hint="default"/>
          <w:lang w:eastAsia="zh-Hans"/>
        </w:rPr>
        <w:t>2021</w:t>
      </w:r>
      <w:r>
        <w:rPr>
          <w:rFonts w:hint="eastAsia"/>
          <w:lang w:val="en-US" w:eastAsia="zh-Hans"/>
        </w:rPr>
        <w:t>届毕业生对目前薪资的满意度为 59.81%，其中“非常满意”占比5.50%</w:t>
      </w:r>
      <w:r>
        <w:rPr>
          <w:rFonts w:hint="default"/>
          <w:lang w:eastAsia="zh-Hans"/>
        </w:rPr>
        <w:t>，</w:t>
      </w:r>
      <w:r>
        <w:rPr>
          <w:rFonts w:hint="eastAsia"/>
          <w:lang w:eastAsia="zh-Hans"/>
        </w:rPr>
        <w:t>“</w:t>
      </w:r>
      <w:r>
        <w:rPr>
          <w:rFonts w:hint="eastAsia"/>
          <w:lang w:val="en-US" w:eastAsia="zh-Hans"/>
        </w:rPr>
        <w:t>满意”占比15.07%</w:t>
      </w:r>
      <w:r>
        <w:rPr>
          <w:rFonts w:hint="default"/>
          <w:lang w:eastAsia="zh-Hans"/>
        </w:rPr>
        <w:t>，</w:t>
      </w:r>
      <w:r>
        <w:rPr>
          <w:rFonts w:hint="eastAsia"/>
          <w:lang w:eastAsia="zh-Hans"/>
        </w:rPr>
        <w:t>“</w:t>
      </w:r>
      <w:r>
        <w:rPr>
          <w:rFonts w:hint="eastAsia"/>
          <w:lang w:val="en-US" w:eastAsia="zh-Hans"/>
        </w:rPr>
        <w:t>比较满意”占比39.23%</w:t>
      </w:r>
      <w:r>
        <w:rPr>
          <w:rFonts w:hint="default"/>
          <w:lang w:eastAsia="zh-Hans"/>
        </w:rPr>
        <w:t>。</w:t>
      </w:r>
    </w:p>
    <w:p>
      <w:pPr>
        <w:pStyle w:val="203"/>
        <w:spacing w:before="156" w:after="156"/>
      </w:pPr>
      <w:r>
        <w:drawing>
          <wp:inline distT="0" distB="0" distL="114300" distR="114300">
            <wp:extent cx="4741545" cy="2607945"/>
            <wp:effectExtent l="0" t="0" r="8255" b="59055"/>
            <wp:docPr id="3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203"/>
        <w:spacing w:before="156" w:after="156"/>
        <w:rPr>
          <w:highlight w:val="none"/>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9</w:t>
      </w:r>
      <w:r>
        <w:rPr>
          <w:rFonts w:hint="eastAsia"/>
        </w:rPr>
        <w:fldChar w:fldCharType="end"/>
      </w:r>
      <w:r>
        <w:rPr>
          <w:highlight w:val="none"/>
        </w:rPr>
        <w:t xml:space="preserve">  2021届毕业生</w:t>
      </w:r>
      <w:r>
        <w:rPr>
          <w:rFonts w:hint="eastAsia"/>
          <w:highlight w:val="none"/>
        </w:rPr>
        <w:t>薪酬</w:t>
      </w:r>
      <w:r>
        <w:rPr>
          <w:rFonts w:hint="eastAsia"/>
          <w:highlight w:val="none"/>
          <w:lang w:val="en-US" w:eastAsia="zh-Hans"/>
        </w:rPr>
        <w:t>满意度</w:t>
      </w:r>
      <w:bookmarkEnd w:id="135"/>
    </w:p>
    <w:p>
      <w:pPr>
        <w:pStyle w:val="152"/>
        <w:bidi w:val="0"/>
        <w:rPr>
          <w:rFonts w:hint="eastAsia"/>
          <w:lang w:val="en-US" w:eastAsia="zh-Hans"/>
        </w:rPr>
      </w:pPr>
      <w:bookmarkStart w:id="136" w:name="_Toc565554423"/>
      <w:bookmarkStart w:id="137" w:name="_Toc1709701752"/>
      <w:r>
        <w:rPr>
          <w:rFonts w:hint="eastAsia"/>
          <w:lang w:val="en-US" w:eastAsia="zh-Hans"/>
        </w:rPr>
        <w:t>（二）社会保障情况</w:t>
      </w:r>
      <w:bookmarkEnd w:id="136"/>
    </w:p>
    <w:p>
      <w:pPr>
        <w:pStyle w:val="199"/>
        <w:bidi w:val="0"/>
        <w:rPr>
          <w:rFonts w:hint="eastAsia"/>
          <w:b/>
          <w:bCs/>
          <w:color w:val="4F81BD" w:themeColor="accent1"/>
          <w:highlight w:val="none"/>
          <w:lang w:val="en-US" w:eastAsia="zh-Hans"/>
          <w14:textFill>
            <w14:solidFill>
              <w14:schemeClr w14:val="accent1"/>
            </w14:solidFill>
          </w14:textFill>
        </w:rPr>
      </w:pPr>
      <w:r>
        <w:rPr>
          <w:rFonts w:hint="eastAsia"/>
          <w:lang w:val="en-US" w:eastAsia="zh-Hans"/>
        </w:rPr>
        <w:t>学校</w:t>
      </w:r>
      <w:r>
        <w:rPr>
          <w:rFonts w:hint="default"/>
          <w:lang w:eastAsia="zh-Hans"/>
        </w:rPr>
        <w:t>2021</w:t>
      </w:r>
      <w:r>
        <w:rPr>
          <w:rFonts w:hint="eastAsia"/>
          <w:lang w:val="en-US" w:eastAsia="zh-Hans"/>
        </w:rPr>
        <w:t xml:space="preserve">届毕业生所在用人单位提供的社会保障度为 </w:t>
      </w:r>
      <w:r>
        <w:rPr>
          <w:rFonts w:hint="default"/>
          <w:lang w:eastAsia="zh-Hans"/>
        </w:rPr>
        <w:t>86.12</w:t>
      </w:r>
      <w:r>
        <w:rPr>
          <w:rFonts w:hint="eastAsia"/>
          <w:lang w:val="en-US" w:eastAsia="zh-Hans"/>
        </w:rPr>
        <w:t>%，其中“除提供四险一金外，还提供其他保障和补贴”占比33.73%</w:t>
      </w:r>
      <w:r>
        <w:rPr>
          <w:rFonts w:hint="default"/>
          <w:lang w:eastAsia="zh-Hans"/>
        </w:rPr>
        <w:t>，</w:t>
      </w:r>
      <w:r>
        <w:rPr>
          <w:rFonts w:hint="eastAsia"/>
          <w:lang w:eastAsia="zh-Hans"/>
        </w:rPr>
        <w:t>“</w:t>
      </w:r>
      <w:r>
        <w:rPr>
          <w:rFonts w:hint="eastAsia"/>
          <w:lang w:val="en-US" w:eastAsia="zh-Hans"/>
        </w:rPr>
        <w:t>提供基本保障-四险(工伤、失业、医疗、养老共四险，生育险与医疗险已合并统称“四险”)”占比28.47%</w:t>
      </w:r>
      <w:r>
        <w:rPr>
          <w:rFonts w:hint="default"/>
          <w:lang w:eastAsia="zh-Hans"/>
        </w:rPr>
        <w:t>，</w:t>
      </w:r>
      <w:r>
        <w:rPr>
          <w:rFonts w:hint="eastAsia"/>
          <w:lang w:eastAsia="zh-Hans"/>
        </w:rPr>
        <w:t>“</w:t>
      </w:r>
      <w:r>
        <w:rPr>
          <w:rFonts w:hint="eastAsia"/>
          <w:lang w:val="en-US" w:eastAsia="zh-Hans"/>
        </w:rPr>
        <w:t>提供四险一金(一金指住房公积金)”占比23.92%</w:t>
      </w:r>
      <w:r>
        <w:rPr>
          <w:rFonts w:hint="default"/>
          <w:lang w:eastAsia="zh-Hans"/>
        </w:rPr>
        <w:t>。</w:t>
      </w:r>
      <w:bookmarkEnd w:id="137"/>
    </w:p>
    <w:p>
      <w:pPr>
        <w:pStyle w:val="136"/>
        <w:bidi w:val="0"/>
        <w:rPr>
          <w:lang w:val="en-US"/>
        </w:rPr>
      </w:pPr>
      <w:r>
        <w:rPr>
          <w:lang w:val="en-US"/>
        </w:rPr>
        <w:drawing>
          <wp:inline distT="0" distB="0" distL="0" distR="0">
            <wp:extent cx="5570855" cy="2322195"/>
            <wp:effectExtent l="0" t="0" r="0" b="0"/>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203"/>
        <w:spacing w:before="156" w:after="156"/>
        <w:rPr>
          <w:rFonts w:hint="eastAsia"/>
          <w:color w:val="4F81BD" w:themeColor="accent1"/>
          <w14:textFill>
            <w14:solidFill>
              <w14:schemeClr w14:val="accent1"/>
            </w14:solidFill>
          </w14:textFill>
        </w:rPr>
      </w:pPr>
      <w:bookmarkStart w:id="138" w:name="_Toc55912384"/>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10</w:t>
      </w:r>
      <w:r>
        <w:rPr>
          <w:rFonts w:hint="eastAsia"/>
        </w:rPr>
        <w:fldChar w:fldCharType="end"/>
      </w:r>
      <w:r>
        <w:rPr>
          <w:highlight w:val="none"/>
        </w:rPr>
        <w:t xml:space="preserve">  2021届毕业生</w:t>
      </w:r>
      <w:bookmarkEnd w:id="138"/>
      <w:r>
        <w:rPr>
          <w:rFonts w:hint="eastAsia"/>
          <w:highlight w:val="none"/>
        </w:rPr>
        <w:t>生社会保障情况</w:t>
      </w:r>
    </w:p>
    <w:p>
      <w:pPr>
        <w:pStyle w:val="142"/>
        <w:pBdr>
          <w:top w:val="none" w:color="auto" w:sz="0" w:space="0"/>
          <w:left w:val="none" w:color="auto" w:sz="0" w:space="0"/>
          <w:bottom w:val="none" w:color="auto" w:sz="0" w:space="0"/>
          <w:right w:val="none" w:color="auto" w:sz="0" w:space="0"/>
        </w:pBdr>
        <w:rPr>
          <w:color w:val="4F81BD" w:themeColor="accent1"/>
          <w14:textFill>
            <w14:solidFill>
              <w14:schemeClr w14:val="accent1"/>
            </w14:solidFill>
          </w14:textFill>
        </w:rPr>
      </w:pPr>
      <w:bookmarkStart w:id="139" w:name="_Toc510565739"/>
      <w:r>
        <w:rPr>
          <w:rFonts w:hint="eastAsia"/>
          <w:color w:val="4F81BD" w:themeColor="accent1"/>
          <w:lang w:val="en-US" w:eastAsia="zh-Hans"/>
          <w14:textFill>
            <w14:solidFill>
              <w14:schemeClr w14:val="accent1"/>
            </w14:solidFill>
          </w14:textFill>
        </w:rPr>
        <w:t>四</w:t>
      </w:r>
      <w:r>
        <w:rPr>
          <w:rFonts w:hint="eastAsia"/>
          <w:color w:val="4F81BD" w:themeColor="accent1"/>
          <w14:textFill>
            <w14:solidFill>
              <w14:schemeClr w14:val="accent1"/>
            </w14:solidFill>
          </w14:textFill>
        </w:rPr>
        <w:t>、</w:t>
      </w:r>
      <w:bookmarkEnd w:id="130"/>
      <w:r>
        <w:rPr>
          <w:rFonts w:hint="eastAsia"/>
          <w:color w:val="4F81BD" w:themeColor="accent1"/>
          <w:lang w:val="en-US" w:eastAsia="zh-Hans"/>
          <w14:textFill>
            <w14:solidFill>
              <w14:schemeClr w14:val="accent1"/>
            </w14:solidFill>
          </w14:textFill>
        </w:rPr>
        <w:t>就业发展</w:t>
      </w:r>
      <w:bookmarkEnd w:id="139"/>
    </w:p>
    <w:p>
      <w:pPr>
        <w:spacing w:line="360" w:lineRule="auto"/>
        <w:ind w:firstLine="480" w:firstLineChars="200"/>
        <w:jc w:val="both"/>
        <w:rPr>
          <w:rStyle w:val="114"/>
          <w:lang w:val="zh-CN"/>
        </w:rPr>
      </w:pPr>
      <w:bookmarkStart w:id="140" w:name="_Toc55912658"/>
      <w:r>
        <w:rPr>
          <w:rFonts w:hint="eastAsia" w:ascii="宋体" w:hAnsi="宋体"/>
          <w:b/>
          <w:color w:val="4F81BD" w:themeColor="accent1"/>
          <w:sz w:val="24"/>
          <w:szCs w:val="24"/>
          <w:lang w:val="zh-CN"/>
          <w14:textFill>
            <w14:solidFill>
              <w14:schemeClr w14:val="accent1"/>
            </w14:solidFill>
          </w14:textFill>
        </w:rPr>
        <w:t>总体</w:t>
      </w:r>
      <w:r>
        <w:rPr>
          <w:rFonts w:hint="eastAsia" w:ascii="宋体" w:hAnsi="宋体"/>
          <w:b/>
          <w:color w:val="4F81BD" w:themeColor="accent1"/>
          <w:sz w:val="24"/>
          <w:szCs w:val="24"/>
          <w:lang w:val="en-US" w:eastAsia="zh-Hans"/>
          <w14:textFill>
            <w14:solidFill>
              <w14:schemeClr w14:val="accent1"/>
            </w14:solidFill>
          </w14:textFill>
        </w:rPr>
        <w:t>就业单位稳定性</w:t>
      </w:r>
      <w:r>
        <w:rPr>
          <w:rFonts w:hint="eastAsia" w:ascii="宋体" w:hAnsi="宋体"/>
          <w:b/>
          <w:color w:val="4F81BD" w:themeColor="accent1"/>
          <w:sz w:val="24"/>
          <w:szCs w:val="24"/>
          <w:lang w:val="zh-CN"/>
          <w14:textFill>
            <w14:solidFill>
              <w14:schemeClr w14:val="accent1"/>
            </w14:solidFill>
          </w14:textFill>
        </w:rPr>
        <w:t>：</w:t>
      </w:r>
      <w:r>
        <w:rPr>
          <w:rStyle w:val="114"/>
          <w:rFonts w:hint="default"/>
        </w:rPr>
        <w:t>2021</w:t>
      </w:r>
      <w:r>
        <w:rPr>
          <w:rStyle w:val="114"/>
          <w:rFonts w:hint="eastAsia"/>
          <w:lang w:val="en-US" w:eastAsia="zh-Hans"/>
        </w:rPr>
        <w:t>届</w:t>
      </w:r>
      <w:r>
        <w:rPr>
          <w:rStyle w:val="114"/>
          <w:rFonts w:hint="default"/>
          <w:lang w:eastAsia="zh-Hans"/>
        </w:rPr>
        <w:t>毕业生从事工作</w:t>
      </w:r>
      <w:r>
        <w:rPr>
          <w:rStyle w:val="114"/>
          <w:rFonts w:hint="eastAsia"/>
          <w:lang w:val="en-US" w:eastAsia="zh-Hans"/>
        </w:rPr>
        <w:t>的单位稳定性为80.38%</w:t>
      </w:r>
      <w:r>
        <w:rPr>
          <w:rStyle w:val="114"/>
          <w:rFonts w:hint="default" w:ascii="Times New Roman"/>
          <w:lang w:eastAsia="zh-Hans"/>
        </w:rPr>
        <w:t>，</w:t>
      </w:r>
      <w:r>
        <w:rPr>
          <w:rStyle w:val="114"/>
          <w:rFonts w:hint="eastAsia" w:ascii="Times New Roman"/>
          <w:lang w:val="en-US" w:eastAsia="zh-Hans"/>
        </w:rPr>
        <w:t>其中“</w:t>
      </w:r>
      <w:r>
        <w:rPr>
          <w:rStyle w:val="114"/>
          <w:rFonts w:hint="default" w:ascii="Times New Roman"/>
          <w:lang w:eastAsia="zh-Hans"/>
        </w:rPr>
        <w:t>非常稳定</w:t>
      </w:r>
      <w:r>
        <w:rPr>
          <w:rStyle w:val="114"/>
          <w:rFonts w:hint="eastAsia" w:ascii="Times New Roman"/>
          <w:lang w:eastAsia="zh-Hans"/>
        </w:rPr>
        <w:t>”</w:t>
      </w:r>
      <w:r>
        <w:rPr>
          <w:rStyle w:val="114"/>
          <w:rFonts w:hint="eastAsia" w:ascii="Times New Roman"/>
          <w:lang w:val="en-US" w:eastAsia="zh-Hans"/>
        </w:rPr>
        <w:t>占比</w:t>
      </w:r>
      <w:r>
        <w:rPr>
          <w:rStyle w:val="114"/>
          <w:rFonts w:hint="default" w:ascii="Times New Roman"/>
          <w:lang w:eastAsia="zh-Hans"/>
        </w:rPr>
        <w:t>12.68%，</w:t>
      </w:r>
      <w:r>
        <w:rPr>
          <w:rStyle w:val="114"/>
          <w:rFonts w:hint="eastAsia" w:ascii="Times New Roman"/>
          <w:lang w:eastAsia="zh-Hans"/>
        </w:rPr>
        <w:t>“</w:t>
      </w:r>
      <w:r>
        <w:rPr>
          <w:rStyle w:val="114"/>
          <w:rFonts w:hint="default" w:ascii="Times New Roman"/>
          <w:lang w:eastAsia="zh-Hans"/>
        </w:rPr>
        <w:t>稳定</w:t>
      </w:r>
      <w:r>
        <w:rPr>
          <w:rStyle w:val="114"/>
          <w:rFonts w:hint="eastAsia" w:ascii="Times New Roman"/>
          <w:lang w:eastAsia="zh-Hans"/>
        </w:rPr>
        <w:t>”</w:t>
      </w:r>
      <w:r>
        <w:rPr>
          <w:rStyle w:val="114"/>
          <w:rFonts w:hint="eastAsia" w:ascii="Times New Roman"/>
          <w:lang w:val="en-US" w:eastAsia="zh-Hans"/>
        </w:rPr>
        <w:t>占比</w:t>
      </w:r>
      <w:r>
        <w:rPr>
          <w:rStyle w:val="114"/>
          <w:rFonts w:hint="default" w:ascii="Times New Roman"/>
          <w:lang w:eastAsia="zh-Hans"/>
        </w:rPr>
        <w:t>23.68%，</w:t>
      </w:r>
      <w:r>
        <w:rPr>
          <w:rStyle w:val="114"/>
          <w:rFonts w:hint="eastAsia" w:ascii="Times New Roman"/>
          <w:lang w:eastAsia="zh-Hans"/>
        </w:rPr>
        <w:t>“</w:t>
      </w:r>
      <w:r>
        <w:rPr>
          <w:rStyle w:val="114"/>
          <w:rFonts w:hint="default" w:ascii="Times New Roman"/>
          <w:lang w:eastAsia="zh-Hans"/>
        </w:rPr>
        <w:t>比较稳定</w:t>
      </w:r>
      <w:r>
        <w:rPr>
          <w:rStyle w:val="114"/>
          <w:rFonts w:hint="eastAsia" w:ascii="Times New Roman"/>
          <w:lang w:eastAsia="zh-Hans"/>
        </w:rPr>
        <w:t>”</w:t>
      </w:r>
      <w:r>
        <w:rPr>
          <w:rStyle w:val="114"/>
          <w:rFonts w:hint="eastAsia" w:ascii="Times New Roman"/>
          <w:lang w:val="en-US" w:eastAsia="zh-Hans"/>
        </w:rPr>
        <w:t>占比</w:t>
      </w:r>
      <w:r>
        <w:rPr>
          <w:rStyle w:val="114"/>
          <w:rFonts w:hint="default" w:ascii="Times New Roman"/>
          <w:lang w:eastAsia="zh-Hans"/>
        </w:rPr>
        <w:t>44.02%。</w:t>
      </w:r>
    </w:p>
    <w:p>
      <w:pPr>
        <w:spacing w:line="360" w:lineRule="auto"/>
        <w:jc w:val="center"/>
        <w:rPr>
          <w:color w:val="4BACC6" w:themeColor="accent5"/>
          <w:highlight w:val="green"/>
          <w14:textFill>
            <w14:solidFill>
              <w14:schemeClr w14:val="accent5"/>
            </w14:solidFill>
          </w14:textFill>
        </w:rPr>
      </w:pPr>
      <w:r>
        <w:rPr>
          <w:color w:val="DCE6F2" w:themeColor="accent1" w:themeTint="33"/>
          <w14:textFill>
            <w14:solidFill>
              <w14:schemeClr w14:val="accent1">
                <w14:lumMod w14:val="20000"/>
                <w14:lumOff w14:val="80000"/>
              </w14:schemeClr>
            </w14:solidFill>
          </w14:textFill>
        </w:rPr>
        <w:drawing>
          <wp:inline distT="0" distB="0" distL="0" distR="0">
            <wp:extent cx="5742305" cy="2636520"/>
            <wp:effectExtent l="0" t="0" r="23495" b="5080"/>
            <wp:docPr id="3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11</w:t>
      </w:r>
      <w:r>
        <w:rPr>
          <w:rFonts w:hint="eastAsia"/>
        </w:rPr>
        <w:fldChar w:fldCharType="end"/>
      </w:r>
      <w:r>
        <w:t xml:space="preserve">  2021届毕业生</w:t>
      </w:r>
      <w:r>
        <w:rPr>
          <w:rFonts w:hint="eastAsia"/>
          <w:lang w:val="en-US" w:eastAsia="zh-Hans"/>
        </w:rPr>
        <w:t>就业单位稳定性</w:t>
      </w:r>
      <w:r>
        <w:rPr>
          <w:rFonts w:hint="eastAsia"/>
        </w:rPr>
        <w:t>分布</w:t>
      </w:r>
    </w:p>
    <w:p>
      <w:pPr>
        <w:spacing w:line="360" w:lineRule="auto"/>
        <w:ind w:firstLine="480" w:firstLineChars="200"/>
        <w:jc w:val="both"/>
        <w:rPr>
          <w:rStyle w:val="114"/>
          <w:lang w:val="zh-CN"/>
        </w:rPr>
      </w:pPr>
      <w:r>
        <w:rPr>
          <w:rFonts w:hint="eastAsia" w:ascii="宋体" w:hAnsi="宋体"/>
          <w:b/>
          <w:color w:val="4F81BD" w:themeColor="accent1"/>
          <w:sz w:val="24"/>
          <w:szCs w:val="24"/>
          <w:lang w:val="zh-CN"/>
          <w14:textFill>
            <w14:solidFill>
              <w14:schemeClr w14:val="accent1"/>
            </w14:solidFill>
          </w14:textFill>
        </w:rPr>
        <w:t>总体</w:t>
      </w:r>
      <w:r>
        <w:rPr>
          <w:rFonts w:hint="eastAsia" w:ascii="宋体" w:hAnsi="宋体"/>
          <w:b/>
          <w:color w:val="4F81BD" w:themeColor="accent1"/>
          <w:sz w:val="24"/>
          <w:szCs w:val="24"/>
          <w:lang w:val="en-US" w:eastAsia="zh-Hans"/>
          <w14:textFill>
            <w14:solidFill>
              <w14:schemeClr w14:val="accent1"/>
            </w14:solidFill>
          </w14:textFill>
        </w:rPr>
        <w:t>对用人单位的满意度</w:t>
      </w:r>
      <w:r>
        <w:rPr>
          <w:rFonts w:hint="eastAsia" w:ascii="宋体" w:hAnsi="宋体"/>
          <w:b/>
          <w:color w:val="4F81BD" w:themeColor="accent1"/>
          <w:sz w:val="24"/>
          <w:szCs w:val="24"/>
          <w:lang w:val="zh-CN"/>
          <w14:textFill>
            <w14:solidFill>
              <w14:schemeClr w14:val="accent1"/>
            </w14:solidFill>
          </w14:textFill>
        </w:rPr>
        <w:t>：</w:t>
      </w:r>
      <w:r>
        <w:rPr>
          <w:rStyle w:val="137"/>
          <w:rFonts w:hint="default"/>
        </w:rPr>
        <w:t>2021</w:t>
      </w:r>
      <w:r>
        <w:rPr>
          <w:rStyle w:val="137"/>
          <w:rFonts w:hint="eastAsia"/>
          <w:lang w:val="en-US" w:eastAsia="zh-Hans"/>
        </w:rPr>
        <w:t>届</w:t>
      </w:r>
      <w:r>
        <w:rPr>
          <w:rStyle w:val="137"/>
          <w:rFonts w:hint="default"/>
          <w:lang w:eastAsia="zh-Hans"/>
        </w:rPr>
        <w:t>毕</w:t>
      </w:r>
      <w:r>
        <w:rPr>
          <w:rStyle w:val="114"/>
          <w:rFonts w:hint="default"/>
          <w:lang w:eastAsia="zh-Hans"/>
        </w:rPr>
        <w:t>业生</w:t>
      </w:r>
      <w:r>
        <w:rPr>
          <w:rStyle w:val="114"/>
          <w:rFonts w:hint="eastAsia"/>
          <w:lang w:val="en-US" w:eastAsia="zh-Hans"/>
        </w:rPr>
        <w:t>对</w:t>
      </w:r>
      <w:r>
        <w:rPr>
          <w:rStyle w:val="114"/>
          <w:rFonts w:hint="default"/>
          <w:lang w:eastAsia="zh-Hans"/>
        </w:rPr>
        <w:t>从事工作</w:t>
      </w:r>
      <w:r>
        <w:rPr>
          <w:rStyle w:val="114"/>
          <w:rFonts w:hint="eastAsia"/>
          <w:lang w:val="en-US" w:eastAsia="zh-Hans"/>
        </w:rPr>
        <w:t>单位的满意度为86.36%</w:t>
      </w:r>
      <w:r>
        <w:rPr>
          <w:rStyle w:val="114"/>
          <w:rFonts w:hint="default" w:ascii="Times New Roman"/>
          <w:lang w:eastAsia="zh-Hans"/>
        </w:rPr>
        <w:t>，</w:t>
      </w:r>
      <w:r>
        <w:rPr>
          <w:rStyle w:val="114"/>
          <w:rFonts w:hint="eastAsia" w:ascii="Times New Roman"/>
          <w:lang w:val="en-US" w:eastAsia="zh-Hans"/>
        </w:rPr>
        <w:t>其中“</w:t>
      </w:r>
      <w:r>
        <w:rPr>
          <w:rStyle w:val="114"/>
          <w:rFonts w:hint="default" w:ascii="Times New Roman"/>
          <w:lang w:eastAsia="zh-Hans"/>
        </w:rPr>
        <w:t>非常满意</w:t>
      </w:r>
      <w:r>
        <w:rPr>
          <w:rStyle w:val="114"/>
          <w:rFonts w:hint="eastAsia" w:ascii="Times New Roman"/>
          <w:lang w:eastAsia="zh-Hans"/>
        </w:rPr>
        <w:t>”</w:t>
      </w:r>
      <w:r>
        <w:rPr>
          <w:rStyle w:val="114"/>
          <w:rFonts w:hint="eastAsia" w:ascii="Times New Roman"/>
          <w:lang w:val="en-US" w:eastAsia="zh-Hans"/>
        </w:rPr>
        <w:t>占比</w:t>
      </w:r>
      <w:r>
        <w:rPr>
          <w:rStyle w:val="114"/>
          <w:rFonts w:hint="default" w:ascii="Times New Roman"/>
          <w:lang w:eastAsia="zh-Hans"/>
        </w:rPr>
        <w:t>12.92%，</w:t>
      </w:r>
      <w:r>
        <w:rPr>
          <w:rStyle w:val="114"/>
          <w:rFonts w:hint="eastAsia" w:ascii="Times New Roman"/>
          <w:lang w:eastAsia="zh-Hans"/>
        </w:rPr>
        <w:t>“</w:t>
      </w:r>
      <w:r>
        <w:rPr>
          <w:rStyle w:val="114"/>
          <w:rFonts w:hint="default" w:ascii="Times New Roman"/>
          <w:lang w:eastAsia="zh-Hans"/>
        </w:rPr>
        <w:t>比较满意</w:t>
      </w:r>
      <w:r>
        <w:rPr>
          <w:rStyle w:val="114"/>
          <w:rFonts w:hint="eastAsia" w:ascii="Times New Roman"/>
          <w:lang w:eastAsia="zh-Hans"/>
        </w:rPr>
        <w:t>”</w:t>
      </w:r>
      <w:r>
        <w:rPr>
          <w:rStyle w:val="114"/>
          <w:rFonts w:hint="eastAsia" w:ascii="Times New Roman"/>
          <w:lang w:val="en-US" w:eastAsia="zh-Hans"/>
        </w:rPr>
        <w:t>占比</w:t>
      </w:r>
      <w:r>
        <w:rPr>
          <w:rStyle w:val="114"/>
          <w:rFonts w:hint="default" w:ascii="Times New Roman"/>
          <w:lang w:eastAsia="zh-Hans"/>
        </w:rPr>
        <w:t>43.54%，</w:t>
      </w:r>
      <w:r>
        <w:rPr>
          <w:rStyle w:val="114"/>
          <w:rFonts w:hint="eastAsia" w:ascii="Times New Roman"/>
          <w:lang w:eastAsia="zh-Hans"/>
        </w:rPr>
        <w:t>“</w:t>
      </w:r>
      <w:r>
        <w:rPr>
          <w:rStyle w:val="114"/>
          <w:rFonts w:hint="default" w:ascii="Times New Roman"/>
          <w:lang w:eastAsia="zh-Hans"/>
        </w:rPr>
        <w:t>满意</w:t>
      </w:r>
      <w:r>
        <w:rPr>
          <w:rStyle w:val="114"/>
          <w:rFonts w:hint="eastAsia" w:ascii="Times New Roman"/>
          <w:lang w:eastAsia="zh-Hans"/>
        </w:rPr>
        <w:t>”</w:t>
      </w:r>
      <w:r>
        <w:rPr>
          <w:rStyle w:val="114"/>
          <w:rFonts w:hint="eastAsia" w:ascii="Times New Roman"/>
          <w:lang w:val="en-US" w:eastAsia="zh-Hans"/>
        </w:rPr>
        <w:t>占比</w:t>
      </w:r>
      <w:r>
        <w:rPr>
          <w:rStyle w:val="114"/>
          <w:rFonts w:hint="default" w:ascii="Times New Roman"/>
          <w:lang w:eastAsia="zh-Hans"/>
        </w:rPr>
        <w:t>29.90%。</w:t>
      </w:r>
    </w:p>
    <w:p>
      <w:pPr>
        <w:spacing w:line="360" w:lineRule="auto"/>
        <w:jc w:val="center"/>
        <w:rPr>
          <w:color w:val="4BACC6" w:themeColor="accent5"/>
          <w:highlight w:val="green"/>
          <w14:textFill>
            <w14:solidFill>
              <w14:schemeClr w14:val="accent5"/>
            </w14:solidFill>
          </w14:textFill>
        </w:rPr>
      </w:pPr>
      <w:r>
        <w:rPr>
          <w:color w:val="DCE6F2" w:themeColor="accent1" w:themeTint="33"/>
          <w14:textFill>
            <w14:solidFill>
              <w14:schemeClr w14:val="accent1">
                <w14:lumMod w14:val="20000"/>
                <w14:lumOff w14:val="80000"/>
              </w14:schemeClr>
            </w14:solidFill>
          </w14:textFill>
        </w:rPr>
        <w:drawing>
          <wp:inline distT="0" distB="0" distL="0" distR="0">
            <wp:extent cx="5926455" cy="2720975"/>
            <wp:effectExtent l="0" t="0" r="17145" b="22225"/>
            <wp:docPr id="3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12</w:t>
      </w:r>
      <w:r>
        <w:rPr>
          <w:rFonts w:hint="eastAsia"/>
        </w:rPr>
        <w:fldChar w:fldCharType="end"/>
      </w:r>
      <w:r>
        <w:t xml:space="preserve">  2021届毕业生</w:t>
      </w:r>
      <w:r>
        <w:rPr>
          <w:rFonts w:hint="eastAsia"/>
          <w:lang w:val="en-US" w:eastAsia="zh-Hans"/>
        </w:rPr>
        <w:t>对就业单位的满意度</w:t>
      </w:r>
      <w:r>
        <w:rPr>
          <w:rFonts w:hint="eastAsia"/>
        </w:rPr>
        <w:t>分布</w:t>
      </w:r>
    </w:p>
    <w:p>
      <w:pPr>
        <w:pStyle w:val="142"/>
        <w:pBdr>
          <w:top w:val="none" w:color="auto" w:sz="0" w:space="0"/>
          <w:left w:val="none" w:color="auto" w:sz="0" w:space="0"/>
          <w:bottom w:val="none" w:color="auto" w:sz="0" w:space="0"/>
          <w:right w:val="none" w:color="auto" w:sz="0" w:space="0"/>
        </w:pBdr>
        <w:rPr>
          <w:color w:val="4F81BD" w:themeColor="accent1"/>
          <w:lang w:val="en-US"/>
          <w14:textFill>
            <w14:solidFill>
              <w14:schemeClr w14:val="accent1"/>
            </w14:solidFill>
          </w14:textFill>
        </w:rPr>
      </w:pPr>
      <w:bookmarkStart w:id="141" w:name="_Toc1881205608"/>
      <w:r>
        <w:rPr>
          <w:rFonts w:hint="eastAsia"/>
          <w:color w:val="4F81BD" w:themeColor="accent1"/>
          <w:lang w:val="en-US" w:eastAsia="zh-Hans"/>
          <w14:textFill>
            <w14:solidFill>
              <w14:schemeClr w14:val="accent1"/>
            </w14:solidFill>
          </w14:textFill>
        </w:rPr>
        <w:t>五</w:t>
      </w:r>
      <w:r>
        <w:rPr>
          <w:rFonts w:hint="eastAsia"/>
          <w:color w:val="4F81BD" w:themeColor="accent1"/>
          <w14:textFill>
            <w14:solidFill>
              <w14:schemeClr w14:val="accent1"/>
            </w14:solidFill>
          </w14:textFill>
        </w:rPr>
        <w:t>、</w:t>
      </w:r>
      <w:r>
        <w:rPr>
          <w:rFonts w:hint="eastAsia"/>
          <w:color w:val="4F81BD" w:themeColor="accent1"/>
          <w:lang w:val="en-US" w:eastAsia="zh-Hans"/>
          <w14:textFill>
            <w14:solidFill>
              <w14:schemeClr w14:val="accent1"/>
            </w14:solidFill>
          </w14:textFill>
        </w:rPr>
        <w:t>就业稳定性</w:t>
      </w:r>
      <w:bookmarkEnd w:id="141"/>
    </w:p>
    <w:p>
      <w:pPr>
        <w:pStyle w:val="136"/>
        <w:bidi w:val="0"/>
        <w:rPr>
          <w:rStyle w:val="137"/>
          <w:rFonts w:hint="eastAsia"/>
          <w:lang w:val="en-US" w:eastAsia="zh-Hans"/>
        </w:rPr>
      </w:pPr>
      <w:r>
        <w:rPr>
          <w:rFonts w:hint="eastAsia" w:ascii="宋体" w:hAnsi="宋体" w:eastAsia="宋体" w:cs="Times New Roman"/>
          <w:b/>
          <w:color w:val="4F81BD" w:themeColor="accent1"/>
          <w:sz w:val="24"/>
          <w:szCs w:val="24"/>
          <w:lang w:val="en-US" w:eastAsia="zh-Hans" w:bidi="ar-SA"/>
          <w14:textFill>
            <w14:solidFill>
              <w14:schemeClr w14:val="accent1"/>
            </w14:solidFill>
          </w14:textFill>
        </w:rPr>
        <w:t>总体离职率</w:t>
      </w:r>
      <w:r>
        <w:rPr>
          <w:rFonts w:hint="default" w:ascii="宋体" w:hAnsi="宋体" w:eastAsia="宋体" w:cs="Times New Roman"/>
          <w:b/>
          <w:color w:val="4F81BD" w:themeColor="accent1"/>
          <w:sz w:val="24"/>
          <w:szCs w:val="24"/>
          <w:lang w:eastAsia="zh-Hans" w:bidi="ar-SA"/>
          <w14:textFill>
            <w14:solidFill>
              <w14:schemeClr w14:val="accent1"/>
            </w14:solidFill>
          </w14:textFill>
        </w:rPr>
        <w:t>：</w:t>
      </w:r>
      <w:r>
        <w:rPr>
          <w:rStyle w:val="137"/>
          <w:rFonts w:hint="default"/>
          <w:lang w:eastAsia="zh-Hans"/>
        </w:rPr>
        <w:t>2021</w:t>
      </w:r>
      <w:r>
        <w:rPr>
          <w:rStyle w:val="137"/>
          <w:rFonts w:hint="eastAsia"/>
          <w:lang w:val="en-US" w:eastAsia="zh-Hans"/>
        </w:rPr>
        <w:t>届毕业生离职率为</w:t>
      </w:r>
      <w:r>
        <w:rPr>
          <w:rStyle w:val="137"/>
          <w:rFonts w:hint="default"/>
          <w:lang w:eastAsia="zh-Hans"/>
        </w:rPr>
        <w:t>42.82%，</w:t>
      </w:r>
      <w:r>
        <w:rPr>
          <w:rStyle w:val="137"/>
          <w:rFonts w:hint="eastAsia"/>
          <w:lang w:val="en-US" w:eastAsia="zh-Hans"/>
        </w:rPr>
        <w:t>就业稳定性为</w:t>
      </w:r>
      <w:r>
        <w:rPr>
          <w:rStyle w:val="137"/>
          <w:rFonts w:hint="default"/>
          <w:lang w:eastAsia="zh-Hans"/>
        </w:rPr>
        <w:t>57.18%。</w:t>
      </w:r>
    </w:p>
    <w:p>
      <w:pPr>
        <w:pStyle w:val="136"/>
        <w:bidi w:val="0"/>
      </w:pPr>
      <w:r>
        <w:drawing>
          <wp:inline distT="0" distB="0" distL="0" distR="0">
            <wp:extent cx="4429125" cy="2212975"/>
            <wp:effectExtent l="6350" t="6350" r="9525" b="1587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13</w:t>
      </w:r>
      <w:r>
        <w:rPr>
          <w:rFonts w:hint="eastAsia"/>
        </w:rPr>
        <w:fldChar w:fldCharType="end"/>
      </w:r>
      <w:r>
        <w:t xml:space="preserve">   2021届毕业生</w:t>
      </w:r>
      <w:r>
        <w:rPr>
          <w:rFonts w:hint="eastAsia"/>
          <w:lang w:val="en-US" w:eastAsia="zh-Hans"/>
        </w:rPr>
        <w:t>就业稳定性</w:t>
      </w:r>
      <w:r>
        <w:rPr>
          <w:rFonts w:hint="eastAsia"/>
        </w:rPr>
        <w:t>分布</w:t>
      </w:r>
    </w:p>
    <w:p>
      <w:pPr>
        <w:pStyle w:val="136"/>
        <w:bidi w:val="0"/>
        <w:rPr>
          <w:rFonts w:hint="eastAsia"/>
          <w:lang w:val="en-US" w:eastAsia="zh-Hans"/>
        </w:rPr>
      </w:pPr>
      <w:r>
        <w:rPr>
          <w:rFonts w:hint="eastAsia" w:ascii="宋体" w:hAnsi="宋体" w:eastAsia="宋体" w:cs="Times New Roman"/>
          <w:b/>
          <w:color w:val="4F81BD" w:themeColor="accent1"/>
          <w:sz w:val="24"/>
          <w:szCs w:val="24"/>
          <w:lang w:val="en-US" w:eastAsia="zh-Hans" w:bidi="ar-SA"/>
          <w14:textFill>
            <w14:solidFill>
              <w14:schemeClr w14:val="accent1"/>
            </w14:solidFill>
          </w14:textFill>
        </w:rPr>
        <w:t>离职原因</w:t>
      </w:r>
      <w:r>
        <w:rPr>
          <w:rFonts w:hint="default" w:ascii="宋体" w:hAnsi="宋体" w:eastAsia="宋体" w:cs="Times New Roman"/>
          <w:b/>
          <w:color w:val="4F81BD" w:themeColor="accent1"/>
          <w:sz w:val="24"/>
          <w:szCs w:val="24"/>
          <w:lang w:eastAsia="zh-Hans" w:bidi="ar-SA"/>
          <w14:textFill>
            <w14:solidFill>
              <w14:schemeClr w14:val="accent1"/>
            </w14:solidFill>
          </w14:textFill>
        </w:rPr>
        <w:t>：</w:t>
      </w:r>
      <w:r>
        <w:rPr>
          <w:rFonts w:hint="eastAsia"/>
          <w:lang w:val="zh-CN"/>
        </w:rPr>
        <w:t>学校2021届毕业生</w:t>
      </w:r>
      <w:r>
        <w:rPr>
          <w:rFonts w:hint="eastAsia"/>
          <w:lang w:val="en-US" w:eastAsia="zh-Hans"/>
        </w:rPr>
        <w:t>中</w:t>
      </w:r>
      <w:r>
        <w:rPr>
          <w:rFonts w:hint="default"/>
          <w:lang w:eastAsia="zh-Hans"/>
        </w:rPr>
        <w:t>，</w:t>
      </w:r>
      <w:r>
        <w:rPr>
          <w:rFonts w:hint="eastAsia"/>
          <w:lang w:val="en-US" w:eastAsia="zh-Hans"/>
        </w:rPr>
        <w:t>离职的主要原因是薪资福利差</w:t>
      </w:r>
      <w:r>
        <w:rPr>
          <w:rFonts w:hint="default"/>
          <w:lang w:eastAsia="zh-Hans"/>
        </w:rPr>
        <w:t>（18.44%）。</w:t>
      </w:r>
    </w:p>
    <w:p>
      <w:pPr>
        <w:pStyle w:val="119"/>
        <w:ind w:firstLine="360"/>
        <w:rPr>
          <w:color w:val="4F81BD" w:themeColor="accent1"/>
          <w14:textFill>
            <w14:solidFill>
              <w14:schemeClr w14:val="accent1"/>
            </w14:solidFill>
          </w14:textFill>
        </w:rPr>
      </w:pPr>
      <w:r>
        <w:rPr>
          <w:rFonts w:hint="eastAsia" w:ascii="宋体" w:hAnsi="宋体"/>
          <w:b/>
          <w:color w:val="4F81BD" w:themeColor="accent1"/>
          <w:sz w:val="24"/>
          <w:szCs w:val="24"/>
          <w:lang w:val="zh-CN"/>
          <w14:textFill>
            <w14:solidFill>
              <w14:schemeClr w14:val="accent1"/>
            </w14:solidFill>
          </w14:textFill>
        </w:rPr>
        <w:drawing>
          <wp:inline distT="0" distB="0" distL="0" distR="0">
            <wp:extent cx="5339715" cy="298069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default" w:eastAsia="宋体"/>
        </w:rPr>
        <w:t>6</w:t>
      </w:r>
      <w:r>
        <w:rPr>
          <w:rFonts w:hint="eastAsia"/>
        </w:rPr>
        <w:t xml:space="preserve">- </w:t>
      </w:r>
      <w:r>
        <w:rPr>
          <w:rFonts w:hint="eastAsia"/>
        </w:rPr>
        <w:fldChar w:fldCharType="begin"/>
      </w:r>
      <w:r>
        <w:rPr>
          <w:rFonts w:hint="eastAsia"/>
        </w:rPr>
        <w:instrText xml:space="preserve"> SEQ 图6- </w:instrText>
      </w:r>
      <w:r>
        <w:rPr>
          <w:rFonts w:hint="eastAsia"/>
        </w:rPr>
        <w:fldChar w:fldCharType="separate"/>
      </w:r>
      <w:r>
        <w:rPr>
          <w:rFonts w:hint="eastAsia"/>
        </w:rPr>
        <w:t>14</w:t>
      </w:r>
      <w:r>
        <w:rPr>
          <w:rFonts w:hint="eastAsia"/>
        </w:rPr>
        <w:fldChar w:fldCharType="end"/>
      </w:r>
      <w:r>
        <w:t xml:space="preserve">  2021届毕业生</w:t>
      </w:r>
      <w:r>
        <w:rPr>
          <w:rFonts w:hint="eastAsia"/>
          <w:lang w:val="en-US" w:eastAsia="zh-Hans"/>
        </w:rPr>
        <w:t>离职原因</w:t>
      </w:r>
      <w:r>
        <w:rPr>
          <w:rFonts w:hint="eastAsia"/>
        </w:rPr>
        <w:t>分布</w:t>
      </w:r>
    </w:p>
    <w:p>
      <w:pPr>
        <w:rPr>
          <w:rFonts w:hint="eastAsia"/>
          <w:color w:val="4F81BD" w:themeColor="accent1"/>
          <w14:textFill>
            <w14:solidFill>
              <w14:schemeClr w14:val="accent1"/>
            </w14:solidFill>
          </w14:textFill>
        </w:rPr>
        <w:sectPr>
          <w:pgSz w:w="11907" w:h="16160"/>
          <w:pgMar w:top="1418" w:right="1418" w:bottom="1418" w:left="1701" w:header="850" w:footer="397"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color w:val="4F81BD" w:themeColor="accent1"/>
          <w14:textFill>
            <w14:solidFill>
              <w14:schemeClr w14:val="accent1"/>
            </w14:solidFill>
          </w14:textFill>
        </w:rPr>
        <w:br w:type="page"/>
      </w:r>
      <w:bookmarkEnd w:id="115"/>
      <w:bookmarkEnd w:id="116"/>
      <w:bookmarkEnd w:id="117"/>
      <w:bookmarkEnd w:id="140"/>
      <w:bookmarkStart w:id="142" w:name="_Toc55912659"/>
      <w:bookmarkStart w:id="143" w:name="_Toc16673841"/>
    </w:p>
    <w:p>
      <w:pPr>
        <w:pStyle w:val="88"/>
        <w:numPr>
          <w:ilvl w:val="0"/>
          <w:numId w:val="2"/>
        </w:numPr>
        <w:bidi w:val="0"/>
      </w:pPr>
      <w:bookmarkStart w:id="144" w:name="_Toc20918875"/>
      <w:r>
        <w:rPr>
          <w:rFonts w:hint="eastAsia"/>
          <w:lang w:val="en-US" w:eastAsia="zh-Hans"/>
        </w:rPr>
        <w:t>毕业生就业相关</w:t>
      </w:r>
      <w:r>
        <w:t>分析</w:t>
      </w:r>
      <w:bookmarkEnd w:id="144"/>
    </w:p>
    <w:p>
      <w:pPr>
        <w:pStyle w:val="136"/>
        <w:bidi w:val="0"/>
      </w:pPr>
      <w:r>
        <w:rPr>
          <w:rFonts w:hint="eastAsia"/>
        </w:rPr>
        <w:t>本部分数据来源于“</w:t>
      </w:r>
      <w:r>
        <w:rPr>
          <w:rFonts w:hint="eastAsia"/>
          <w:lang w:val="en-US" w:eastAsia="zh-Hans"/>
        </w:rPr>
        <w:t>铜仁学院</w:t>
      </w:r>
      <w:r>
        <w:rPr>
          <w:rFonts w:hint="eastAsia"/>
        </w:rPr>
        <w:t xml:space="preserve"> 2021 届毕业生就业质量调研问卷”。毕业生就业</w:t>
      </w:r>
      <w:r>
        <w:rPr>
          <w:rFonts w:hint="eastAsia"/>
          <w:lang w:val="en-US" w:eastAsia="zh-Hans"/>
        </w:rPr>
        <w:t>相关</w:t>
      </w:r>
      <w:r>
        <w:rPr>
          <w:rFonts w:hint="eastAsia"/>
        </w:rPr>
        <w:t>分析主要从</w:t>
      </w:r>
      <w:r>
        <w:rPr>
          <w:rFonts w:hint="eastAsia"/>
          <w:lang w:val="en-US" w:eastAsia="zh-Hans"/>
        </w:rPr>
        <w:t>求职行为</w:t>
      </w:r>
      <w:r>
        <w:rPr>
          <w:rFonts w:hint="default"/>
          <w:lang w:eastAsia="zh-Hans"/>
        </w:rPr>
        <w:t>，</w:t>
      </w:r>
      <w:r>
        <w:rPr>
          <w:rFonts w:hint="eastAsia"/>
          <w:lang w:val="en-US" w:eastAsia="zh-Hans"/>
        </w:rPr>
        <w:t>继续深造</w:t>
      </w:r>
      <w:r>
        <w:rPr>
          <w:rFonts w:hint="default"/>
          <w:lang w:eastAsia="zh-Hans"/>
        </w:rPr>
        <w:t>，</w:t>
      </w:r>
      <w:r>
        <w:rPr>
          <w:rFonts w:hint="eastAsia"/>
          <w:lang w:val="en-US" w:eastAsia="zh-Hans"/>
        </w:rPr>
        <w:t>自主创业三</w:t>
      </w:r>
      <w:r>
        <w:rPr>
          <w:rFonts w:hint="eastAsia"/>
        </w:rPr>
        <w:t>个方面展开。</w:t>
      </w:r>
    </w:p>
    <w:p>
      <w:pPr>
        <w:pStyle w:val="142"/>
        <w:bidi w:val="0"/>
        <w:rPr>
          <w:rFonts w:hint="eastAsia"/>
        </w:rPr>
      </w:pPr>
      <w:bookmarkStart w:id="145" w:name="_Toc1543697664"/>
      <w:r>
        <w:rPr>
          <w:rFonts w:hint="eastAsia"/>
        </w:rPr>
        <w:t>一、求职行为分析</w:t>
      </w:r>
      <w:bookmarkEnd w:id="145"/>
    </w:p>
    <w:p>
      <w:pPr>
        <w:pStyle w:val="152"/>
        <w:bidi w:val="0"/>
        <w:rPr>
          <w:rFonts w:hint="eastAsia"/>
        </w:rPr>
      </w:pPr>
      <w:bookmarkStart w:id="146" w:name="_Toc1176699441"/>
      <w:r>
        <w:rPr>
          <w:rFonts w:hint="eastAsia"/>
        </w:rPr>
        <w:t>（一）</w:t>
      </w:r>
      <w:r>
        <w:rPr>
          <w:rFonts w:hint="eastAsia"/>
          <w:lang w:val="en-US" w:eastAsia="zh-Hans"/>
        </w:rPr>
        <w:t>已就业毕业生求职行为分析</w:t>
      </w:r>
      <w:bookmarkEnd w:id="146"/>
    </w:p>
    <w:p>
      <w:pPr>
        <w:pStyle w:val="136"/>
        <w:bidi w:val="0"/>
        <w:rPr>
          <w:rStyle w:val="200"/>
          <w:rFonts w:hint="eastAsia"/>
        </w:rPr>
      </w:pPr>
      <w:r>
        <w:rPr>
          <w:rFonts w:hint="eastAsia" w:ascii="宋体" w:hAnsi="宋体" w:eastAsia="宋体" w:cs="Times New Roman"/>
          <w:b/>
          <w:color w:val="4F81BD" w:themeColor="accent1"/>
          <w:sz w:val="24"/>
          <w:szCs w:val="24"/>
          <w:lang w:val="en-US" w:eastAsia="zh-Hans" w:bidi="ar-SA"/>
          <w14:textFill>
            <w14:solidFill>
              <w14:schemeClr w14:val="accent1"/>
            </w14:solidFill>
          </w14:textFill>
        </w:rPr>
        <w:t>求职途径</w:t>
      </w:r>
      <w:r>
        <w:rPr>
          <w:rFonts w:hint="default" w:ascii="宋体" w:hAnsi="宋体" w:eastAsia="宋体" w:cs="Times New Roman"/>
          <w:b/>
          <w:color w:val="4F81BD" w:themeColor="accent1"/>
          <w:sz w:val="24"/>
          <w:szCs w:val="24"/>
          <w:lang w:eastAsia="zh-Hans" w:bidi="ar-SA"/>
          <w14:textFill>
            <w14:solidFill>
              <w14:schemeClr w14:val="accent1"/>
            </w14:solidFill>
          </w14:textFill>
        </w:rPr>
        <w:t>：</w:t>
      </w:r>
      <w:r>
        <w:rPr>
          <w:rStyle w:val="200"/>
          <w:rFonts w:hint="eastAsia"/>
          <w:lang w:val="en-US" w:eastAsia="zh-Hans"/>
        </w:rPr>
        <w:t>学校</w:t>
      </w:r>
      <w:r>
        <w:rPr>
          <w:rStyle w:val="200"/>
          <w:rFonts w:hint="default"/>
          <w:lang w:eastAsia="zh-Hans"/>
        </w:rPr>
        <w:t>2021</w:t>
      </w:r>
      <w:r>
        <w:rPr>
          <w:rStyle w:val="200"/>
          <w:rFonts w:hint="eastAsia"/>
          <w:lang w:val="en-US" w:eastAsia="zh-Hans"/>
        </w:rPr>
        <w:t>届</w:t>
      </w:r>
      <w:r>
        <w:rPr>
          <w:rStyle w:val="200"/>
          <w:rFonts w:hint="eastAsia"/>
        </w:rPr>
        <w:t>毕业生获得当前工作的途径主要为</w:t>
      </w:r>
      <w:r>
        <w:rPr>
          <w:rStyle w:val="200"/>
          <w:rFonts w:hint="eastAsia"/>
          <w:lang w:eastAsia="zh-Hans"/>
        </w:rPr>
        <w:t>“</w:t>
      </w:r>
      <w:r>
        <w:rPr>
          <w:rStyle w:val="200"/>
          <w:rFonts w:hint="eastAsia"/>
        </w:rPr>
        <w:t>自己直接联系应聘(参加社会公考、求职网站、直接联系单位)</w:t>
      </w:r>
      <w:r>
        <w:rPr>
          <w:rStyle w:val="200"/>
          <w:rFonts w:hint="eastAsia"/>
          <w:lang w:eastAsia="zh-Hans"/>
        </w:rPr>
        <w:t>”</w:t>
      </w:r>
      <w:r>
        <w:rPr>
          <w:rStyle w:val="200"/>
          <w:rFonts w:hint="eastAsia"/>
        </w:rPr>
        <w:t>61.00%</w:t>
      </w:r>
      <w:r>
        <w:rPr>
          <w:rStyle w:val="200"/>
          <w:rFonts w:hint="eastAsia"/>
          <w:lang w:val="en-US" w:eastAsia="zh-Hans"/>
        </w:rPr>
        <w:t>和“</w:t>
      </w:r>
      <w:r>
        <w:rPr>
          <w:rStyle w:val="200"/>
          <w:rFonts w:hint="eastAsia"/>
        </w:rPr>
        <w:t>母校推荐(校园招聘会、老师和校友推荐、校园网站等)</w:t>
      </w:r>
      <w:r>
        <w:rPr>
          <w:rStyle w:val="200"/>
          <w:rFonts w:hint="eastAsia"/>
          <w:lang w:eastAsia="zh-Hans"/>
        </w:rPr>
        <w:t>”</w:t>
      </w:r>
      <w:r>
        <w:rPr>
          <w:rStyle w:val="200"/>
          <w:rFonts w:hint="eastAsia"/>
        </w:rPr>
        <w:t>21.29%。</w:t>
      </w:r>
    </w:p>
    <w:p>
      <w:pPr>
        <w:pStyle w:val="136"/>
        <w:bidi w:val="0"/>
        <w:rPr>
          <w:rFonts w:hint="eastAsia" w:ascii="宋体" w:hAnsi="宋体"/>
          <w:b/>
          <w:color w:val="4F81BD" w:themeColor="accent1"/>
          <w:sz w:val="24"/>
          <w:szCs w:val="24"/>
          <w:lang w:val="zh-CN"/>
          <w14:textFill>
            <w14:solidFill>
              <w14:schemeClr w14:val="accent1"/>
            </w14:solidFill>
          </w14:textFill>
        </w:rPr>
      </w:pPr>
      <w:r>
        <w:rPr>
          <w:rFonts w:hint="eastAsia" w:ascii="宋体" w:hAnsi="宋体"/>
          <w:b/>
          <w:color w:val="4F81BD" w:themeColor="accent1"/>
          <w:sz w:val="24"/>
          <w:szCs w:val="24"/>
          <w:lang w:val="zh-CN"/>
          <w14:textFill>
            <w14:solidFill>
              <w14:schemeClr w14:val="accent1"/>
            </w14:solidFill>
          </w14:textFill>
        </w:rPr>
        <w:drawing>
          <wp:inline distT="0" distB="0" distL="0" distR="0">
            <wp:extent cx="5382895" cy="3556635"/>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1</w:t>
      </w:r>
      <w:r>
        <w:rPr>
          <w:rFonts w:hint="eastAsia"/>
        </w:rPr>
        <w:fldChar w:fldCharType="end"/>
      </w:r>
      <w:r>
        <w:t xml:space="preserve">  2021届毕业生</w:t>
      </w:r>
      <w:r>
        <w:rPr>
          <w:rFonts w:hint="eastAsia"/>
          <w:lang w:val="en-US" w:eastAsia="zh-Hans"/>
        </w:rPr>
        <w:t>求职途径分布</w:t>
      </w:r>
    </w:p>
    <w:p>
      <w:pPr>
        <w:pStyle w:val="136"/>
        <w:bidi w:val="0"/>
        <w:rPr>
          <w:rFonts w:hint="eastAsia"/>
        </w:rPr>
      </w:pPr>
      <w:r>
        <w:rPr>
          <w:rFonts w:hint="eastAsia" w:ascii="宋体" w:hAnsi="宋体" w:eastAsia="宋体" w:cs="Times New Roman"/>
          <w:b/>
          <w:color w:val="4F81BD" w:themeColor="accent1"/>
          <w:sz w:val="24"/>
          <w:szCs w:val="24"/>
          <w:lang w:val="en-US" w:eastAsia="zh-Hans" w:bidi="ar-SA"/>
          <w14:textFill>
            <w14:solidFill>
              <w14:schemeClr w14:val="accent1"/>
            </w14:solidFill>
          </w14:textFill>
        </w:rPr>
        <w:t>求职成本</w:t>
      </w:r>
      <w:r>
        <w:rPr>
          <w:rFonts w:hint="default" w:ascii="宋体" w:hAnsi="宋体" w:eastAsia="宋体" w:cs="Times New Roman"/>
          <w:b/>
          <w:color w:val="4F81BD" w:themeColor="accent1"/>
          <w:sz w:val="24"/>
          <w:szCs w:val="24"/>
          <w:lang w:eastAsia="zh-Hans" w:bidi="ar-SA"/>
          <w14:textFill>
            <w14:solidFill>
              <w14:schemeClr w14:val="accent1"/>
            </w14:solidFill>
          </w14:textFill>
        </w:rPr>
        <w:t>：</w:t>
      </w:r>
      <w:r>
        <w:rPr>
          <w:rStyle w:val="114"/>
          <w:rFonts w:hint="eastAsia"/>
          <w:lang w:val="en-US" w:eastAsia="zh-Hans"/>
        </w:rPr>
        <w:t>学校</w:t>
      </w:r>
      <w:r>
        <w:rPr>
          <w:rStyle w:val="114"/>
          <w:rFonts w:hint="default"/>
          <w:lang w:eastAsia="zh-Hans"/>
        </w:rPr>
        <w:t>2021</w:t>
      </w:r>
      <w:r>
        <w:rPr>
          <w:rStyle w:val="200"/>
          <w:rFonts w:hint="eastAsia"/>
          <w:lang w:val="en-US" w:eastAsia="zh-Hans"/>
        </w:rPr>
        <w:t>届</w:t>
      </w:r>
      <w:r>
        <w:rPr>
          <w:rStyle w:val="200"/>
          <w:rFonts w:hint="eastAsia"/>
        </w:rPr>
        <w:t>毕</w:t>
      </w:r>
      <w:r>
        <w:rPr>
          <w:rStyle w:val="137"/>
          <w:rFonts w:hint="eastAsia"/>
        </w:rPr>
        <w:t>业生从求职准备到就业成功的花费</w:t>
      </w:r>
      <w:r>
        <w:rPr>
          <w:rStyle w:val="137"/>
          <w:rFonts w:hint="eastAsia"/>
          <w:lang w:val="en-US" w:eastAsia="zh-Hans"/>
        </w:rPr>
        <w:t>主要集中在2000元以上</w:t>
      </w:r>
      <w:r>
        <w:rPr>
          <w:rStyle w:val="137"/>
          <w:rFonts w:hint="default"/>
          <w:lang w:eastAsia="zh-Hans"/>
        </w:rPr>
        <w:t>（</w:t>
      </w:r>
      <w:r>
        <w:rPr>
          <w:rStyle w:val="137"/>
          <w:rFonts w:hint="eastAsia"/>
          <w:lang w:val="en-US" w:eastAsia="zh-Hans"/>
        </w:rPr>
        <w:t>37.80%</w:t>
      </w:r>
      <w:r>
        <w:rPr>
          <w:rStyle w:val="137"/>
          <w:rFonts w:hint="default"/>
          <w:lang w:eastAsia="zh-Hans"/>
        </w:rPr>
        <w:t>）</w:t>
      </w:r>
      <w:r>
        <w:rPr>
          <w:rStyle w:val="137"/>
          <w:rFonts w:hint="eastAsia"/>
        </w:rPr>
        <w:t>。</w:t>
      </w:r>
    </w:p>
    <w:p>
      <w:pPr>
        <w:pStyle w:val="136"/>
        <w:bidi w:val="0"/>
        <w:rPr>
          <w:rFonts w:hint="eastAsia" w:ascii="宋体" w:hAnsi="宋体"/>
          <w:b/>
          <w:color w:val="4F81BD" w:themeColor="accent1"/>
          <w:sz w:val="24"/>
          <w:szCs w:val="24"/>
          <w:lang w:val="zh-CN"/>
          <w14:textFill>
            <w14:solidFill>
              <w14:schemeClr w14:val="accent1"/>
            </w14:solidFill>
          </w14:textFill>
        </w:rPr>
      </w:pPr>
      <w:r>
        <w:drawing>
          <wp:inline distT="0" distB="0" distL="0" distR="0">
            <wp:extent cx="5492750" cy="3040380"/>
            <wp:effectExtent l="6350" t="6350" r="12700" b="2667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2</w:t>
      </w:r>
      <w:r>
        <w:rPr>
          <w:rFonts w:hint="eastAsia"/>
        </w:rPr>
        <w:fldChar w:fldCharType="end"/>
      </w:r>
      <w:r>
        <w:t xml:space="preserve">  2021届毕业生</w:t>
      </w:r>
      <w:r>
        <w:rPr>
          <w:rFonts w:hint="eastAsia"/>
          <w:lang w:val="en-US" w:eastAsia="zh-Hans"/>
        </w:rPr>
        <w:t>求职成本情况分布</w:t>
      </w:r>
    </w:p>
    <w:p>
      <w:pPr>
        <w:pStyle w:val="152"/>
        <w:bidi w:val="0"/>
        <w:rPr>
          <w:rFonts w:hint="eastAsia"/>
        </w:rPr>
      </w:pPr>
      <w:bookmarkStart w:id="147" w:name="_Toc610599664"/>
      <w:r>
        <w:rPr>
          <w:rFonts w:hint="eastAsia"/>
        </w:rPr>
        <w:t>（</w:t>
      </w:r>
      <w:r>
        <w:rPr>
          <w:rFonts w:hint="eastAsia"/>
          <w:lang w:val="en-US" w:eastAsia="zh-Hans"/>
        </w:rPr>
        <w:t>二</w:t>
      </w:r>
      <w:r>
        <w:rPr>
          <w:rFonts w:hint="eastAsia"/>
        </w:rPr>
        <w:t>）</w:t>
      </w:r>
      <w:r>
        <w:rPr>
          <w:rFonts w:hint="eastAsia"/>
          <w:lang w:val="en-US" w:eastAsia="zh-Hans"/>
        </w:rPr>
        <w:t>未就业毕业生求职行为分析</w:t>
      </w:r>
      <w:bookmarkEnd w:id="147"/>
    </w:p>
    <w:p>
      <w:pPr>
        <w:pStyle w:val="136"/>
        <w:bidi w:val="0"/>
        <w:rPr>
          <w:rFonts w:hint="default"/>
        </w:rPr>
      </w:pPr>
      <w:r>
        <w:rPr>
          <w:rFonts w:hint="default"/>
        </w:rPr>
        <w:t>截止于2021年8月31日，</w:t>
      </w:r>
      <w:r>
        <w:rPr>
          <w:rFonts w:hint="eastAsia"/>
          <w:lang w:val="en-US" w:eastAsia="zh-Hans"/>
        </w:rPr>
        <w:t>学校</w:t>
      </w:r>
      <w:r>
        <w:rPr>
          <w:rFonts w:hint="default"/>
          <w:lang w:eastAsia="zh-Hans"/>
        </w:rPr>
        <w:t>2021</w:t>
      </w:r>
      <w:r>
        <w:rPr>
          <w:rFonts w:hint="eastAsia"/>
          <w:lang w:val="en-US" w:eastAsia="zh-Hans"/>
        </w:rPr>
        <w:t>届</w:t>
      </w:r>
      <w:r>
        <w:rPr>
          <w:rFonts w:hint="default"/>
        </w:rPr>
        <w:t>未就业毕业生137人，未就业率</w:t>
      </w:r>
      <w:r>
        <w:rPr>
          <w:rFonts w:hint="eastAsia"/>
          <w:lang w:val="en-US" w:eastAsia="zh-Hans"/>
        </w:rPr>
        <w:t>为</w:t>
      </w:r>
      <w:r>
        <w:rPr>
          <w:rFonts w:hint="default"/>
        </w:rPr>
        <w:t>7.21%。</w:t>
      </w:r>
    </w:p>
    <w:p>
      <w:pPr>
        <w:pStyle w:val="136"/>
        <w:bidi w:val="0"/>
        <w:rPr>
          <w:rStyle w:val="200"/>
          <w:rFonts w:hint="eastAsia"/>
        </w:rPr>
      </w:pPr>
      <w:r>
        <w:rPr>
          <w:rFonts w:hint="eastAsia" w:ascii="宋体" w:hAnsi="宋体"/>
          <w:b/>
          <w:color w:val="4F81BD" w:themeColor="accent1"/>
          <w:sz w:val="24"/>
          <w:szCs w:val="24"/>
          <w:lang w:val="en-US" w:eastAsia="zh-Hans"/>
          <w14:textFill>
            <w14:solidFill>
              <w14:schemeClr w14:val="accent1"/>
            </w14:solidFill>
          </w14:textFill>
        </w:rPr>
        <w:t>未就业原因</w:t>
      </w:r>
      <w:r>
        <w:rPr>
          <w:rFonts w:hint="default" w:ascii="宋体" w:hAnsi="宋体"/>
          <w:b/>
          <w:color w:val="4F81BD" w:themeColor="accent1"/>
          <w:sz w:val="24"/>
          <w:szCs w:val="24"/>
          <w:lang w:eastAsia="zh-Hans"/>
          <w14:textFill>
            <w14:solidFill>
              <w14:schemeClr w14:val="accent1"/>
            </w14:solidFill>
          </w14:textFill>
        </w:rPr>
        <w:t>：</w:t>
      </w:r>
      <w:r>
        <w:rPr>
          <w:rStyle w:val="200"/>
          <w:rFonts w:hint="default"/>
        </w:rPr>
        <w:t>2021</w:t>
      </w:r>
      <w:r>
        <w:rPr>
          <w:rStyle w:val="200"/>
          <w:rFonts w:hint="eastAsia"/>
          <w:lang w:val="en-US" w:eastAsia="zh-Hans"/>
        </w:rPr>
        <w:t>届毕业生中</w:t>
      </w:r>
      <w:r>
        <w:rPr>
          <w:rStyle w:val="200"/>
          <w:rFonts w:hint="default"/>
        </w:rPr>
        <w:t>未就业</w:t>
      </w:r>
      <w:r>
        <w:rPr>
          <w:rStyle w:val="200"/>
          <w:rFonts w:hint="eastAsia"/>
          <w:lang w:val="en-US" w:eastAsia="zh-Hans"/>
        </w:rPr>
        <w:t>的主要原因为“拟参加公招（公务员、事业单位）考试”</w:t>
      </w:r>
      <w:r>
        <w:rPr>
          <w:rStyle w:val="200"/>
          <w:rFonts w:hint="default"/>
          <w:lang w:eastAsia="zh-Hans"/>
        </w:rPr>
        <w:t>，</w:t>
      </w:r>
      <w:r>
        <w:rPr>
          <w:rStyle w:val="200"/>
          <w:rFonts w:hint="eastAsia"/>
          <w:lang w:val="en-US" w:eastAsia="zh-Hans"/>
        </w:rPr>
        <w:t>占比62.56%</w:t>
      </w:r>
      <w:r>
        <w:rPr>
          <w:rStyle w:val="200"/>
          <w:rFonts w:hint="default"/>
          <w:lang w:eastAsia="zh-Hans"/>
        </w:rPr>
        <w:t>。</w:t>
      </w:r>
    </w:p>
    <w:p>
      <w:pPr>
        <w:pStyle w:val="136"/>
        <w:bidi w:val="0"/>
        <w:rPr>
          <w:rFonts w:hint="eastAsia" w:ascii="宋体" w:hAnsi="宋体"/>
          <w:b/>
          <w:color w:val="4F81BD" w:themeColor="accent1"/>
          <w:sz w:val="24"/>
          <w:szCs w:val="24"/>
          <w:lang w:val="zh-CN"/>
          <w14:textFill>
            <w14:solidFill>
              <w14:schemeClr w14:val="accent1"/>
            </w14:solidFill>
          </w14:textFill>
        </w:rPr>
      </w:pPr>
      <w:r>
        <w:rPr>
          <w:rFonts w:hint="eastAsia" w:ascii="宋体" w:hAnsi="宋体"/>
          <w:b/>
          <w:color w:val="4F81BD" w:themeColor="accent1"/>
          <w:sz w:val="24"/>
          <w:szCs w:val="24"/>
          <w:lang w:val="zh-CN"/>
          <w14:textFill>
            <w14:solidFill>
              <w14:schemeClr w14:val="accent1"/>
            </w14:solidFill>
          </w14:textFill>
        </w:rPr>
        <w:drawing>
          <wp:inline distT="0" distB="0" distL="0" distR="0">
            <wp:extent cx="5466715" cy="259334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3</w:t>
      </w:r>
      <w:r>
        <w:rPr>
          <w:rFonts w:hint="eastAsia"/>
        </w:rPr>
        <w:fldChar w:fldCharType="end"/>
      </w:r>
      <w:r>
        <w:t xml:space="preserve">  2021届毕业生</w:t>
      </w:r>
      <w:r>
        <w:rPr>
          <w:rFonts w:hint="eastAsia"/>
          <w:lang w:val="en-US" w:eastAsia="zh-Hans"/>
        </w:rPr>
        <w:t>未就业原因分布</w:t>
      </w:r>
    </w:p>
    <w:p>
      <w:pPr>
        <w:pStyle w:val="136"/>
        <w:bidi w:val="0"/>
        <w:rPr>
          <w:rFonts w:hint="eastAsia" w:ascii="宋体" w:hAnsi="宋体"/>
          <w:b/>
          <w:color w:val="4F81BD" w:themeColor="accent1"/>
          <w:sz w:val="24"/>
          <w:szCs w:val="24"/>
          <w:lang w:val="zh-CN"/>
          <w14:textFill>
            <w14:solidFill>
              <w14:schemeClr w14:val="accent1"/>
            </w14:solidFill>
          </w14:textFill>
        </w:rPr>
        <w:sectPr>
          <w:pgSz w:w="11907" w:h="16160"/>
          <w:pgMar w:top="1418" w:right="1418" w:bottom="1418" w:left="1701" w:header="850" w:footer="397"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136"/>
        <w:bidi w:val="0"/>
        <w:rPr>
          <w:rFonts w:hint="eastAsia" w:ascii="宋体" w:hAnsi="宋体" w:eastAsia="宋体"/>
          <w:b/>
          <w:color w:val="4F81BD" w:themeColor="accent1"/>
          <w:sz w:val="24"/>
          <w:szCs w:val="24"/>
          <w:lang w:val="en-US" w:eastAsia="zh-Hans"/>
          <w14:textFill>
            <w14:solidFill>
              <w14:schemeClr w14:val="accent1"/>
            </w14:solidFill>
          </w14:textFill>
        </w:rPr>
      </w:pPr>
      <w:r>
        <w:rPr>
          <w:rFonts w:hint="eastAsia" w:ascii="宋体" w:hAnsi="宋体"/>
          <w:b/>
          <w:color w:val="4F81BD" w:themeColor="accent1"/>
          <w:sz w:val="24"/>
          <w:szCs w:val="24"/>
          <w:lang w:val="en-US" w:eastAsia="zh-Hans"/>
          <w14:textFill>
            <w14:solidFill>
              <w14:schemeClr w14:val="accent1"/>
            </w14:solidFill>
          </w14:textFill>
        </w:rPr>
        <w:t>求职行为</w:t>
      </w:r>
      <w:r>
        <w:rPr>
          <w:rFonts w:hint="default" w:ascii="宋体" w:hAnsi="宋体"/>
          <w:b/>
          <w:color w:val="4F81BD" w:themeColor="accent1"/>
          <w:sz w:val="24"/>
          <w:szCs w:val="24"/>
          <w:lang w:eastAsia="zh-Hans"/>
          <w14:textFill>
            <w14:solidFill>
              <w14:schemeClr w14:val="accent1"/>
            </w14:solidFill>
          </w14:textFill>
        </w:rPr>
        <w:t>：</w:t>
      </w:r>
      <w:r>
        <w:rPr>
          <w:rStyle w:val="200"/>
          <w:rFonts w:hint="default"/>
        </w:rPr>
        <w:t>2021</w:t>
      </w:r>
      <w:r>
        <w:rPr>
          <w:rStyle w:val="200"/>
          <w:rFonts w:hint="eastAsia"/>
          <w:lang w:val="en-US" w:eastAsia="zh-Hans"/>
        </w:rPr>
        <w:t>届</w:t>
      </w:r>
      <w:r>
        <w:rPr>
          <w:rStyle w:val="200"/>
          <w:rFonts w:hint="default"/>
        </w:rPr>
        <w:t>未就业</w:t>
      </w:r>
      <w:r>
        <w:rPr>
          <w:rStyle w:val="200"/>
          <w:rFonts w:hint="eastAsia"/>
          <w:lang w:val="en-US" w:eastAsia="zh-Hans"/>
        </w:rPr>
        <w:t>毕业生中</w:t>
      </w:r>
      <w:r>
        <w:rPr>
          <w:rStyle w:val="200"/>
          <w:rFonts w:hint="default"/>
          <w:lang w:eastAsia="zh-Hans"/>
        </w:rPr>
        <w:t>，</w:t>
      </w:r>
      <w:r>
        <w:rPr>
          <w:rStyle w:val="200"/>
          <w:rFonts w:hint="eastAsia"/>
          <w:lang w:val="en-US" w:eastAsia="zh-Hans"/>
        </w:rPr>
        <w:t>参加过单位面试的主要集中在</w:t>
      </w:r>
      <w:r>
        <w:rPr>
          <w:rStyle w:val="200"/>
          <w:rFonts w:hint="default"/>
          <w:lang w:eastAsia="zh-Hans"/>
        </w:rPr>
        <w:t>1-3</w:t>
      </w:r>
      <w:r>
        <w:rPr>
          <w:rStyle w:val="200"/>
          <w:rFonts w:hint="eastAsia"/>
          <w:lang w:val="en-US" w:eastAsia="zh-Hans"/>
        </w:rPr>
        <w:t>家</w:t>
      </w:r>
      <w:r>
        <w:rPr>
          <w:rStyle w:val="200"/>
          <w:rFonts w:hint="default"/>
          <w:lang w:eastAsia="zh-Hans"/>
        </w:rPr>
        <w:t>，</w:t>
      </w:r>
      <w:r>
        <w:rPr>
          <w:rStyle w:val="200"/>
          <w:rFonts w:hint="eastAsia"/>
          <w:lang w:val="en-US" w:eastAsia="zh-Hans"/>
        </w:rPr>
        <w:t>占比</w:t>
      </w:r>
      <w:r>
        <w:rPr>
          <w:rStyle w:val="200"/>
          <w:rFonts w:hint="default"/>
          <w:lang w:eastAsia="zh-Hans"/>
        </w:rPr>
        <w:t>50.82%。</w:t>
      </w:r>
    </w:p>
    <w:p>
      <w:pPr>
        <w:pStyle w:val="181"/>
        <w:tabs>
          <w:tab w:val="left" w:pos="400"/>
          <w:tab w:val="center" w:pos="4394"/>
        </w:tabs>
        <w:spacing w:before="156" w:after="156" w:line="240" w:lineRule="auto"/>
        <w:rPr>
          <w:rFonts w:hint="eastAsia"/>
          <w:lang w:val="en-US" w:eastAsia="zh-Hans"/>
        </w:rPr>
      </w:pPr>
      <w:r>
        <w:drawing>
          <wp:inline distT="0" distB="0" distL="0" distR="0">
            <wp:extent cx="5476875" cy="2761615"/>
            <wp:effectExtent l="6350" t="6350" r="28575" b="2603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4</w:t>
      </w:r>
      <w:r>
        <w:rPr>
          <w:rFonts w:hint="eastAsia"/>
        </w:rPr>
        <w:fldChar w:fldCharType="end"/>
      </w:r>
      <w:r>
        <w:t xml:space="preserve">  2021届</w:t>
      </w:r>
      <w:r>
        <w:rPr>
          <w:rFonts w:hint="eastAsia"/>
          <w:lang w:val="en-US" w:eastAsia="zh-Hans"/>
        </w:rPr>
        <w:t>未就业</w:t>
      </w:r>
      <w:r>
        <w:t>毕业生</w:t>
      </w:r>
      <w:r>
        <w:rPr>
          <w:rFonts w:hint="eastAsia"/>
          <w:lang w:val="en-US" w:eastAsia="zh-Hans"/>
        </w:rPr>
        <w:t>面试次数分布</w:t>
      </w:r>
    </w:p>
    <w:p>
      <w:pPr>
        <w:pStyle w:val="136"/>
        <w:bidi w:val="0"/>
        <w:rPr>
          <w:rStyle w:val="200"/>
          <w:rFonts w:hint="default"/>
          <w:lang w:eastAsia="zh-Hans"/>
        </w:rPr>
      </w:pPr>
      <w:r>
        <w:rPr>
          <w:rFonts w:hint="eastAsia" w:ascii="宋体" w:hAnsi="宋体"/>
          <w:b/>
          <w:color w:val="4F81BD" w:themeColor="accent1"/>
          <w:sz w:val="24"/>
          <w:szCs w:val="24"/>
          <w:lang w:val="en-US" w:eastAsia="zh-Hans"/>
          <w14:textFill>
            <w14:solidFill>
              <w14:schemeClr w14:val="accent1"/>
            </w14:solidFill>
          </w14:textFill>
        </w:rPr>
        <w:t>求职过程中的问题</w:t>
      </w:r>
      <w:r>
        <w:rPr>
          <w:rFonts w:hint="default" w:ascii="宋体" w:hAnsi="宋体"/>
          <w:b/>
          <w:color w:val="4F81BD" w:themeColor="accent1"/>
          <w:sz w:val="24"/>
          <w:szCs w:val="24"/>
          <w:lang w:eastAsia="zh-Hans"/>
          <w14:textFill>
            <w14:solidFill>
              <w14:schemeClr w14:val="accent1"/>
            </w14:solidFill>
          </w14:textFill>
        </w:rPr>
        <w:t>：</w:t>
      </w:r>
      <w:r>
        <w:rPr>
          <w:rStyle w:val="200"/>
          <w:rFonts w:hint="default"/>
        </w:rPr>
        <w:t>2021</w:t>
      </w:r>
      <w:r>
        <w:rPr>
          <w:rStyle w:val="200"/>
          <w:rFonts w:hint="eastAsia"/>
          <w:lang w:val="en-US" w:eastAsia="zh-Hans"/>
        </w:rPr>
        <w:t>届未就业毕业生在求职过程中遇到的主要问题是“适合自己专业和学历的岗位不多”</w:t>
      </w:r>
      <w:r>
        <w:rPr>
          <w:rStyle w:val="200"/>
          <w:rFonts w:hint="default"/>
          <w:lang w:eastAsia="zh-Hans"/>
        </w:rPr>
        <w:t>（</w:t>
      </w:r>
      <w:r>
        <w:rPr>
          <w:rStyle w:val="200"/>
          <w:rFonts w:hint="eastAsia"/>
          <w:lang w:val="en-US" w:eastAsia="zh-Hans"/>
        </w:rPr>
        <w:t>15.98%</w:t>
      </w:r>
      <w:r>
        <w:rPr>
          <w:rStyle w:val="200"/>
          <w:rFonts w:hint="default"/>
          <w:lang w:eastAsia="zh-Hans"/>
        </w:rPr>
        <w:t>）</w:t>
      </w:r>
      <w:r>
        <w:rPr>
          <w:rStyle w:val="200"/>
          <w:rFonts w:hint="eastAsia"/>
          <w:lang w:val="en-US" w:eastAsia="zh-Hans"/>
        </w:rPr>
        <w:t>和“缺乏实践经验”</w:t>
      </w:r>
      <w:r>
        <w:rPr>
          <w:rStyle w:val="200"/>
          <w:rFonts w:hint="default"/>
          <w:lang w:eastAsia="zh-Hans"/>
        </w:rPr>
        <w:t>（</w:t>
      </w:r>
      <w:r>
        <w:rPr>
          <w:rStyle w:val="200"/>
          <w:rFonts w:hint="eastAsia"/>
          <w:lang w:val="en-US" w:eastAsia="zh-Hans"/>
        </w:rPr>
        <w:t>12.79%</w:t>
      </w:r>
      <w:r>
        <w:rPr>
          <w:rStyle w:val="200"/>
          <w:rFonts w:hint="default"/>
          <w:lang w:eastAsia="zh-Hans"/>
        </w:rPr>
        <w:t>）。</w:t>
      </w:r>
    </w:p>
    <w:p>
      <w:pPr>
        <w:pStyle w:val="136"/>
        <w:bidi w:val="0"/>
        <w:rPr>
          <w:rStyle w:val="200"/>
          <w:rFonts w:hint="default"/>
          <w:lang w:eastAsia="zh-Hans"/>
        </w:rPr>
      </w:pPr>
      <w:r>
        <w:rPr>
          <w:rFonts w:hint="eastAsia" w:ascii="宋体" w:hAnsi="宋体"/>
          <w:b/>
          <w:color w:val="4F81BD" w:themeColor="accent1"/>
          <w:sz w:val="24"/>
          <w:szCs w:val="24"/>
          <w:lang w:val="zh-CN"/>
          <w14:textFill>
            <w14:solidFill>
              <w14:schemeClr w14:val="accent1"/>
            </w14:solidFill>
          </w14:textFill>
        </w:rPr>
        <w:drawing>
          <wp:inline distT="0" distB="0" distL="0" distR="0">
            <wp:extent cx="5450205" cy="2854960"/>
            <wp:effectExtent l="0" t="0" r="0" b="0"/>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5</w:t>
      </w:r>
      <w:r>
        <w:rPr>
          <w:rFonts w:hint="eastAsia"/>
        </w:rPr>
        <w:fldChar w:fldCharType="end"/>
      </w:r>
      <w:r>
        <w:t xml:space="preserve">  2021届</w:t>
      </w:r>
      <w:r>
        <w:rPr>
          <w:rFonts w:hint="eastAsia"/>
          <w:lang w:val="en-US" w:eastAsia="zh-Hans"/>
        </w:rPr>
        <w:t>未就业</w:t>
      </w:r>
      <w:r>
        <w:t>毕业生</w:t>
      </w:r>
      <w:r>
        <w:rPr>
          <w:rFonts w:hint="eastAsia"/>
          <w:lang w:val="en-US" w:eastAsia="zh-Hans"/>
        </w:rPr>
        <w:t>求职过程中的问题分布</w:t>
      </w:r>
    </w:p>
    <w:p>
      <w:pPr>
        <w:pStyle w:val="136"/>
        <w:bidi w:val="0"/>
        <w:rPr>
          <w:rStyle w:val="200"/>
          <w:rFonts w:hint="eastAsia"/>
          <w:lang w:eastAsia="zh-Hans"/>
        </w:rPr>
      </w:pPr>
    </w:p>
    <w:p>
      <w:pPr>
        <w:pStyle w:val="136"/>
        <w:bidi w:val="0"/>
        <w:rPr>
          <w:rStyle w:val="200"/>
          <w:rFonts w:hint="eastAsia"/>
        </w:rPr>
      </w:pPr>
      <w:r>
        <w:rPr>
          <w:rFonts w:hint="eastAsia" w:ascii="宋体" w:hAnsi="宋体"/>
          <w:b/>
          <w:color w:val="4F81BD" w:themeColor="accent1"/>
          <w:sz w:val="24"/>
          <w:szCs w:val="24"/>
          <w:lang w:val="en-US" w:eastAsia="zh-Hans"/>
          <w14:textFill>
            <w14:solidFill>
              <w14:schemeClr w14:val="accent1"/>
            </w14:solidFill>
          </w14:textFill>
        </w:rPr>
        <w:t>求职关注因素</w:t>
      </w:r>
      <w:r>
        <w:rPr>
          <w:rFonts w:hint="default" w:ascii="宋体" w:hAnsi="宋体"/>
          <w:b/>
          <w:color w:val="4F81BD" w:themeColor="accent1"/>
          <w:sz w:val="24"/>
          <w:szCs w:val="24"/>
          <w:lang w:eastAsia="zh-Hans"/>
          <w14:textFill>
            <w14:solidFill>
              <w14:schemeClr w14:val="accent1"/>
            </w14:solidFill>
          </w14:textFill>
        </w:rPr>
        <w:t>：</w:t>
      </w:r>
      <w:r>
        <w:rPr>
          <w:rStyle w:val="200"/>
          <w:rFonts w:hint="default"/>
        </w:rPr>
        <w:t>2021</w:t>
      </w:r>
      <w:r>
        <w:rPr>
          <w:rStyle w:val="200"/>
          <w:rFonts w:hint="eastAsia"/>
          <w:lang w:val="en-US" w:eastAsia="zh-Hans"/>
        </w:rPr>
        <w:t>届未就业毕业生求职关注的主要因素是“薪酬水平”</w:t>
      </w:r>
      <w:r>
        <w:rPr>
          <w:rStyle w:val="200"/>
          <w:rFonts w:hint="default"/>
          <w:lang w:eastAsia="zh-Hans"/>
        </w:rPr>
        <w:t>（</w:t>
      </w:r>
      <w:r>
        <w:rPr>
          <w:rStyle w:val="200"/>
          <w:rFonts w:hint="eastAsia"/>
          <w:lang w:val="en-US" w:eastAsia="zh-Hans"/>
        </w:rPr>
        <w:t>17.81%</w:t>
      </w:r>
      <w:r>
        <w:rPr>
          <w:rStyle w:val="200"/>
          <w:rFonts w:hint="default"/>
          <w:lang w:eastAsia="zh-Hans"/>
        </w:rPr>
        <w:t>）</w:t>
      </w:r>
      <w:r>
        <w:rPr>
          <w:rStyle w:val="200"/>
          <w:rFonts w:hint="eastAsia"/>
          <w:lang w:val="en-US" w:eastAsia="zh-Hans"/>
        </w:rPr>
        <w:t>和“工作稳定度”</w:t>
      </w:r>
      <w:r>
        <w:rPr>
          <w:rStyle w:val="200"/>
          <w:rFonts w:hint="default"/>
          <w:lang w:eastAsia="zh-Hans"/>
        </w:rPr>
        <w:t>（</w:t>
      </w:r>
      <w:r>
        <w:rPr>
          <w:rStyle w:val="200"/>
          <w:rFonts w:hint="eastAsia"/>
          <w:lang w:val="en-US" w:eastAsia="zh-Hans"/>
        </w:rPr>
        <w:t>16.89%</w:t>
      </w:r>
      <w:r>
        <w:rPr>
          <w:rStyle w:val="200"/>
          <w:rFonts w:hint="default"/>
          <w:lang w:eastAsia="zh-Hans"/>
        </w:rPr>
        <w:t>）。</w:t>
      </w:r>
    </w:p>
    <w:p>
      <w:pPr>
        <w:pStyle w:val="136"/>
        <w:bidi w:val="0"/>
        <w:rPr>
          <w:rFonts w:hint="eastAsia" w:ascii="宋体" w:hAnsi="宋体"/>
          <w:b/>
          <w:color w:val="4F81BD" w:themeColor="accent1"/>
          <w:sz w:val="24"/>
          <w:szCs w:val="24"/>
          <w:lang w:val="en-US" w:eastAsia="zh-Hans"/>
          <w14:textFill>
            <w14:solidFill>
              <w14:schemeClr w14:val="accent1"/>
            </w14:solidFill>
          </w14:textFill>
        </w:rPr>
      </w:pPr>
    </w:p>
    <w:p>
      <w:pPr>
        <w:pStyle w:val="136"/>
        <w:bidi w:val="0"/>
        <w:rPr>
          <w:rFonts w:hint="eastAsia" w:ascii="宋体" w:hAnsi="宋体"/>
          <w:b/>
          <w:color w:val="4F81BD" w:themeColor="accent1"/>
          <w:sz w:val="24"/>
          <w:szCs w:val="24"/>
          <w:lang w:val="en-US" w:eastAsia="zh-Hans"/>
          <w14:textFill>
            <w14:solidFill>
              <w14:schemeClr w14:val="accent1"/>
            </w14:solidFill>
          </w14:textFill>
        </w:rPr>
      </w:pPr>
      <w:r>
        <w:rPr>
          <w:rFonts w:hint="eastAsia" w:ascii="宋体" w:hAnsi="宋体"/>
          <w:b/>
          <w:color w:val="4F81BD" w:themeColor="accent1"/>
          <w:sz w:val="24"/>
          <w:szCs w:val="24"/>
          <w:lang w:val="zh-CN"/>
          <w14:textFill>
            <w14:solidFill>
              <w14:schemeClr w14:val="accent1"/>
            </w14:solidFill>
          </w14:textFill>
        </w:rPr>
        <w:drawing>
          <wp:inline distT="0" distB="0" distL="0" distR="0">
            <wp:extent cx="5450205" cy="2854960"/>
            <wp:effectExtent l="0" t="0" r="0" b="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6</w:t>
      </w:r>
      <w:r>
        <w:rPr>
          <w:rFonts w:hint="eastAsia"/>
        </w:rPr>
        <w:fldChar w:fldCharType="end"/>
      </w:r>
      <w:r>
        <w:t xml:space="preserve">  2021届</w:t>
      </w:r>
      <w:r>
        <w:rPr>
          <w:rFonts w:hint="eastAsia"/>
          <w:lang w:val="en-US" w:eastAsia="zh-Hans"/>
        </w:rPr>
        <w:t>未就业</w:t>
      </w:r>
      <w:r>
        <w:t>毕业生</w:t>
      </w:r>
      <w:r>
        <w:rPr>
          <w:rFonts w:hint="eastAsia"/>
          <w:lang w:val="en-US" w:eastAsia="zh-Hans"/>
        </w:rPr>
        <w:t>求职关注因素</w:t>
      </w:r>
    </w:p>
    <w:p>
      <w:pPr>
        <w:pStyle w:val="136"/>
        <w:bidi w:val="0"/>
        <w:rPr>
          <w:rStyle w:val="200"/>
          <w:rFonts w:hint="eastAsia"/>
        </w:rPr>
      </w:pPr>
      <w:r>
        <w:rPr>
          <w:rFonts w:hint="eastAsia" w:ascii="宋体" w:hAnsi="宋体"/>
          <w:b/>
          <w:color w:val="4F81BD" w:themeColor="accent1"/>
          <w:sz w:val="24"/>
          <w:szCs w:val="24"/>
          <w:lang w:val="en-US" w:eastAsia="zh-Hans"/>
          <w14:textFill>
            <w14:solidFill>
              <w14:schemeClr w14:val="accent1"/>
            </w14:solidFill>
          </w14:textFill>
        </w:rPr>
        <w:t>就业帮扶和指导</w:t>
      </w:r>
      <w:r>
        <w:rPr>
          <w:rFonts w:hint="default" w:ascii="宋体" w:hAnsi="宋体"/>
          <w:b/>
          <w:color w:val="4F81BD" w:themeColor="accent1"/>
          <w:sz w:val="24"/>
          <w:szCs w:val="24"/>
          <w:lang w:eastAsia="zh-Hans"/>
          <w14:textFill>
            <w14:solidFill>
              <w14:schemeClr w14:val="accent1"/>
            </w14:solidFill>
          </w14:textFill>
        </w:rPr>
        <w:t>：</w:t>
      </w:r>
      <w:r>
        <w:rPr>
          <w:rStyle w:val="200"/>
          <w:rFonts w:hint="default"/>
        </w:rPr>
        <w:t>2021</w:t>
      </w:r>
      <w:r>
        <w:rPr>
          <w:rStyle w:val="200"/>
          <w:rFonts w:hint="eastAsia"/>
          <w:lang w:val="en-US" w:eastAsia="zh-Hans"/>
        </w:rPr>
        <w:t>届未就业毕业生需要的就业帮扶和指导主要是“政策帮扶”</w:t>
      </w:r>
      <w:r>
        <w:rPr>
          <w:rStyle w:val="200"/>
          <w:rFonts w:hint="default"/>
          <w:lang w:eastAsia="zh-Hans"/>
        </w:rPr>
        <w:t>（</w:t>
      </w:r>
      <w:r>
        <w:rPr>
          <w:rStyle w:val="200"/>
          <w:rFonts w:hint="eastAsia"/>
          <w:lang w:val="en-US" w:eastAsia="zh-Hans"/>
        </w:rPr>
        <w:t>29.51%</w:t>
      </w:r>
      <w:r>
        <w:rPr>
          <w:rStyle w:val="200"/>
          <w:rFonts w:hint="default"/>
          <w:lang w:eastAsia="zh-Hans"/>
        </w:rPr>
        <w:t>）</w:t>
      </w:r>
      <w:r>
        <w:rPr>
          <w:rStyle w:val="200"/>
          <w:rFonts w:hint="eastAsia"/>
          <w:lang w:val="en-US" w:eastAsia="zh-Hans"/>
        </w:rPr>
        <w:t>和“增加职位信息”</w:t>
      </w:r>
      <w:r>
        <w:rPr>
          <w:rStyle w:val="200"/>
          <w:rFonts w:hint="default"/>
          <w:lang w:eastAsia="zh-Hans"/>
        </w:rPr>
        <w:t>（</w:t>
      </w:r>
      <w:r>
        <w:rPr>
          <w:rStyle w:val="200"/>
          <w:rFonts w:hint="eastAsia"/>
          <w:lang w:val="en-US" w:eastAsia="zh-Hans"/>
        </w:rPr>
        <w:t>21.31%</w:t>
      </w:r>
      <w:r>
        <w:rPr>
          <w:rStyle w:val="200"/>
          <w:rFonts w:hint="default"/>
          <w:lang w:eastAsia="zh-Hans"/>
        </w:rPr>
        <w:t>）。</w:t>
      </w:r>
    </w:p>
    <w:p>
      <w:pPr>
        <w:pStyle w:val="136"/>
        <w:bidi w:val="0"/>
        <w:rPr>
          <w:rFonts w:hint="eastAsia" w:ascii="宋体" w:hAnsi="宋体"/>
          <w:b/>
          <w:color w:val="4F81BD" w:themeColor="accent1"/>
          <w:sz w:val="24"/>
          <w:szCs w:val="24"/>
          <w:lang w:val="zh-CN"/>
          <w14:textFill>
            <w14:solidFill>
              <w14:schemeClr w14:val="accent1"/>
            </w14:solidFill>
          </w14:textFill>
        </w:rPr>
      </w:pPr>
      <w:r>
        <w:rPr>
          <w:rFonts w:hint="eastAsia" w:ascii="宋体" w:hAnsi="宋体"/>
          <w:b/>
          <w:color w:val="4F81BD" w:themeColor="accent1"/>
          <w:sz w:val="24"/>
          <w:szCs w:val="24"/>
          <w:lang w:val="zh-CN"/>
          <w14:textFill>
            <w14:solidFill>
              <w14:schemeClr w14:val="accent1"/>
            </w14:solidFill>
          </w14:textFill>
        </w:rPr>
        <w:drawing>
          <wp:inline distT="0" distB="0" distL="0" distR="0">
            <wp:extent cx="5466715" cy="2593340"/>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7</w:t>
      </w:r>
      <w:r>
        <w:rPr>
          <w:rFonts w:hint="eastAsia"/>
        </w:rPr>
        <w:fldChar w:fldCharType="end"/>
      </w:r>
      <w:r>
        <w:t xml:space="preserve">  2021届</w:t>
      </w:r>
      <w:r>
        <w:rPr>
          <w:rFonts w:hint="eastAsia"/>
          <w:lang w:val="en-US" w:eastAsia="zh-Hans"/>
        </w:rPr>
        <w:t>未就业</w:t>
      </w:r>
      <w:r>
        <w:t>毕业生</w:t>
      </w:r>
      <w:r>
        <w:rPr>
          <w:rFonts w:hint="eastAsia"/>
          <w:lang w:val="en-US" w:eastAsia="zh-Hans"/>
        </w:rPr>
        <w:t>希望获得的就业帮扶和指导分布</w:t>
      </w:r>
    </w:p>
    <w:p>
      <w:pPr>
        <w:pStyle w:val="136"/>
        <w:bidi w:val="0"/>
        <w:rPr>
          <w:rFonts w:hint="eastAsia" w:ascii="宋体" w:hAnsi="宋体"/>
          <w:b/>
          <w:color w:val="4F81BD" w:themeColor="accent1"/>
          <w:sz w:val="24"/>
          <w:szCs w:val="24"/>
          <w:lang w:val="zh-CN"/>
          <w14:textFill>
            <w14:solidFill>
              <w14:schemeClr w14:val="accent1"/>
            </w14:solidFill>
          </w14:textFill>
        </w:rPr>
        <w:sectPr>
          <w:pgSz w:w="11907" w:h="16160"/>
          <w:pgMar w:top="1418" w:right="1418" w:bottom="1418" w:left="1701" w:header="850" w:footer="397"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142"/>
        <w:bidi w:val="0"/>
        <w:rPr>
          <w:rFonts w:hint="eastAsia"/>
        </w:rPr>
      </w:pPr>
      <w:bookmarkStart w:id="148" w:name="_Toc1671687482"/>
      <w:r>
        <w:rPr>
          <w:rFonts w:hint="eastAsia"/>
          <w:lang w:val="en-US" w:eastAsia="zh-Hans"/>
        </w:rPr>
        <w:t>二</w:t>
      </w:r>
      <w:r>
        <w:rPr>
          <w:rFonts w:hint="eastAsia"/>
        </w:rPr>
        <w:t>、</w:t>
      </w:r>
      <w:r>
        <w:rPr>
          <w:rFonts w:hint="eastAsia"/>
          <w:lang w:val="en-US" w:eastAsia="zh-Hans"/>
        </w:rPr>
        <w:t>继续深造情况分析</w:t>
      </w:r>
      <w:bookmarkEnd w:id="148"/>
    </w:p>
    <w:p>
      <w:pPr>
        <w:pStyle w:val="113"/>
        <w:ind w:firstLine="482"/>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升学原因：</w:t>
      </w:r>
      <w:r>
        <w:rPr>
          <w:rFonts w:hint="eastAsia"/>
          <w:lang w:val="en-US"/>
        </w:rPr>
        <w:t>2021</w:t>
      </w:r>
      <w:r>
        <w:rPr>
          <w:rFonts w:hint="eastAsia"/>
        </w:rPr>
        <w:t>届</w:t>
      </w:r>
      <w:r>
        <w:t>毕业生</w:t>
      </w:r>
      <w:r>
        <w:rPr>
          <w:rFonts w:hint="eastAsia"/>
        </w:rPr>
        <w:t>选择</w:t>
      </w:r>
      <w:r>
        <w:t>升学</w:t>
      </w:r>
      <w:r>
        <w:rPr>
          <w:rFonts w:hint="eastAsia"/>
        </w:rPr>
        <w:t>的</w:t>
      </w:r>
      <w:r>
        <w:t>原因主要为</w:t>
      </w:r>
      <w:r>
        <w:rPr>
          <w:rFonts w:hint="eastAsia"/>
          <w:lang w:eastAsia="zh-Hans"/>
        </w:rPr>
        <w:t>“</w:t>
      </w:r>
      <w:r>
        <w:rPr>
          <w:rFonts w:hint="eastAsia"/>
        </w:rPr>
        <w:t>提升学历层次</w:t>
      </w:r>
      <w:r>
        <w:rPr>
          <w:rFonts w:hint="eastAsia"/>
          <w:lang w:eastAsia="zh-Hans"/>
        </w:rPr>
        <w:t>”</w:t>
      </w:r>
      <w:r>
        <w:rPr>
          <w:rFonts w:hint="default"/>
        </w:rPr>
        <w:t>（</w:t>
      </w:r>
      <w:r>
        <w:rPr>
          <w:rFonts w:hint="eastAsia"/>
        </w:rPr>
        <w:t>40.66%</w:t>
      </w:r>
      <w:r>
        <w:rPr>
          <w:rFonts w:hint="default"/>
        </w:rPr>
        <w:t>），</w:t>
      </w:r>
      <w:r>
        <w:rPr>
          <w:rFonts w:hint="eastAsia"/>
          <w:lang w:val="en-US" w:eastAsia="zh-Hans"/>
        </w:rPr>
        <w:t>其次是</w:t>
      </w:r>
      <w:r>
        <w:rPr>
          <w:rFonts w:hint="eastAsia"/>
          <w:lang w:eastAsia="zh-Hans"/>
        </w:rPr>
        <w:t>“</w:t>
      </w:r>
      <w:r>
        <w:rPr>
          <w:rFonts w:hint="eastAsia"/>
        </w:rPr>
        <w:t>提升综合能力</w:t>
      </w:r>
      <w:r>
        <w:rPr>
          <w:rFonts w:hint="eastAsia"/>
          <w:lang w:eastAsia="zh-Hans"/>
        </w:rPr>
        <w:t>”、“</w:t>
      </w:r>
      <w:r>
        <w:rPr>
          <w:rFonts w:hint="eastAsia"/>
        </w:rPr>
        <w:t>对专业感兴趣，希望深入学习</w:t>
      </w:r>
      <w:r>
        <w:rPr>
          <w:rFonts w:hint="eastAsia"/>
          <w:lang w:eastAsia="zh-Hans"/>
        </w:rPr>
        <w:t>”，占比均为</w:t>
      </w:r>
      <w:r>
        <w:rPr>
          <w:lang w:eastAsia="zh-Hans"/>
        </w:rPr>
        <w:t>（</w:t>
      </w:r>
      <w:r>
        <w:rPr>
          <w:rFonts w:hint="eastAsia"/>
        </w:rPr>
        <w:t>18.68%</w:t>
      </w:r>
      <w:r>
        <w:t>）。</w:t>
      </w:r>
    </w:p>
    <w:p>
      <w:pPr>
        <w:pStyle w:val="113"/>
        <w:ind w:firstLine="482"/>
        <w:rPr>
          <w:rFonts w:cs="宋体"/>
          <w:b/>
          <w:bCs/>
          <w:color w:val="000000"/>
          <w:szCs w:val="21"/>
        </w:rPr>
      </w:pPr>
      <w:r>
        <w:rPr>
          <w:rFonts w:cs="宋体"/>
          <w:color w:val="000000"/>
          <w:szCs w:val="21"/>
        </w:rPr>
        <w:drawing>
          <wp:inline distT="0" distB="0" distL="0" distR="0">
            <wp:extent cx="5447030" cy="2668905"/>
            <wp:effectExtent l="0" t="0" r="13970" b="23495"/>
            <wp:docPr id="53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203"/>
        <w:bidi w:val="0"/>
      </w:pPr>
      <w:bookmarkStart w:id="149" w:name="_Toc509389381"/>
      <w:bookmarkStart w:id="150" w:name="_Toc509483502"/>
      <w:r>
        <w:rPr>
          <w:rFonts w:hint="eastAsia"/>
        </w:rPr>
        <w:t>图</w:t>
      </w:r>
      <w:r>
        <w:rPr>
          <w:rFonts w:hint="default"/>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8</w:t>
      </w:r>
      <w:r>
        <w:rPr>
          <w:rFonts w:hint="eastAsia"/>
        </w:rPr>
        <w:fldChar w:fldCharType="end"/>
      </w:r>
      <w:r>
        <w:t xml:space="preserve"> </w:t>
      </w:r>
      <w:r>
        <w:rPr>
          <w:rFonts w:hint="eastAsia"/>
        </w:rPr>
        <w:t xml:space="preserve"> 2021届毕业生选择升学的主要原因</w:t>
      </w:r>
      <w:bookmarkEnd w:id="149"/>
      <w:bookmarkEnd w:id="150"/>
    </w:p>
    <w:p>
      <w:pPr>
        <w:pStyle w:val="113"/>
        <w:ind w:firstLine="482"/>
        <w:rPr>
          <w:rFonts w:cs="宋体"/>
        </w:rPr>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升学专业相关性：</w:t>
      </w:r>
      <w:r>
        <w:rPr>
          <w:rStyle w:val="137"/>
          <w:rFonts w:hint="default"/>
          <w:lang w:eastAsia="zh-Hans"/>
        </w:rPr>
        <w:t>2021</w:t>
      </w:r>
      <w:r>
        <w:rPr>
          <w:rStyle w:val="137"/>
          <w:rFonts w:hint="eastAsia"/>
          <w:lang w:val="en-US" w:eastAsia="zh-Hans"/>
        </w:rPr>
        <w:t>届毕业生</w:t>
      </w:r>
      <w:r>
        <w:rPr>
          <w:rStyle w:val="137"/>
        </w:rPr>
        <w:t>升学</w:t>
      </w:r>
      <w:r>
        <w:rPr>
          <w:rStyle w:val="137"/>
          <w:rFonts w:hint="eastAsia"/>
        </w:rPr>
        <w:t>专业</w:t>
      </w:r>
      <w:r>
        <w:rPr>
          <w:rFonts w:hint="eastAsia"/>
          <w:lang w:val="en-US" w:eastAsia="zh-Hans"/>
        </w:rPr>
        <w:t>与原专业的</w:t>
      </w:r>
      <w:r>
        <w:rPr>
          <w:rFonts w:hint="eastAsia"/>
        </w:rPr>
        <w:t>相关度为82.42%，可见大部分学生还是在本专业或相关专业继续深造</w:t>
      </w:r>
      <w:r>
        <w:rPr>
          <w:rFonts w:hint="eastAsia" w:cs="宋体"/>
        </w:rPr>
        <w:t>。</w:t>
      </w:r>
    </w:p>
    <w:p>
      <w:pPr>
        <w:spacing w:before="156" w:beforeLines="50" w:after="163" w:line="360" w:lineRule="auto"/>
        <w:jc w:val="center"/>
        <w:rPr>
          <w:szCs w:val="21"/>
        </w:rPr>
      </w:pPr>
      <w:r>
        <w:drawing>
          <wp:inline distT="0" distB="0" distL="0" distR="0">
            <wp:extent cx="2990850" cy="1859280"/>
            <wp:effectExtent l="6350" t="6350" r="25400" b="13970"/>
            <wp:docPr id="531" name="图表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203"/>
        <w:bidi w:val="0"/>
      </w:pPr>
      <w:bookmarkStart w:id="151" w:name="_Toc509389380"/>
      <w:bookmarkStart w:id="152" w:name="_Toc509483501"/>
      <w:r>
        <w:rPr>
          <w:rFonts w:hint="eastAsia"/>
        </w:rPr>
        <w:t>图</w:t>
      </w:r>
      <w:r>
        <w:rPr>
          <w:rFonts w:hint="default"/>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9</w:t>
      </w:r>
      <w:r>
        <w:rPr>
          <w:rFonts w:hint="eastAsia"/>
        </w:rPr>
        <w:fldChar w:fldCharType="end"/>
      </w:r>
      <w:r>
        <w:t xml:space="preserve"> </w:t>
      </w:r>
      <w:r>
        <w:rPr>
          <w:rFonts w:hint="eastAsia"/>
        </w:rPr>
        <w:t xml:space="preserve"> 2021届毕业生升学专业</w:t>
      </w:r>
      <w:r>
        <w:t>与原专业</w:t>
      </w:r>
      <w:r>
        <w:rPr>
          <w:rFonts w:hint="eastAsia"/>
        </w:rPr>
        <w:t>相关</w:t>
      </w:r>
      <w:r>
        <w:t>性分布</w:t>
      </w:r>
      <w:bookmarkEnd w:id="151"/>
      <w:bookmarkEnd w:id="152"/>
      <w:r>
        <w:rPr>
          <w:rFonts w:hint="eastAsia"/>
        </w:rPr>
        <w:t xml:space="preserve"> </w:t>
      </w:r>
    </w:p>
    <w:p>
      <w:pPr>
        <w:pStyle w:val="142"/>
        <w:numPr>
          <w:ilvl w:val="0"/>
          <w:numId w:val="0"/>
        </w:numPr>
        <w:bidi w:val="0"/>
        <w:rPr>
          <w:rFonts w:hint="eastAsia"/>
          <w:lang w:val="en-US" w:eastAsia="zh-Hans"/>
        </w:rPr>
      </w:pPr>
      <w:bookmarkStart w:id="153" w:name="_Toc522956273"/>
      <w:r>
        <w:rPr>
          <w:rFonts w:hint="eastAsia"/>
          <w:lang w:val="en-US" w:eastAsia="zh-Hans"/>
        </w:rPr>
        <w:t>三</w:t>
      </w:r>
      <w:r>
        <w:rPr>
          <w:rFonts w:hint="default"/>
          <w:lang w:eastAsia="zh-Hans"/>
        </w:rPr>
        <w:t>、</w:t>
      </w:r>
      <w:r>
        <w:rPr>
          <w:rFonts w:hint="eastAsia"/>
          <w:lang w:val="en-US" w:eastAsia="zh-Hans"/>
        </w:rPr>
        <w:t>自主创业情况分析</w:t>
      </w:r>
      <w:bookmarkEnd w:id="153"/>
    </w:p>
    <w:p>
      <w:pPr>
        <w:pStyle w:val="113"/>
        <w:ind w:firstLine="482"/>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创业原因：</w:t>
      </w:r>
      <w:r>
        <w:rPr>
          <w:rFonts w:hint="eastAsia"/>
          <w:lang w:val="en-US"/>
        </w:rPr>
        <w:t>2021</w:t>
      </w:r>
      <w:r>
        <w:rPr>
          <w:rFonts w:hint="eastAsia"/>
        </w:rPr>
        <w:t>届</w:t>
      </w:r>
      <w:r>
        <w:t>毕业生</w:t>
      </w:r>
      <w:r>
        <w:rPr>
          <w:rFonts w:hint="eastAsia"/>
        </w:rPr>
        <w:t>选择</w:t>
      </w:r>
      <w:r>
        <w:rPr>
          <w:rFonts w:hint="eastAsia"/>
          <w:lang w:val="en-US" w:eastAsia="zh-Hans"/>
        </w:rPr>
        <w:t>创业</w:t>
      </w:r>
      <w:r>
        <w:rPr>
          <w:rFonts w:hint="eastAsia"/>
        </w:rPr>
        <w:t>的</w:t>
      </w:r>
      <w:r>
        <w:t>原因主要为</w:t>
      </w:r>
      <w:r>
        <w:rPr>
          <w:rFonts w:hint="eastAsia"/>
          <w:lang w:eastAsia="zh-Hans"/>
        </w:rPr>
        <w:t>“</w:t>
      </w:r>
      <w:r>
        <w:rPr>
          <w:rFonts w:hint="eastAsia"/>
        </w:rPr>
        <w:t>实现个人理想及价值</w:t>
      </w:r>
      <w:r>
        <w:rPr>
          <w:rFonts w:hint="eastAsia"/>
          <w:lang w:eastAsia="zh-Hans"/>
        </w:rPr>
        <w:t>”</w:t>
      </w:r>
      <w:r>
        <w:rPr>
          <w:rFonts w:hint="default"/>
        </w:rPr>
        <w:t>（</w:t>
      </w:r>
      <w:r>
        <w:rPr>
          <w:rFonts w:hint="eastAsia"/>
        </w:rPr>
        <w:t>56.00%</w:t>
      </w:r>
      <w:r>
        <w:rPr>
          <w:rFonts w:hint="default"/>
        </w:rPr>
        <w:t>），</w:t>
      </w:r>
      <w:r>
        <w:rPr>
          <w:rFonts w:hint="eastAsia"/>
          <w:lang w:val="en-US" w:eastAsia="zh-Hans"/>
        </w:rPr>
        <w:t>其次是</w:t>
      </w:r>
      <w:r>
        <w:rPr>
          <w:rFonts w:hint="eastAsia"/>
          <w:lang w:eastAsia="zh-Hans"/>
        </w:rPr>
        <w:t>“</w:t>
      </w:r>
      <w:r>
        <w:rPr>
          <w:rFonts w:hint="eastAsia"/>
        </w:rPr>
        <w:t>有好的创业项目</w:t>
      </w:r>
      <w:r>
        <w:rPr>
          <w:rFonts w:hint="eastAsia"/>
          <w:lang w:eastAsia="zh-Hans"/>
        </w:rPr>
        <w:t>”</w:t>
      </w:r>
      <w:r>
        <w:rPr>
          <w:rFonts w:hint="default"/>
          <w:lang w:eastAsia="zh-Hans"/>
        </w:rPr>
        <w:t>（</w:t>
      </w:r>
      <w:r>
        <w:rPr>
          <w:rFonts w:hint="eastAsia"/>
        </w:rPr>
        <w:t>28.00%</w:t>
      </w:r>
      <w:r>
        <w:rPr>
          <w:rFonts w:hint="default"/>
        </w:rPr>
        <w:t>）</w:t>
      </w:r>
      <w:r>
        <w:t>。</w:t>
      </w:r>
    </w:p>
    <w:p>
      <w:pPr>
        <w:rPr>
          <w:rFonts w:cs="宋体"/>
          <w:color w:val="000000"/>
          <w:szCs w:val="21"/>
        </w:rPr>
      </w:pPr>
      <w:r>
        <w:rPr>
          <w:rFonts w:cs="宋体"/>
          <w:color w:val="000000"/>
          <w:szCs w:val="21"/>
        </w:rPr>
        <w:drawing>
          <wp:inline distT="0" distB="0" distL="0" distR="0">
            <wp:extent cx="5447030" cy="2668905"/>
            <wp:effectExtent l="0" t="0" r="13970" b="23495"/>
            <wp:docPr id="5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203"/>
        <w:bidi w:val="0"/>
      </w:pPr>
      <w:r>
        <w:rPr>
          <w:rFonts w:hint="eastAsia"/>
        </w:rPr>
        <w:t>图</w:t>
      </w:r>
      <w:r>
        <w:rPr>
          <w:rFonts w:hint="default"/>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10</w:t>
      </w:r>
      <w:r>
        <w:rPr>
          <w:rFonts w:hint="eastAsia"/>
        </w:rPr>
        <w:fldChar w:fldCharType="end"/>
      </w:r>
      <w:r>
        <w:t xml:space="preserve"> </w:t>
      </w:r>
      <w:r>
        <w:rPr>
          <w:rFonts w:hint="eastAsia"/>
        </w:rPr>
        <w:t xml:space="preserve"> 2021届毕业生</w:t>
      </w:r>
      <w:r>
        <w:rPr>
          <w:rFonts w:hint="eastAsia"/>
          <w:lang w:val="en-US" w:eastAsia="zh-Hans"/>
        </w:rPr>
        <w:t>创业原因分布</w:t>
      </w:r>
      <w:r>
        <w:rPr>
          <w:rFonts w:hint="eastAsia"/>
        </w:rPr>
        <w:t xml:space="preserve"> </w:t>
      </w:r>
    </w:p>
    <w:p>
      <w:pPr>
        <w:pStyle w:val="136"/>
        <w:bidi w:val="0"/>
        <w:rPr>
          <w:rFonts w:hint="eastAsia" w:ascii="宋体" w:hAnsi="宋体" w:eastAsia="宋体"/>
          <w:b/>
          <w:color w:val="4F81BD" w:themeColor="accent1"/>
          <w:sz w:val="24"/>
          <w:szCs w:val="24"/>
          <w:lang w:val="en-US" w:eastAsia="zh-Hans"/>
          <w14:textFill>
            <w14:solidFill>
              <w14:schemeClr w14:val="accent1"/>
            </w14:solidFill>
          </w14:textFill>
        </w:rPr>
      </w:pPr>
      <w:r>
        <w:rPr>
          <w:rFonts w:hint="eastAsia" w:ascii="宋体" w:hAnsi="宋体"/>
          <w:b/>
          <w:color w:val="4F81BD" w:themeColor="accent1"/>
          <w:sz w:val="24"/>
          <w:szCs w:val="24"/>
          <w:lang w:val="en-US" w:eastAsia="zh-Hans"/>
          <w14:textFill>
            <w14:solidFill>
              <w14:schemeClr w14:val="accent1"/>
            </w14:solidFill>
          </w14:textFill>
        </w:rPr>
        <w:t>创业方式</w:t>
      </w:r>
      <w:r>
        <w:rPr>
          <w:rFonts w:hint="default" w:ascii="宋体" w:hAnsi="宋体"/>
          <w:b/>
          <w:color w:val="4F81BD" w:themeColor="accent1"/>
          <w:sz w:val="24"/>
          <w:szCs w:val="24"/>
          <w:lang w:eastAsia="zh-Hans"/>
          <w14:textFill>
            <w14:solidFill>
              <w14:schemeClr w14:val="accent1"/>
            </w14:solidFill>
          </w14:textFill>
        </w:rPr>
        <w:t>：</w:t>
      </w:r>
      <w:r>
        <w:rPr>
          <w:rStyle w:val="200"/>
          <w:rFonts w:hint="default"/>
        </w:rPr>
        <w:t>2021</w:t>
      </w:r>
      <w:r>
        <w:rPr>
          <w:rStyle w:val="200"/>
          <w:rFonts w:hint="eastAsia"/>
          <w:lang w:val="en-US" w:eastAsia="zh-Hans"/>
        </w:rPr>
        <w:t>届创业毕业生中</w:t>
      </w:r>
      <w:r>
        <w:rPr>
          <w:rStyle w:val="200"/>
          <w:rFonts w:hint="default"/>
          <w:lang w:eastAsia="zh-Hans"/>
        </w:rPr>
        <w:t>，</w:t>
      </w:r>
      <w:r>
        <w:rPr>
          <w:rStyle w:val="200"/>
          <w:rFonts w:hint="eastAsia"/>
          <w:lang w:val="en-US" w:eastAsia="zh-Hans"/>
        </w:rPr>
        <w:t>创业的主要方式是“</w:t>
      </w:r>
      <w:r>
        <w:rPr>
          <w:rStyle w:val="200"/>
          <w:rFonts w:hint="default"/>
          <w:lang w:eastAsia="zh-Hans"/>
        </w:rPr>
        <w:t>个人创业</w:t>
      </w:r>
      <w:r>
        <w:rPr>
          <w:rStyle w:val="200"/>
          <w:rFonts w:hint="eastAsia"/>
          <w:lang w:eastAsia="zh-Hans"/>
        </w:rPr>
        <w:t>”</w:t>
      </w:r>
      <w:r>
        <w:rPr>
          <w:rStyle w:val="200"/>
          <w:rFonts w:hint="default"/>
          <w:lang w:eastAsia="zh-Hans"/>
        </w:rPr>
        <w:t>（32.00%），</w:t>
      </w:r>
      <w:r>
        <w:rPr>
          <w:rStyle w:val="200"/>
          <w:rFonts w:hint="eastAsia"/>
          <w:lang w:val="en-US" w:eastAsia="zh-Hans"/>
        </w:rPr>
        <w:t>其次是“</w:t>
      </w:r>
      <w:r>
        <w:rPr>
          <w:rStyle w:val="200"/>
          <w:rFonts w:hint="default"/>
          <w:lang w:eastAsia="zh-Hans"/>
        </w:rPr>
        <w:t>与人合伙创业(参与项目团队创业)</w:t>
      </w:r>
      <w:r>
        <w:rPr>
          <w:rStyle w:val="200"/>
          <w:rFonts w:hint="default"/>
          <w:lang w:eastAsia="zh-Hans"/>
        </w:rPr>
        <w:tab/>
      </w:r>
      <w:r>
        <w:rPr>
          <w:rStyle w:val="200"/>
          <w:rFonts w:hint="eastAsia"/>
          <w:lang w:eastAsia="zh-Hans"/>
        </w:rPr>
        <w:t>”</w:t>
      </w:r>
      <w:r>
        <w:rPr>
          <w:rStyle w:val="200"/>
          <w:rFonts w:hint="default"/>
          <w:lang w:eastAsia="zh-Hans"/>
        </w:rPr>
        <w:t>（28.00%）。</w:t>
      </w:r>
    </w:p>
    <w:p>
      <w:pPr>
        <w:pStyle w:val="181"/>
        <w:tabs>
          <w:tab w:val="left" w:pos="400"/>
          <w:tab w:val="center" w:pos="4394"/>
        </w:tabs>
        <w:spacing w:before="156" w:after="156" w:line="240" w:lineRule="auto"/>
        <w:rPr>
          <w:rFonts w:hint="eastAsia"/>
          <w:lang w:val="en-US" w:eastAsia="zh-Hans"/>
        </w:rPr>
      </w:pPr>
      <w:r>
        <w:drawing>
          <wp:inline distT="0" distB="0" distL="0" distR="0">
            <wp:extent cx="5468620" cy="2609850"/>
            <wp:effectExtent l="6350" t="6350" r="11430" b="2540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11</w:t>
      </w:r>
      <w:r>
        <w:rPr>
          <w:rFonts w:hint="eastAsia"/>
        </w:rPr>
        <w:fldChar w:fldCharType="end"/>
      </w:r>
      <w:r>
        <w:t xml:space="preserve">  </w:t>
      </w:r>
      <w:r>
        <w:rPr>
          <w:rFonts w:hint="eastAsia"/>
        </w:rPr>
        <w:t>2021届毕业生</w:t>
      </w:r>
      <w:r>
        <w:rPr>
          <w:rFonts w:hint="eastAsia"/>
          <w:lang w:val="en-US" w:eastAsia="zh-Hans"/>
        </w:rPr>
        <w:t>创业方式分布</w:t>
      </w:r>
    </w:p>
    <w:p>
      <w:pPr>
        <w:pStyle w:val="88"/>
        <w:bidi w:val="0"/>
        <w:rPr>
          <w:rFonts w:hint="eastAsia"/>
        </w:rPr>
        <w:sectPr>
          <w:pgSz w:w="11907" w:h="16160"/>
          <w:pgMar w:top="1418" w:right="1418" w:bottom="1418" w:left="1701" w:header="850" w:footer="397"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136"/>
        <w:bidi w:val="0"/>
        <w:rPr>
          <w:rStyle w:val="200"/>
          <w:rFonts w:hint="default"/>
          <w:lang w:eastAsia="zh-Hans"/>
        </w:rPr>
      </w:pPr>
      <w:r>
        <w:rPr>
          <w:rFonts w:hint="eastAsia" w:ascii="宋体" w:hAnsi="宋体"/>
          <w:b/>
          <w:color w:val="4F81BD" w:themeColor="accent1"/>
          <w:sz w:val="24"/>
          <w:szCs w:val="24"/>
          <w:lang w:val="en-US" w:eastAsia="zh-Hans"/>
          <w14:textFill>
            <w14:solidFill>
              <w14:schemeClr w14:val="accent1"/>
            </w14:solidFill>
          </w14:textFill>
        </w:rPr>
        <w:t>创业政策</w:t>
      </w:r>
      <w:r>
        <w:rPr>
          <w:rFonts w:hint="default" w:ascii="宋体" w:hAnsi="宋体"/>
          <w:b/>
          <w:color w:val="4F81BD" w:themeColor="accent1"/>
          <w:sz w:val="24"/>
          <w:szCs w:val="24"/>
          <w:lang w:eastAsia="zh-Hans"/>
          <w14:textFill>
            <w14:solidFill>
              <w14:schemeClr w14:val="accent1"/>
            </w14:solidFill>
          </w14:textFill>
        </w:rPr>
        <w:t>：</w:t>
      </w:r>
      <w:r>
        <w:rPr>
          <w:rStyle w:val="200"/>
          <w:rFonts w:hint="default"/>
        </w:rPr>
        <w:t>2021</w:t>
      </w:r>
      <w:r>
        <w:rPr>
          <w:rStyle w:val="200"/>
          <w:rFonts w:hint="eastAsia"/>
          <w:lang w:val="en-US" w:eastAsia="zh-Hans"/>
        </w:rPr>
        <w:t>届创业毕业生中</w:t>
      </w:r>
      <w:r>
        <w:rPr>
          <w:rStyle w:val="200"/>
          <w:rFonts w:hint="default"/>
          <w:lang w:eastAsia="zh-Hans"/>
        </w:rPr>
        <w:t>，</w:t>
      </w:r>
      <w:r>
        <w:rPr>
          <w:rStyle w:val="200"/>
          <w:rFonts w:hint="eastAsia"/>
          <w:lang w:val="en-US" w:eastAsia="zh-Hans"/>
        </w:rPr>
        <w:t>享受的国家或地方出台的优惠政策主要为“注册登记改革制度政策”</w:t>
      </w:r>
      <w:r>
        <w:rPr>
          <w:rStyle w:val="200"/>
          <w:rFonts w:hint="default"/>
          <w:lang w:eastAsia="zh-Hans"/>
        </w:rPr>
        <w:t>（</w:t>
      </w:r>
      <w:r>
        <w:rPr>
          <w:rStyle w:val="200"/>
          <w:rFonts w:hint="eastAsia"/>
          <w:lang w:val="en-US" w:eastAsia="zh-Hans"/>
        </w:rPr>
        <w:t>40.00</w:t>
      </w:r>
      <w:r>
        <w:rPr>
          <w:rStyle w:val="200"/>
          <w:rFonts w:hint="default"/>
          <w:lang w:eastAsia="zh-Hans"/>
        </w:rPr>
        <w:t>）</w:t>
      </w:r>
      <w:r>
        <w:rPr>
          <w:rStyle w:val="200"/>
          <w:rFonts w:hint="eastAsia"/>
          <w:lang w:val="en-US" w:eastAsia="zh-Hans"/>
        </w:rPr>
        <w:t>%</w:t>
      </w:r>
      <w:r>
        <w:rPr>
          <w:rStyle w:val="200"/>
          <w:rFonts w:hint="default"/>
          <w:lang w:eastAsia="zh-Hans"/>
        </w:rPr>
        <w:t>，</w:t>
      </w:r>
      <w:r>
        <w:rPr>
          <w:rStyle w:val="200"/>
          <w:rFonts w:hint="eastAsia"/>
          <w:lang w:val="en-US" w:eastAsia="zh-Hans"/>
        </w:rPr>
        <w:t>其次为</w:t>
      </w:r>
      <w:r>
        <w:rPr>
          <w:rStyle w:val="200"/>
          <w:rFonts w:hint="eastAsia"/>
          <w:lang w:eastAsia="zh-Hans"/>
        </w:rPr>
        <w:t>“</w:t>
      </w:r>
      <w:r>
        <w:rPr>
          <w:rStyle w:val="200"/>
          <w:rFonts w:hint="eastAsia"/>
          <w:lang w:val="en-US" w:eastAsia="zh-Hans"/>
        </w:rPr>
        <w:t>创业担保贷款扶持政策”</w:t>
      </w:r>
      <w:r>
        <w:rPr>
          <w:rStyle w:val="200"/>
          <w:rFonts w:hint="default"/>
          <w:lang w:eastAsia="zh-Hans"/>
        </w:rPr>
        <w:t>（</w:t>
      </w:r>
      <w:r>
        <w:rPr>
          <w:rStyle w:val="200"/>
          <w:rFonts w:hint="eastAsia"/>
          <w:lang w:val="en-US" w:eastAsia="zh-Hans"/>
        </w:rPr>
        <w:t>12.00%</w:t>
      </w:r>
      <w:r>
        <w:rPr>
          <w:rStyle w:val="200"/>
          <w:rFonts w:hint="default"/>
          <w:lang w:eastAsia="zh-Hans"/>
        </w:rPr>
        <w:t>）</w:t>
      </w:r>
      <w:r>
        <w:rPr>
          <w:rStyle w:val="200"/>
          <w:rFonts w:hint="eastAsia"/>
          <w:lang w:val="en-US" w:eastAsia="zh-Hans"/>
        </w:rPr>
        <w:t>和“创业培训政策”</w:t>
      </w:r>
      <w:r>
        <w:rPr>
          <w:rStyle w:val="200"/>
          <w:rFonts w:hint="default"/>
          <w:lang w:eastAsia="zh-Hans"/>
        </w:rPr>
        <w:t>（</w:t>
      </w:r>
      <w:r>
        <w:rPr>
          <w:rStyle w:val="200"/>
          <w:rFonts w:hint="eastAsia"/>
          <w:lang w:val="en-US" w:eastAsia="zh-Hans"/>
        </w:rPr>
        <w:t>12.00%</w:t>
      </w:r>
      <w:r>
        <w:rPr>
          <w:rStyle w:val="200"/>
          <w:rFonts w:hint="default"/>
          <w:lang w:eastAsia="zh-Hans"/>
        </w:rPr>
        <w:t>）。</w:t>
      </w:r>
    </w:p>
    <w:p>
      <w:pPr>
        <w:pStyle w:val="136"/>
        <w:bidi w:val="0"/>
        <w:rPr>
          <w:rFonts w:cs="宋体"/>
          <w:color w:val="000000"/>
          <w:szCs w:val="21"/>
        </w:rPr>
      </w:pPr>
      <w:r>
        <w:rPr>
          <w:rFonts w:cs="宋体"/>
          <w:color w:val="000000"/>
          <w:szCs w:val="21"/>
        </w:rPr>
        <w:drawing>
          <wp:inline distT="0" distB="0" distL="0" distR="0">
            <wp:extent cx="5447030" cy="2668905"/>
            <wp:effectExtent l="0" t="0" r="13970" b="23495"/>
            <wp:docPr id="6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12</w:t>
      </w:r>
      <w:r>
        <w:rPr>
          <w:rFonts w:hint="eastAsia"/>
        </w:rPr>
        <w:fldChar w:fldCharType="end"/>
      </w:r>
      <w:r>
        <w:t xml:space="preserve">  </w:t>
      </w:r>
      <w:r>
        <w:rPr>
          <w:rFonts w:hint="eastAsia"/>
        </w:rPr>
        <w:t>2021届毕业生</w:t>
      </w:r>
      <w:r>
        <w:rPr>
          <w:rFonts w:hint="eastAsia"/>
          <w:lang w:val="en-US" w:eastAsia="zh-Hans"/>
        </w:rPr>
        <w:t>创业政策</w:t>
      </w:r>
    </w:p>
    <w:p>
      <w:pPr>
        <w:pStyle w:val="136"/>
        <w:bidi w:val="0"/>
        <w:rPr>
          <w:rFonts w:hint="eastAsia" w:eastAsia="宋体" w:cs="宋体"/>
          <w:color w:val="000000"/>
          <w:szCs w:val="21"/>
          <w:lang w:val="en-US" w:eastAsia="zh-Hans"/>
        </w:rPr>
      </w:pPr>
      <w:r>
        <w:rPr>
          <w:rFonts w:hint="eastAsia" w:ascii="宋体" w:hAnsi="宋体" w:eastAsia="宋体"/>
          <w:b/>
          <w:color w:val="4F81BD" w:themeColor="accent1"/>
          <w:sz w:val="24"/>
          <w:szCs w:val="24"/>
          <w:lang w:val="en-US" w:eastAsia="zh-Hans"/>
          <w14:textFill>
            <w14:solidFill>
              <w14:schemeClr w14:val="accent1"/>
            </w14:solidFill>
          </w14:textFill>
        </w:rPr>
        <w:t>创业困难</w:t>
      </w:r>
      <w:r>
        <w:rPr>
          <w:rFonts w:hint="default" w:ascii="宋体" w:hAnsi="宋体" w:eastAsia="宋体"/>
          <w:b/>
          <w:color w:val="4F81BD" w:themeColor="accent1"/>
          <w:sz w:val="24"/>
          <w:szCs w:val="24"/>
          <w:lang w:eastAsia="zh-Hans"/>
          <w14:textFill>
            <w14:solidFill>
              <w14:schemeClr w14:val="accent1"/>
            </w14:solidFill>
          </w14:textFill>
        </w:rPr>
        <w:t>：</w:t>
      </w:r>
      <w:r>
        <w:rPr>
          <w:rStyle w:val="200"/>
          <w:rFonts w:hint="default"/>
        </w:rPr>
        <w:t>2021</w:t>
      </w:r>
      <w:r>
        <w:rPr>
          <w:rStyle w:val="200"/>
          <w:rFonts w:hint="eastAsia"/>
          <w:lang w:val="en-US" w:eastAsia="zh-Hans"/>
        </w:rPr>
        <w:t>届创业毕业生中</w:t>
      </w:r>
      <w:r>
        <w:rPr>
          <w:rStyle w:val="200"/>
          <w:rFonts w:hint="default"/>
          <w:lang w:eastAsia="zh-Hans"/>
        </w:rPr>
        <w:t>，</w:t>
      </w:r>
      <w:r>
        <w:rPr>
          <w:rStyle w:val="200"/>
          <w:rFonts w:hint="eastAsia"/>
          <w:lang w:val="en-US" w:eastAsia="zh-Hans"/>
        </w:rPr>
        <w:t>创业过程中遇到的主要困难是“创业团队组建”</w:t>
      </w:r>
      <w:r>
        <w:rPr>
          <w:rStyle w:val="200"/>
          <w:rFonts w:hint="default"/>
          <w:lang w:eastAsia="zh-Hans"/>
        </w:rPr>
        <w:t>（</w:t>
      </w:r>
      <w:r>
        <w:rPr>
          <w:rStyle w:val="200"/>
          <w:rFonts w:hint="eastAsia"/>
          <w:lang w:val="en-US" w:eastAsia="zh-Hans"/>
        </w:rPr>
        <w:t>40.00%</w:t>
      </w:r>
      <w:r>
        <w:rPr>
          <w:rStyle w:val="200"/>
          <w:rFonts w:hint="default"/>
          <w:lang w:eastAsia="zh-Hans"/>
        </w:rPr>
        <w:t>）</w:t>
      </w:r>
      <w:r>
        <w:rPr>
          <w:rStyle w:val="200"/>
          <w:rFonts w:hint="eastAsia"/>
          <w:lang w:val="en-US" w:eastAsia="zh-Hans"/>
        </w:rPr>
        <w:t>和“资金筹备</w:t>
      </w:r>
      <w:r>
        <w:rPr>
          <w:rStyle w:val="200"/>
          <w:rFonts w:hint="eastAsia"/>
          <w:lang w:val="en-US" w:eastAsia="zh-Hans"/>
        </w:rPr>
        <w:tab/>
      </w:r>
      <w:r>
        <w:rPr>
          <w:rStyle w:val="200"/>
          <w:rFonts w:hint="eastAsia"/>
          <w:lang w:val="en-US" w:eastAsia="zh-Hans"/>
        </w:rPr>
        <w:t>”</w:t>
      </w:r>
      <w:r>
        <w:rPr>
          <w:rStyle w:val="200"/>
          <w:rFonts w:hint="default"/>
          <w:lang w:eastAsia="zh-Hans"/>
        </w:rPr>
        <w:t>（</w:t>
      </w:r>
      <w:r>
        <w:rPr>
          <w:rStyle w:val="200"/>
          <w:rFonts w:hint="eastAsia"/>
          <w:lang w:val="en-US" w:eastAsia="zh-Hans"/>
        </w:rPr>
        <w:t>40.00%</w:t>
      </w:r>
      <w:r>
        <w:rPr>
          <w:rStyle w:val="200"/>
          <w:rFonts w:hint="default"/>
          <w:lang w:eastAsia="zh-Hans"/>
        </w:rPr>
        <w:t>）。</w:t>
      </w:r>
    </w:p>
    <w:p>
      <w:pPr>
        <w:pStyle w:val="181"/>
        <w:tabs>
          <w:tab w:val="left" w:pos="400"/>
          <w:tab w:val="center" w:pos="4394"/>
        </w:tabs>
        <w:spacing w:before="156" w:after="156" w:line="240" w:lineRule="auto"/>
        <w:rPr>
          <w:rFonts w:hint="eastAsia"/>
          <w:lang w:val="en-US" w:eastAsia="zh-Hans"/>
        </w:rPr>
      </w:pPr>
      <w:r>
        <w:rPr>
          <w:rFonts w:cs="宋体"/>
          <w:color w:val="000000"/>
          <w:szCs w:val="21"/>
        </w:rPr>
        <w:drawing>
          <wp:inline distT="0" distB="0" distL="0" distR="0">
            <wp:extent cx="5447030" cy="2668905"/>
            <wp:effectExtent l="0" t="0" r="13970" b="23495"/>
            <wp:docPr id="6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13</w:t>
      </w:r>
      <w:r>
        <w:rPr>
          <w:rFonts w:hint="eastAsia"/>
        </w:rPr>
        <w:fldChar w:fldCharType="end"/>
      </w:r>
      <w:r>
        <w:t xml:space="preserve">  </w:t>
      </w:r>
      <w:r>
        <w:rPr>
          <w:rFonts w:hint="eastAsia"/>
        </w:rPr>
        <w:t>2021届毕业生</w:t>
      </w:r>
      <w:r>
        <w:rPr>
          <w:rFonts w:hint="eastAsia"/>
          <w:lang w:val="en-US" w:eastAsia="zh-Hans"/>
        </w:rPr>
        <w:t>创业困难分布</w:t>
      </w:r>
    </w:p>
    <w:p>
      <w:pPr>
        <w:pStyle w:val="136"/>
        <w:bidi w:val="0"/>
        <w:rPr>
          <w:rFonts w:hint="eastAsia" w:eastAsia="宋体" w:cs="宋体"/>
          <w:color w:val="000000"/>
          <w:szCs w:val="21"/>
          <w:lang w:val="en-US" w:eastAsia="zh-Hans"/>
        </w:rPr>
      </w:pPr>
      <w:r>
        <w:rPr>
          <w:rFonts w:hint="eastAsia" w:ascii="宋体" w:hAnsi="宋体" w:eastAsia="宋体"/>
          <w:b/>
          <w:color w:val="4F81BD" w:themeColor="accent1"/>
          <w:sz w:val="24"/>
          <w:szCs w:val="24"/>
          <w:lang w:val="en-US" w:eastAsia="zh-Hans"/>
          <w14:textFill>
            <w14:solidFill>
              <w14:schemeClr w14:val="accent1"/>
            </w14:solidFill>
          </w14:textFill>
        </w:rPr>
        <w:t>创业能力</w:t>
      </w:r>
      <w:r>
        <w:rPr>
          <w:rFonts w:hint="default" w:ascii="宋体" w:hAnsi="宋体" w:eastAsia="宋体"/>
          <w:b/>
          <w:color w:val="4F81BD" w:themeColor="accent1"/>
          <w:sz w:val="24"/>
          <w:szCs w:val="24"/>
          <w:lang w:eastAsia="zh-Hans"/>
          <w14:textFill>
            <w14:solidFill>
              <w14:schemeClr w14:val="accent1"/>
            </w14:solidFill>
          </w14:textFill>
        </w:rPr>
        <w:t>：</w:t>
      </w:r>
      <w:r>
        <w:rPr>
          <w:rStyle w:val="200"/>
          <w:rFonts w:hint="default"/>
        </w:rPr>
        <w:t>2021</w:t>
      </w:r>
      <w:r>
        <w:rPr>
          <w:rStyle w:val="200"/>
          <w:rFonts w:hint="eastAsia"/>
          <w:lang w:val="en-US" w:eastAsia="zh-Hans"/>
        </w:rPr>
        <w:t>届创业毕业生中</w:t>
      </w:r>
      <w:r>
        <w:rPr>
          <w:rStyle w:val="200"/>
          <w:rFonts w:hint="default"/>
          <w:lang w:eastAsia="zh-Hans"/>
        </w:rPr>
        <w:t>，</w:t>
      </w:r>
      <w:r>
        <w:rPr>
          <w:rStyle w:val="200"/>
          <w:rFonts w:hint="eastAsia"/>
          <w:lang w:val="en-US" w:eastAsia="zh-Hans"/>
        </w:rPr>
        <w:t>创业需要具备的关键能力主要是“专业基础知识”</w:t>
      </w:r>
      <w:r>
        <w:rPr>
          <w:rStyle w:val="200"/>
          <w:rFonts w:hint="default"/>
          <w:lang w:eastAsia="zh-Hans"/>
        </w:rPr>
        <w:t>（</w:t>
      </w:r>
      <w:r>
        <w:rPr>
          <w:rStyle w:val="200"/>
          <w:rFonts w:hint="eastAsia"/>
          <w:lang w:val="en-US" w:eastAsia="zh-Hans"/>
        </w:rPr>
        <w:t>44.00%</w:t>
      </w:r>
      <w:r>
        <w:rPr>
          <w:rStyle w:val="200"/>
          <w:rFonts w:hint="default"/>
          <w:lang w:eastAsia="zh-Hans"/>
        </w:rPr>
        <w:t>），</w:t>
      </w:r>
      <w:r>
        <w:rPr>
          <w:rStyle w:val="200"/>
          <w:rFonts w:hint="eastAsia"/>
          <w:lang w:val="en-US" w:eastAsia="zh-Hans"/>
        </w:rPr>
        <w:t>其次是“持续学习能力”</w:t>
      </w:r>
      <w:r>
        <w:rPr>
          <w:rStyle w:val="200"/>
          <w:rFonts w:hint="default"/>
          <w:lang w:eastAsia="zh-Hans"/>
        </w:rPr>
        <w:t>（</w:t>
      </w:r>
      <w:r>
        <w:rPr>
          <w:rStyle w:val="200"/>
          <w:rFonts w:hint="eastAsia"/>
          <w:lang w:val="en-US" w:eastAsia="zh-Hans"/>
        </w:rPr>
        <w:t>36.00%</w:t>
      </w:r>
      <w:r>
        <w:rPr>
          <w:rStyle w:val="200"/>
          <w:rFonts w:hint="default"/>
          <w:lang w:eastAsia="zh-Hans"/>
        </w:rPr>
        <w:t>）</w:t>
      </w:r>
      <w:r>
        <w:rPr>
          <w:rStyle w:val="200"/>
          <w:rFonts w:hint="eastAsia"/>
          <w:lang w:val="en-US" w:eastAsia="zh-Hans"/>
        </w:rPr>
        <w:t>和“沟通协调与处理社会关系能力”</w:t>
      </w:r>
      <w:r>
        <w:rPr>
          <w:rStyle w:val="200"/>
          <w:rFonts w:hint="default"/>
          <w:lang w:eastAsia="zh-Hans"/>
        </w:rPr>
        <w:t>（</w:t>
      </w:r>
      <w:r>
        <w:rPr>
          <w:rStyle w:val="200"/>
          <w:rFonts w:hint="eastAsia"/>
          <w:lang w:val="en-US" w:eastAsia="zh-Hans"/>
        </w:rPr>
        <w:t>36.00%</w:t>
      </w:r>
      <w:r>
        <w:rPr>
          <w:rStyle w:val="200"/>
          <w:rFonts w:hint="default"/>
          <w:lang w:eastAsia="zh-Hans"/>
        </w:rPr>
        <w:t>）。</w:t>
      </w:r>
    </w:p>
    <w:p>
      <w:pPr>
        <w:pStyle w:val="181"/>
        <w:tabs>
          <w:tab w:val="left" w:pos="400"/>
          <w:tab w:val="center" w:pos="4394"/>
        </w:tabs>
        <w:spacing w:before="156" w:after="156" w:line="240" w:lineRule="auto"/>
        <w:rPr>
          <w:rFonts w:hint="eastAsia"/>
          <w:lang w:val="en-US" w:eastAsia="zh-Hans"/>
        </w:rPr>
      </w:pPr>
      <w:r>
        <w:rPr>
          <w:rFonts w:cs="宋体"/>
          <w:color w:val="000000"/>
          <w:szCs w:val="21"/>
        </w:rPr>
        <w:drawing>
          <wp:inline distT="0" distB="0" distL="0" distR="0">
            <wp:extent cx="5447030" cy="2668905"/>
            <wp:effectExtent l="0" t="0" r="13970" b="23495"/>
            <wp:docPr id="6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14</w:t>
      </w:r>
      <w:r>
        <w:rPr>
          <w:rFonts w:hint="eastAsia"/>
        </w:rPr>
        <w:fldChar w:fldCharType="end"/>
      </w:r>
      <w:r>
        <w:t xml:space="preserve">  </w:t>
      </w:r>
      <w:r>
        <w:rPr>
          <w:rFonts w:hint="eastAsia"/>
        </w:rPr>
        <w:t>2021届毕业生</w:t>
      </w:r>
      <w:r>
        <w:rPr>
          <w:rFonts w:hint="eastAsia"/>
          <w:lang w:val="en-US" w:eastAsia="zh-Hans"/>
        </w:rPr>
        <w:t>创业需具备的能力分布</w:t>
      </w:r>
    </w:p>
    <w:p>
      <w:pPr>
        <w:pStyle w:val="136"/>
        <w:bidi w:val="0"/>
        <w:rPr>
          <w:rFonts w:cs="宋体"/>
          <w:color w:val="000000"/>
          <w:szCs w:val="21"/>
        </w:rPr>
      </w:pPr>
      <w:r>
        <w:rPr>
          <w:rFonts w:hint="eastAsia" w:ascii="宋体" w:hAnsi="宋体" w:eastAsia="宋体"/>
          <w:b/>
          <w:color w:val="4F81BD" w:themeColor="accent1"/>
          <w:sz w:val="24"/>
          <w:szCs w:val="24"/>
          <w:lang w:val="en-US" w:eastAsia="zh-Hans"/>
          <w14:textFill>
            <w14:solidFill>
              <w14:schemeClr w14:val="accent1"/>
            </w14:solidFill>
          </w14:textFill>
        </w:rPr>
        <w:t>加强创业服务：</w:t>
      </w:r>
      <w:r>
        <w:rPr>
          <w:rFonts w:hint="eastAsia" w:cs="宋体"/>
          <w:color w:val="000000"/>
          <w:szCs w:val="21"/>
        </w:rPr>
        <w:t>2021届毕业生认为学校</w:t>
      </w:r>
      <w:r>
        <w:rPr>
          <w:rFonts w:hint="eastAsia" w:cs="宋体"/>
          <w:color w:val="000000"/>
          <w:szCs w:val="21"/>
          <w:lang w:val="en-US" w:eastAsia="zh-Hans"/>
        </w:rPr>
        <w:t>应该</w:t>
      </w:r>
      <w:r>
        <w:rPr>
          <w:rFonts w:hint="eastAsia" w:cs="宋体"/>
          <w:color w:val="000000"/>
          <w:szCs w:val="21"/>
        </w:rPr>
        <w:t>加强</w:t>
      </w:r>
      <w:r>
        <w:rPr>
          <w:rFonts w:hint="eastAsia" w:cs="宋体"/>
          <w:color w:val="000000"/>
          <w:szCs w:val="21"/>
          <w:lang w:val="en-US" w:eastAsia="zh-Hans"/>
        </w:rPr>
        <w:t>的</w:t>
      </w:r>
      <w:r>
        <w:rPr>
          <w:rFonts w:hint="eastAsia" w:cs="宋体"/>
          <w:color w:val="000000"/>
          <w:szCs w:val="21"/>
        </w:rPr>
        <w:t>创业服务工作</w:t>
      </w:r>
      <w:r>
        <w:rPr>
          <w:rFonts w:hint="eastAsia" w:cs="宋体"/>
          <w:color w:val="000000"/>
          <w:szCs w:val="21"/>
          <w:lang w:val="en-US" w:eastAsia="zh-Hans"/>
        </w:rPr>
        <w:t>为“</w:t>
      </w:r>
      <w:r>
        <w:rPr>
          <w:rFonts w:hint="eastAsia" w:cs="宋体"/>
          <w:color w:val="000000"/>
          <w:szCs w:val="21"/>
        </w:rPr>
        <w:t>创业相关课程</w:t>
      </w:r>
      <w:r>
        <w:rPr>
          <w:rFonts w:hint="eastAsia" w:cs="宋体"/>
          <w:color w:val="000000"/>
          <w:szCs w:val="21"/>
          <w:lang w:eastAsia="zh-Hans"/>
        </w:rPr>
        <w:t>”</w:t>
      </w:r>
      <w:r>
        <w:rPr>
          <w:rFonts w:hint="default" w:cs="宋体"/>
          <w:color w:val="000000"/>
          <w:szCs w:val="21"/>
          <w:lang w:eastAsia="zh-Hans"/>
        </w:rPr>
        <w:t>（</w:t>
      </w:r>
      <w:r>
        <w:rPr>
          <w:rFonts w:hint="eastAsia" w:cs="宋体"/>
          <w:color w:val="000000"/>
          <w:szCs w:val="21"/>
        </w:rPr>
        <w:t>48.00%</w:t>
      </w:r>
      <w:r>
        <w:rPr>
          <w:rFonts w:hint="default" w:cs="宋体"/>
          <w:color w:val="000000"/>
          <w:szCs w:val="21"/>
        </w:rPr>
        <w:t>），</w:t>
      </w:r>
      <w:r>
        <w:rPr>
          <w:rFonts w:hint="eastAsia" w:cs="宋体"/>
          <w:color w:val="000000"/>
          <w:szCs w:val="21"/>
          <w:lang w:val="en-US" w:eastAsia="zh-Hans"/>
        </w:rPr>
        <w:t>其次是加强“</w:t>
      </w:r>
      <w:r>
        <w:rPr>
          <w:rFonts w:hint="eastAsia" w:cs="宋体"/>
          <w:color w:val="000000"/>
          <w:szCs w:val="21"/>
        </w:rPr>
        <w:t>创新创业大赛</w:t>
      </w:r>
      <w:r>
        <w:rPr>
          <w:rFonts w:hint="eastAsia" w:cs="宋体"/>
          <w:color w:val="000000"/>
          <w:szCs w:val="21"/>
          <w:lang w:eastAsia="zh-Hans"/>
        </w:rPr>
        <w:t>”</w:t>
      </w:r>
      <w:r>
        <w:rPr>
          <w:rFonts w:hint="default" w:cs="宋体"/>
          <w:color w:val="000000"/>
          <w:szCs w:val="21"/>
          <w:lang w:eastAsia="zh-Hans"/>
        </w:rPr>
        <w:t>（</w:t>
      </w:r>
      <w:r>
        <w:rPr>
          <w:rFonts w:hint="eastAsia" w:cs="宋体"/>
          <w:color w:val="000000"/>
          <w:szCs w:val="21"/>
        </w:rPr>
        <w:t>36.00%</w:t>
      </w:r>
      <w:r>
        <w:rPr>
          <w:rFonts w:hint="default" w:cs="宋体"/>
          <w:color w:val="000000"/>
          <w:szCs w:val="21"/>
        </w:rPr>
        <w:t>）。</w:t>
      </w:r>
    </w:p>
    <w:p>
      <w:pPr>
        <w:pStyle w:val="181"/>
        <w:tabs>
          <w:tab w:val="left" w:pos="400"/>
          <w:tab w:val="center" w:pos="4394"/>
        </w:tabs>
        <w:spacing w:before="156" w:after="156" w:line="240" w:lineRule="auto"/>
        <w:rPr>
          <w:rFonts w:hint="eastAsia"/>
          <w:lang w:val="en-US" w:eastAsia="zh-Hans"/>
        </w:rPr>
      </w:pPr>
      <w:r>
        <w:rPr>
          <w:rFonts w:cs="宋体"/>
          <w:color w:val="000000"/>
          <w:szCs w:val="21"/>
        </w:rPr>
        <w:drawing>
          <wp:inline distT="0" distB="0" distL="0" distR="0">
            <wp:extent cx="5447030" cy="2668905"/>
            <wp:effectExtent l="0" t="0" r="13970" b="23495"/>
            <wp:docPr id="6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hint="eastAsia"/>
        </w:rPr>
        <w:t>图</w:t>
      </w:r>
      <w:r>
        <w:rPr>
          <w:rFonts w:hint="default" w:eastAsia="宋体"/>
        </w:rPr>
        <w:t>7</w:t>
      </w:r>
      <w:r>
        <w:rPr>
          <w:rFonts w:hint="eastAsia"/>
        </w:rPr>
        <w:t xml:space="preserve">- </w:t>
      </w:r>
      <w:r>
        <w:rPr>
          <w:rFonts w:hint="eastAsia"/>
        </w:rPr>
        <w:fldChar w:fldCharType="begin"/>
      </w:r>
      <w:r>
        <w:rPr>
          <w:rFonts w:hint="eastAsia"/>
        </w:rPr>
        <w:instrText xml:space="preserve"> SEQ 图</w:instrText>
      </w:r>
      <w:r>
        <w:rPr>
          <w:rFonts w:hint="default"/>
        </w:rPr>
        <w:instrText xml:space="preserve">7</w:instrText>
      </w:r>
      <w:r>
        <w:rPr>
          <w:rFonts w:hint="eastAsia"/>
        </w:rPr>
        <w:instrText xml:space="preserve">- </w:instrText>
      </w:r>
      <w:r>
        <w:rPr>
          <w:rFonts w:hint="eastAsia"/>
        </w:rPr>
        <w:fldChar w:fldCharType="separate"/>
      </w:r>
      <w:r>
        <w:rPr>
          <w:rFonts w:hint="eastAsia"/>
        </w:rPr>
        <w:t>15</w:t>
      </w:r>
      <w:r>
        <w:rPr>
          <w:rFonts w:hint="eastAsia"/>
        </w:rPr>
        <w:fldChar w:fldCharType="end"/>
      </w:r>
      <w:r>
        <w:t xml:space="preserve">  </w:t>
      </w:r>
      <w:r>
        <w:rPr>
          <w:rFonts w:hint="eastAsia"/>
        </w:rPr>
        <w:t>2021届毕业生</w:t>
      </w:r>
      <w:r>
        <w:rPr>
          <w:rFonts w:hint="eastAsia"/>
          <w:lang w:val="en-US" w:eastAsia="zh-Hans"/>
        </w:rPr>
        <w:t>希望学校加强的创业服务类型</w:t>
      </w:r>
    </w:p>
    <w:p>
      <w:pPr>
        <w:rPr>
          <w:rFonts w:hint="eastAsia"/>
        </w:rPr>
        <w:sectPr>
          <w:pgSz w:w="11907" w:h="16160"/>
          <w:pgMar w:top="1418" w:right="1418" w:bottom="1418" w:left="1701" w:header="850" w:footer="397"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rPr>
        <w:br w:type="page"/>
      </w:r>
    </w:p>
    <w:p>
      <w:pPr>
        <w:pStyle w:val="88"/>
        <w:numPr>
          <w:ilvl w:val="0"/>
          <w:numId w:val="3"/>
        </w:numPr>
        <w:bidi w:val="0"/>
        <w:rPr>
          <w:rFonts w:hint="eastAsia"/>
          <w:lang w:val="en-US" w:eastAsia="zh-Hans"/>
        </w:rPr>
      </w:pPr>
      <w:bookmarkStart w:id="154" w:name="_Toc1822996787"/>
      <w:r>
        <w:rPr>
          <w:rFonts w:hint="eastAsia"/>
          <w:lang w:val="en-US" w:eastAsia="zh-Hans"/>
        </w:rPr>
        <w:t>教育教学反馈</w:t>
      </w:r>
      <w:bookmarkEnd w:id="154"/>
    </w:p>
    <w:p>
      <w:pPr>
        <w:pStyle w:val="136"/>
        <w:bidi w:val="0"/>
        <w:rPr>
          <w:rFonts w:hint="eastAsia"/>
          <w:lang w:val="en-US" w:eastAsia="zh-Hans"/>
        </w:rPr>
      </w:pPr>
      <w:r>
        <w:rPr>
          <w:rFonts w:hint="eastAsia"/>
          <w:lang w:val="en-US" w:eastAsia="zh-Hans"/>
        </w:rPr>
        <w:t>本部分数据来源于“铜仁学院2021 届毕业生就业质量调研问卷”和“铜仁学院2021 年用人单位调研问卷”，教育教学反馈主要从毕业生评价和用人单位评价进行分析。</w:t>
      </w:r>
    </w:p>
    <w:p>
      <w:pPr>
        <w:pStyle w:val="142"/>
        <w:bidi w:val="0"/>
      </w:pPr>
      <w:bookmarkStart w:id="155" w:name="_Toc957807360"/>
      <w:bookmarkStart w:id="156" w:name="_Toc91276323"/>
      <w:r>
        <w:rPr>
          <w:rFonts w:hint="eastAsia"/>
        </w:rPr>
        <w:t>一、毕业生对</w:t>
      </w:r>
      <w:r>
        <w:rPr>
          <w:rFonts w:hint="eastAsia"/>
          <w:lang w:val="en-US" w:eastAsia="zh-Hans"/>
        </w:rPr>
        <w:t>母校</w:t>
      </w:r>
      <w:r>
        <w:rPr>
          <w:rFonts w:hint="eastAsia"/>
        </w:rPr>
        <w:t>的评价</w:t>
      </w:r>
      <w:bookmarkEnd w:id="155"/>
      <w:bookmarkEnd w:id="156"/>
    </w:p>
    <w:p>
      <w:pPr>
        <w:pStyle w:val="152"/>
        <w:bidi w:val="0"/>
        <w:rPr>
          <w:rFonts w:hint="eastAsia"/>
          <w:lang w:val="en-US" w:eastAsia="zh-Hans"/>
        </w:rPr>
      </w:pPr>
      <w:bookmarkStart w:id="157" w:name="_Toc330881608"/>
      <w:r>
        <w:rPr>
          <w:rFonts w:hint="default"/>
          <w:lang w:eastAsia="zh-Hans"/>
        </w:rPr>
        <w:t>（</w:t>
      </w:r>
      <w:r>
        <w:rPr>
          <w:rFonts w:hint="eastAsia"/>
          <w:lang w:val="en-US" w:eastAsia="zh-Hans"/>
        </w:rPr>
        <w:t>一</w:t>
      </w:r>
      <w:r>
        <w:rPr>
          <w:rFonts w:hint="default"/>
          <w:lang w:eastAsia="zh-Hans"/>
        </w:rPr>
        <w:t>）</w:t>
      </w:r>
      <w:r>
        <w:rPr>
          <w:rFonts w:hint="eastAsia"/>
          <w:lang w:val="en-US" w:eastAsia="zh-Hans"/>
        </w:rPr>
        <w:t>毕业生对母校的总体评价</w:t>
      </w:r>
      <w:bookmarkEnd w:id="157"/>
    </w:p>
    <w:p>
      <w:pPr>
        <w:pStyle w:val="113"/>
        <w:bidi w:val="0"/>
        <w:rPr>
          <w:rFonts w:hint="eastAsia"/>
          <w:lang w:val="en-US" w:eastAsia="zh-Hans"/>
        </w:rPr>
      </w:pPr>
      <w:r>
        <w:rPr>
          <w:rFonts w:hint="eastAsia" w:ascii="宋体" w:hAnsi="宋体" w:eastAsia="宋体" w:cstheme="minorBidi"/>
          <w:b/>
          <w:color w:val="4F81BD" w:themeColor="accent1"/>
          <w:szCs w:val="24"/>
          <w:lang w:val="en-US" w:eastAsia="zh-Hans" w:bidi="ar-SA"/>
          <w14:textFill>
            <w14:solidFill>
              <w14:schemeClr w14:val="accent1"/>
            </w14:solidFill>
          </w14:textFill>
        </w:rPr>
        <w:t>母校总体满意度</w:t>
      </w:r>
      <w:r>
        <w:rPr>
          <w:rFonts w:hint="default" w:ascii="宋体" w:hAnsi="宋体" w:eastAsia="宋体" w:cstheme="minorBidi"/>
          <w:b/>
          <w:color w:val="4F81BD" w:themeColor="accent1"/>
          <w:szCs w:val="24"/>
          <w:lang w:eastAsia="zh-Hans" w:bidi="ar-SA"/>
          <w14:textFill>
            <w14:solidFill>
              <w14:schemeClr w14:val="accent1"/>
            </w14:solidFill>
          </w14:textFill>
        </w:rPr>
        <w:t>：</w:t>
      </w:r>
      <w:r>
        <w:rPr>
          <w:rFonts w:hint="eastAsia"/>
          <w:lang w:val="en-US" w:eastAsia="zh-Hans"/>
        </w:rPr>
        <w:t>学校</w:t>
      </w:r>
      <w:r>
        <w:rPr>
          <w:rFonts w:hint="default"/>
          <w:lang w:eastAsia="zh-Hans"/>
        </w:rPr>
        <w:t>2021</w:t>
      </w:r>
      <w:r>
        <w:rPr>
          <w:rFonts w:hint="eastAsia"/>
          <w:lang w:val="en-US" w:eastAsia="zh-Hans"/>
        </w:rPr>
        <w:t>届毕业生</w:t>
      </w:r>
      <w:r>
        <w:rPr>
          <w:rFonts w:hint="eastAsia"/>
        </w:rPr>
        <w:t>对母校</w:t>
      </w:r>
      <w:r>
        <w:rPr>
          <w:rFonts w:hint="eastAsia"/>
          <w:lang w:val="en-US" w:eastAsia="zh-Hans"/>
        </w:rPr>
        <w:t>的</w:t>
      </w:r>
      <w:r>
        <w:rPr>
          <w:rFonts w:hint="eastAsia"/>
        </w:rPr>
        <w:t>总体满意度</w:t>
      </w:r>
      <w:r>
        <w:rPr>
          <w:rFonts w:hint="eastAsia"/>
          <w:lang w:val="en-US" w:eastAsia="zh-Hans"/>
        </w:rPr>
        <w:t>为94.97%</w:t>
      </w:r>
      <w:r>
        <w:rPr>
          <w:rFonts w:hint="default"/>
          <w:lang w:eastAsia="zh-Hans"/>
        </w:rPr>
        <w:t>，</w:t>
      </w:r>
      <w:r>
        <w:rPr>
          <w:rFonts w:hint="eastAsia"/>
          <w:lang w:val="en-US" w:eastAsia="zh-Hans"/>
        </w:rPr>
        <w:t>其中“非常满意</w:t>
      </w:r>
      <w:r>
        <w:rPr>
          <w:rFonts w:hint="eastAsia"/>
          <w:lang w:val="en-US" w:eastAsia="zh-Hans"/>
        </w:rPr>
        <w:tab/>
      </w:r>
      <w:r>
        <w:rPr>
          <w:rFonts w:hint="eastAsia"/>
          <w:lang w:val="en-US" w:eastAsia="zh-Hans"/>
        </w:rPr>
        <w:t>”占比22.16%</w:t>
      </w:r>
      <w:r>
        <w:rPr>
          <w:rFonts w:hint="default"/>
          <w:lang w:eastAsia="zh-Hans"/>
        </w:rPr>
        <w:t>，</w:t>
      </w:r>
      <w:r>
        <w:rPr>
          <w:rFonts w:hint="eastAsia"/>
          <w:lang w:val="en-US" w:eastAsia="zh-Hans"/>
        </w:rPr>
        <w:t>“满意”占比40.60%</w:t>
      </w:r>
      <w:r>
        <w:rPr>
          <w:rFonts w:hint="eastAsia"/>
        </w:rPr>
        <w:t>。</w:t>
      </w:r>
    </w:p>
    <w:p>
      <w:pPr>
        <w:pStyle w:val="113"/>
        <w:bidi w:val="0"/>
        <w:rPr>
          <w:color w:val="DCE6F2" w:themeColor="accent1" w:themeTint="33"/>
          <w14:textFill>
            <w14:solidFill>
              <w14:schemeClr w14:val="accent1">
                <w14:lumMod w14:val="20000"/>
                <w14:lumOff w14:val="80000"/>
              </w14:schemeClr>
            </w14:solidFill>
          </w14:textFill>
        </w:rPr>
      </w:pPr>
      <w:r>
        <w:drawing>
          <wp:inline distT="0" distB="0" distL="0" distR="0">
            <wp:extent cx="5426710" cy="3125470"/>
            <wp:effectExtent l="0" t="0" r="8890" b="24130"/>
            <wp:docPr id="6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8</w:t>
      </w:r>
      <w:r>
        <w:rPr>
          <w:rFonts w:hint="eastAsia"/>
        </w:rPr>
        <w:t xml:space="preserve">- </w:t>
      </w:r>
      <w:r>
        <w:rPr>
          <w:rFonts w:hint="eastAsia"/>
        </w:rPr>
        <w:fldChar w:fldCharType="begin"/>
      </w:r>
      <w:r>
        <w:rPr>
          <w:rFonts w:hint="eastAsia"/>
        </w:rPr>
        <w:instrText xml:space="preserve"> SEQ 图</w:instrText>
      </w:r>
      <w:r>
        <w:rPr>
          <w:rFonts w:hint="default"/>
        </w:rPr>
        <w:instrText xml:space="preserve">8</w:instrText>
      </w:r>
      <w:r>
        <w:rPr>
          <w:rFonts w:hint="eastAsia"/>
        </w:rPr>
        <w:instrText xml:space="preserve">- </w:instrText>
      </w:r>
      <w:r>
        <w:rPr>
          <w:rFonts w:hint="eastAsia"/>
        </w:rPr>
        <w:fldChar w:fldCharType="separate"/>
      </w:r>
      <w:r>
        <w:rPr>
          <w:rFonts w:hint="eastAsia"/>
        </w:rPr>
        <w:t>1</w:t>
      </w:r>
      <w:r>
        <w:rPr>
          <w:rFonts w:hint="eastAsia"/>
        </w:rPr>
        <w:fldChar w:fldCharType="end"/>
      </w:r>
      <w:r>
        <w:t xml:space="preserve">  </w:t>
      </w:r>
      <w:r>
        <w:rPr>
          <w:rFonts w:hint="eastAsia"/>
        </w:rPr>
        <w:t>2021届毕业生</w:t>
      </w:r>
      <w:r>
        <w:rPr>
          <w:rFonts w:hint="eastAsia"/>
          <w:lang w:val="en-US" w:eastAsia="zh-Hans"/>
        </w:rPr>
        <w:t>母校总体满意度分布</w:t>
      </w:r>
    </w:p>
    <w:p>
      <w:pPr>
        <w:pStyle w:val="113"/>
        <w:bidi w:val="0"/>
        <w:rPr>
          <w:rFonts w:hint="eastAsia"/>
          <w:lang w:val="en-US" w:eastAsia="zh-Hans"/>
        </w:rPr>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各学院母校满意度</w:t>
      </w:r>
      <w:r>
        <w:rPr>
          <w:rFonts w:hint="default" w:ascii="宋体" w:hAnsi="宋体" w:eastAsia="宋体" w:cstheme="minorBidi"/>
          <w:b/>
          <w:color w:val="4F81BD" w:themeColor="accent1"/>
          <w:sz w:val="24"/>
          <w:szCs w:val="24"/>
          <w:lang w:eastAsia="zh-Hans" w:bidi="ar-SA"/>
          <w14:textFill>
            <w14:solidFill>
              <w14:schemeClr w14:val="accent1"/>
            </w14:solidFill>
          </w14:textFill>
        </w:rPr>
        <w:t>：</w:t>
      </w:r>
      <w:r>
        <w:rPr>
          <w:rFonts w:hint="eastAsia"/>
          <w:lang w:val="en-US" w:eastAsia="zh-Hans"/>
        </w:rPr>
        <w:t>学校</w:t>
      </w:r>
      <w:r>
        <w:rPr>
          <w:rFonts w:hint="default"/>
          <w:lang w:eastAsia="zh-Hans"/>
        </w:rPr>
        <w:t>2021</w:t>
      </w:r>
      <w:r>
        <w:rPr>
          <w:rFonts w:hint="eastAsia"/>
          <w:lang w:val="en-US" w:eastAsia="zh-Hans"/>
        </w:rPr>
        <w:t>届毕业生中</w:t>
      </w:r>
      <w:r>
        <w:rPr>
          <w:rFonts w:hint="default"/>
          <w:lang w:eastAsia="zh-Hans"/>
        </w:rPr>
        <w:t>，</w:t>
      </w:r>
      <w:r>
        <w:rPr>
          <w:rFonts w:hint="eastAsia"/>
        </w:rPr>
        <w:t>马克思主义学院</w:t>
      </w:r>
      <w:r>
        <w:rPr>
          <w:rFonts w:hint="eastAsia"/>
          <w:lang w:val="en-US" w:eastAsia="zh-Hans"/>
        </w:rPr>
        <w:t>母校满意度评价相对较高</w:t>
      </w:r>
      <w:r>
        <w:rPr>
          <w:rFonts w:hint="default"/>
          <w:lang w:eastAsia="zh-Hans"/>
        </w:rPr>
        <w:t>，</w:t>
      </w:r>
      <w:r>
        <w:rPr>
          <w:rFonts w:hint="eastAsia"/>
          <w:lang w:val="en-US" w:eastAsia="zh-Hans"/>
        </w:rPr>
        <w:t>为</w:t>
      </w:r>
      <w:r>
        <w:rPr>
          <w:rFonts w:hint="default"/>
          <w:lang w:eastAsia="zh-Hans"/>
        </w:rPr>
        <w:t>98.36%</w:t>
      </w:r>
      <w:r>
        <w:rPr>
          <w:rFonts w:hint="eastAsia"/>
        </w:rPr>
        <w:t>。</w:t>
      </w:r>
    </w:p>
    <w:p>
      <w:pPr>
        <w:pStyle w:val="136"/>
        <w:bidi w:val="0"/>
      </w:pPr>
      <w:r>
        <w:drawing>
          <wp:inline distT="0" distB="0" distL="0" distR="0">
            <wp:extent cx="5613400" cy="3354070"/>
            <wp:effectExtent l="0" t="0" r="0" b="24130"/>
            <wp:docPr id="6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8</w:t>
      </w:r>
      <w:r>
        <w:rPr>
          <w:rFonts w:hint="eastAsia"/>
        </w:rPr>
        <w:t xml:space="preserve">- </w:t>
      </w:r>
      <w:r>
        <w:rPr>
          <w:rFonts w:hint="eastAsia"/>
        </w:rPr>
        <w:fldChar w:fldCharType="begin"/>
      </w:r>
      <w:r>
        <w:rPr>
          <w:rFonts w:hint="eastAsia"/>
        </w:rPr>
        <w:instrText xml:space="preserve"> SEQ 图</w:instrText>
      </w:r>
      <w:r>
        <w:rPr>
          <w:rFonts w:hint="default"/>
        </w:rPr>
        <w:instrText xml:space="preserve">8</w:instrText>
      </w:r>
      <w:r>
        <w:rPr>
          <w:rFonts w:hint="eastAsia"/>
        </w:rPr>
        <w:instrText xml:space="preserve">- </w:instrText>
      </w:r>
      <w:r>
        <w:rPr>
          <w:rFonts w:hint="eastAsia"/>
        </w:rPr>
        <w:fldChar w:fldCharType="separate"/>
      </w:r>
      <w:r>
        <w:rPr>
          <w:rFonts w:hint="eastAsia"/>
        </w:rPr>
        <w:t>2</w:t>
      </w:r>
      <w:r>
        <w:rPr>
          <w:rFonts w:hint="eastAsia"/>
        </w:rPr>
        <w:fldChar w:fldCharType="end"/>
      </w:r>
      <w:r>
        <w:t xml:space="preserve">  </w:t>
      </w:r>
      <w:r>
        <w:rPr>
          <w:rFonts w:hint="eastAsia"/>
        </w:rPr>
        <w:t>2021届毕业生</w:t>
      </w:r>
      <w:r>
        <w:rPr>
          <w:rFonts w:hint="eastAsia"/>
          <w:lang w:val="en-US" w:eastAsia="zh-Hans"/>
        </w:rPr>
        <w:t>各学院母校满意度</w:t>
      </w:r>
    </w:p>
    <w:p>
      <w:pPr>
        <w:pStyle w:val="113"/>
        <w:bidi w:val="0"/>
        <w:rPr>
          <w:rFonts w:hint="eastAsia"/>
          <w:lang w:val="en-US" w:eastAsia="zh-Hans"/>
        </w:rPr>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母校总体推荐度</w:t>
      </w:r>
      <w:r>
        <w:rPr>
          <w:rFonts w:hint="default" w:ascii="宋体" w:hAnsi="宋体" w:eastAsia="宋体" w:cstheme="minorBidi"/>
          <w:b/>
          <w:color w:val="4F81BD" w:themeColor="accent1"/>
          <w:sz w:val="24"/>
          <w:szCs w:val="24"/>
          <w:lang w:eastAsia="zh-Hans" w:bidi="ar-SA"/>
          <w14:textFill>
            <w14:solidFill>
              <w14:schemeClr w14:val="accent1"/>
            </w14:solidFill>
          </w14:textFill>
        </w:rPr>
        <w:t>：</w:t>
      </w:r>
      <w:r>
        <w:rPr>
          <w:rFonts w:hint="eastAsia"/>
          <w:lang w:val="en-US" w:eastAsia="zh-Hans"/>
        </w:rPr>
        <w:t>学校</w:t>
      </w:r>
      <w:r>
        <w:rPr>
          <w:rFonts w:hint="default"/>
          <w:lang w:eastAsia="zh-Hans"/>
        </w:rPr>
        <w:t>2021</w:t>
      </w:r>
      <w:r>
        <w:rPr>
          <w:rFonts w:hint="eastAsia"/>
          <w:lang w:val="en-US" w:eastAsia="zh-Hans"/>
        </w:rPr>
        <w:t>届毕业生</w:t>
      </w:r>
      <w:r>
        <w:rPr>
          <w:rFonts w:hint="eastAsia"/>
        </w:rPr>
        <w:t>对母校</w:t>
      </w:r>
      <w:r>
        <w:rPr>
          <w:rFonts w:hint="eastAsia"/>
          <w:lang w:val="en-US" w:eastAsia="zh-Hans"/>
        </w:rPr>
        <w:t>的</w:t>
      </w:r>
      <w:r>
        <w:rPr>
          <w:rFonts w:hint="eastAsia"/>
        </w:rPr>
        <w:t>总体</w:t>
      </w:r>
      <w:r>
        <w:rPr>
          <w:rFonts w:hint="eastAsia"/>
          <w:lang w:val="en-US" w:eastAsia="zh-Hans"/>
        </w:rPr>
        <w:t>推荐</w:t>
      </w:r>
      <w:r>
        <w:rPr>
          <w:rFonts w:hint="eastAsia"/>
        </w:rPr>
        <w:t>度</w:t>
      </w:r>
      <w:r>
        <w:rPr>
          <w:rFonts w:hint="eastAsia"/>
          <w:lang w:val="en-US" w:eastAsia="zh-Hans"/>
        </w:rPr>
        <w:t>为93.39%</w:t>
      </w:r>
      <w:r>
        <w:rPr>
          <w:rFonts w:hint="default"/>
          <w:lang w:eastAsia="zh-Hans"/>
        </w:rPr>
        <w:t>，</w:t>
      </w:r>
      <w:r>
        <w:rPr>
          <w:rFonts w:hint="eastAsia"/>
          <w:lang w:val="en-US" w:eastAsia="zh-Hans"/>
        </w:rPr>
        <w:t>其中“</w:t>
      </w:r>
      <w:r>
        <w:rPr>
          <w:rFonts w:hint="eastAsia"/>
        </w:rPr>
        <w:t>非常愿意</w:t>
      </w:r>
      <w:r>
        <w:rPr>
          <w:rFonts w:hint="eastAsia"/>
          <w:lang w:eastAsia="zh-Hans"/>
        </w:rPr>
        <w:t>”</w:t>
      </w:r>
      <w:r>
        <w:rPr>
          <w:rFonts w:hint="eastAsia"/>
          <w:lang w:val="en-US" w:eastAsia="zh-Hans"/>
        </w:rPr>
        <w:t>占比</w:t>
      </w:r>
      <w:r>
        <w:rPr>
          <w:rFonts w:hint="default"/>
          <w:lang w:eastAsia="zh-Hans"/>
        </w:rPr>
        <w:t>（</w:t>
      </w:r>
      <w:r>
        <w:rPr>
          <w:rFonts w:hint="eastAsia"/>
        </w:rPr>
        <w:t>30.82%</w:t>
      </w:r>
      <w:r>
        <w:rPr>
          <w:rFonts w:hint="default"/>
          <w:lang w:eastAsia="zh-Hans"/>
        </w:rPr>
        <w:t>）</w:t>
      </w:r>
      <w:r>
        <w:rPr>
          <w:rFonts w:hint="default"/>
        </w:rPr>
        <w:t>，</w:t>
      </w:r>
      <w:r>
        <w:rPr>
          <w:rFonts w:hint="eastAsia"/>
          <w:lang w:eastAsia="zh-Hans"/>
        </w:rPr>
        <w:t>“</w:t>
      </w:r>
      <w:r>
        <w:rPr>
          <w:rFonts w:hint="eastAsia"/>
        </w:rPr>
        <w:t>愿意</w:t>
      </w:r>
      <w:r>
        <w:rPr>
          <w:rFonts w:hint="eastAsia"/>
          <w:lang w:eastAsia="zh-Hans"/>
        </w:rPr>
        <w:t>”</w:t>
      </w:r>
      <w:r>
        <w:rPr>
          <w:rFonts w:hint="eastAsia"/>
          <w:lang w:val="en-US" w:eastAsia="zh-Hans"/>
        </w:rPr>
        <w:t>占比</w:t>
      </w:r>
      <w:r>
        <w:rPr>
          <w:rFonts w:hint="default"/>
          <w:lang w:eastAsia="zh-Hans"/>
        </w:rPr>
        <w:t>（</w:t>
      </w:r>
      <w:r>
        <w:rPr>
          <w:rFonts w:hint="eastAsia"/>
        </w:rPr>
        <w:t>41.53%</w:t>
      </w:r>
      <w:r>
        <w:rPr>
          <w:rFonts w:hint="default"/>
        </w:rPr>
        <w:t>）。</w:t>
      </w:r>
    </w:p>
    <w:p>
      <w:pPr>
        <w:pStyle w:val="113"/>
        <w:bidi w:val="0"/>
        <w:rPr>
          <w:color w:val="DCE6F2" w:themeColor="accent1" w:themeTint="33"/>
          <w14:textFill>
            <w14:solidFill>
              <w14:schemeClr w14:val="accent1">
                <w14:lumMod w14:val="20000"/>
                <w14:lumOff w14:val="80000"/>
              </w14:schemeClr>
            </w14:solidFill>
          </w14:textFill>
        </w:rPr>
      </w:pPr>
      <w:r>
        <w:rPr>
          <w:color w:val="DCE6F2" w:themeColor="accent1" w:themeTint="33"/>
          <w14:textFill>
            <w14:solidFill>
              <w14:schemeClr w14:val="accent1">
                <w14:lumMod w14:val="20000"/>
                <w14:lumOff w14:val="80000"/>
              </w14:schemeClr>
            </w14:solidFill>
          </w14:textFill>
        </w:rPr>
        <w:drawing>
          <wp:inline distT="0" distB="0" distL="0" distR="0">
            <wp:extent cx="5424805" cy="3039110"/>
            <wp:effectExtent l="0" t="0" r="10795" b="8890"/>
            <wp:docPr id="72"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8</w:t>
      </w:r>
      <w:r>
        <w:rPr>
          <w:rFonts w:hint="eastAsia"/>
        </w:rPr>
        <w:t xml:space="preserve">- </w:t>
      </w:r>
      <w:r>
        <w:rPr>
          <w:rFonts w:hint="eastAsia"/>
        </w:rPr>
        <w:fldChar w:fldCharType="begin"/>
      </w:r>
      <w:r>
        <w:rPr>
          <w:rFonts w:hint="eastAsia"/>
        </w:rPr>
        <w:instrText xml:space="preserve"> SEQ 图</w:instrText>
      </w:r>
      <w:r>
        <w:rPr>
          <w:rFonts w:hint="default"/>
        </w:rPr>
        <w:instrText xml:space="preserve">8</w:instrText>
      </w:r>
      <w:r>
        <w:rPr>
          <w:rFonts w:hint="eastAsia"/>
        </w:rPr>
        <w:instrText xml:space="preserve">- </w:instrText>
      </w:r>
      <w:r>
        <w:rPr>
          <w:rFonts w:hint="eastAsia"/>
        </w:rPr>
        <w:fldChar w:fldCharType="separate"/>
      </w:r>
      <w:r>
        <w:rPr>
          <w:rFonts w:hint="eastAsia"/>
        </w:rPr>
        <w:t>3</w:t>
      </w:r>
      <w:r>
        <w:rPr>
          <w:rFonts w:hint="eastAsia"/>
        </w:rPr>
        <w:fldChar w:fldCharType="end"/>
      </w:r>
      <w:r>
        <w:t xml:space="preserve">  </w:t>
      </w:r>
      <w:r>
        <w:rPr>
          <w:rFonts w:hint="eastAsia"/>
        </w:rPr>
        <w:t>2021届毕业生</w:t>
      </w:r>
      <w:r>
        <w:rPr>
          <w:rFonts w:hint="eastAsia"/>
          <w:lang w:val="en-US" w:eastAsia="zh-Hans"/>
        </w:rPr>
        <w:t>母校总体推荐度分布</w:t>
      </w:r>
    </w:p>
    <w:p>
      <w:pPr>
        <w:pStyle w:val="136"/>
        <w:bidi w:val="0"/>
        <w:rPr>
          <w:rFonts w:hint="eastAsia"/>
          <w:lang w:val="en-US" w:eastAsia="zh-Hans"/>
        </w:rPr>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各学院母校推荐度</w:t>
      </w:r>
      <w:r>
        <w:rPr>
          <w:rFonts w:hint="default" w:ascii="宋体" w:hAnsi="宋体" w:eastAsia="宋体" w:cstheme="minorBidi"/>
          <w:b/>
          <w:color w:val="4F81BD" w:themeColor="accent1"/>
          <w:sz w:val="24"/>
          <w:szCs w:val="24"/>
          <w:lang w:val="en-US" w:eastAsia="zh-Hans" w:bidi="ar-SA"/>
          <w14:textFill>
            <w14:solidFill>
              <w14:schemeClr w14:val="accent1"/>
            </w14:solidFill>
          </w14:textFill>
        </w:rPr>
        <w:t>：</w:t>
      </w:r>
      <w:r>
        <w:rPr>
          <w:rFonts w:hint="eastAsia"/>
          <w:lang w:val="en-US" w:eastAsia="zh-Hans"/>
        </w:rPr>
        <w:t>学校</w:t>
      </w:r>
      <w:r>
        <w:rPr>
          <w:rFonts w:hint="default"/>
          <w:lang w:eastAsia="zh-Hans"/>
        </w:rPr>
        <w:t>2021</w:t>
      </w:r>
      <w:r>
        <w:rPr>
          <w:rFonts w:hint="eastAsia"/>
          <w:lang w:val="en-US" w:eastAsia="zh-Hans"/>
        </w:rPr>
        <w:t>届毕业生中</w:t>
      </w:r>
      <w:r>
        <w:rPr>
          <w:rFonts w:hint="default"/>
          <w:lang w:eastAsia="zh-Hans"/>
        </w:rPr>
        <w:t>，</w:t>
      </w:r>
      <w:r>
        <w:rPr>
          <w:rFonts w:hint="eastAsia"/>
        </w:rPr>
        <w:t>马克思主义学院</w:t>
      </w:r>
      <w:r>
        <w:rPr>
          <w:rFonts w:hint="eastAsia"/>
          <w:lang w:val="en-US" w:eastAsia="zh-Hans"/>
        </w:rPr>
        <w:t>母校推荐度评价相对较高</w:t>
      </w:r>
      <w:r>
        <w:rPr>
          <w:rFonts w:hint="default"/>
          <w:lang w:eastAsia="zh-Hans"/>
        </w:rPr>
        <w:t>，</w:t>
      </w:r>
      <w:r>
        <w:rPr>
          <w:rFonts w:hint="eastAsia"/>
          <w:lang w:val="en-US" w:eastAsia="zh-Hans"/>
        </w:rPr>
        <w:t>为</w:t>
      </w:r>
      <w:r>
        <w:rPr>
          <w:rFonts w:hint="default"/>
          <w:lang w:eastAsia="zh-Hans"/>
        </w:rPr>
        <w:t>100.00%</w:t>
      </w:r>
      <w:r>
        <w:rPr>
          <w:rFonts w:hint="eastAsia"/>
        </w:rPr>
        <w:t>。</w:t>
      </w:r>
    </w:p>
    <w:p>
      <w:pPr>
        <w:pStyle w:val="136"/>
        <w:bidi w:val="0"/>
      </w:pPr>
      <w:r>
        <w:drawing>
          <wp:inline distT="0" distB="0" distL="0" distR="0">
            <wp:extent cx="5887085" cy="2949575"/>
            <wp:effectExtent l="0" t="0" r="5715" b="22225"/>
            <wp:docPr id="7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8</w:t>
      </w:r>
      <w:r>
        <w:rPr>
          <w:rFonts w:hint="eastAsia"/>
        </w:rPr>
        <w:t xml:space="preserve">- </w:t>
      </w:r>
      <w:r>
        <w:rPr>
          <w:rFonts w:hint="eastAsia"/>
        </w:rPr>
        <w:fldChar w:fldCharType="begin"/>
      </w:r>
      <w:r>
        <w:rPr>
          <w:rFonts w:hint="eastAsia"/>
        </w:rPr>
        <w:instrText xml:space="preserve"> SEQ 图</w:instrText>
      </w:r>
      <w:r>
        <w:rPr>
          <w:rFonts w:hint="default"/>
        </w:rPr>
        <w:instrText xml:space="preserve">8</w:instrText>
      </w:r>
      <w:r>
        <w:rPr>
          <w:rFonts w:hint="eastAsia"/>
        </w:rPr>
        <w:instrText xml:space="preserve">- </w:instrText>
      </w:r>
      <w:r>
        <w:rPr>
          <w:rFonts w:hint="eastAsia"/>
        </w:rPr>
        <w:fldChar w:fldCharType="separate"/>
      </w:r>
      <w:r>
        <w:rPr>
          <w:rFonts w:hint="eastAsia"/>
        </w:rPr>
        <w:t>4</w:t>
      </w:r>
      <w:r>
        <w:rPr>
          <w:rFonts w:hint="eastAsia"/>
        </w:rPr>
        <w:fldChar w:fldCharType="end"/>
      </w:r>
      <w:r>
        <w:t xml:space="preserve">  </w:t>
      </w:r>
      <w:r>
        <w:rPr>
          <w:rFonts w:hint="eastAsia"/>
        </w:rPr>
        <w:t>2021届毕业生</w:t>
      </w:r>
      <w:r>
        <w:rPr>
          <w:rFonts w:hint="eastAsia"/>
          <w:lang w:val="en-US" w:eastAsia="zh-Hans"/>
        </w:rPr>
        <w:t>各学院母校推荐度</w:t>
      </w:r>
    </w:p>
    <w:p>
      <w:pPr>
        <w:pStyle w:val="152"/>
        <w:bidi w:val="0"/>
        <w:rPr>
          <w:rFonts w:hint="eastAsia" w:cs="宋体"/>
          <w:color w:val="000000"/>
          <w:szCs w:val="21"/>
          <w:lang w:val="en-US" w:eastAsia="zh-Hans"/>
        </w:rPr>
      </w:pPr>
      <w:bookmarkStart w:id="158" w:name="_Toc1292023573"/>
      <w:r>
        <w:rPr>
          <w:rFonts w:hint="default"/>
          <w:lang w:eastAsia="zh-Hans"/>
        </w:rPr>
        <w:t>（</w:t>
      </w:r>
      <w:r>
        <w:rPr>
          <w:rFonts w:hint="eastAsia"/>
          <w:lang w:val="en-US" w:eastAsia="zh-Hans"/>
        </w:rPr>
        <w:t>二</w:t>
      </w:r>
      <w:r>
        <w:rPr>
          <w:rFonts w:hint="default"/>
          <w:lang w:eastAsia="zh-Hans"/>
        </w:rPr>
        <w:t>）</w:t>
      </w:r>
      <w:r>
        <w:rPr>
          <w:rFonts w:hint="eastAsia"/>
          <w:lang w:val="en-US" w:eastAsia="zh-Hans"/>
        </w:rPr>
        <w:t>毕业生对人才培养评价</w:t>
      </w:r>
      <w:bookmarkEnd w:id="158"/>
    </w:p>
    <w:p>
      <w:pPr>
        <w:pStyle w:val="136"/>
        <w:bidi w:val="0"/>
        <w:rPr>
          <w:rFonts w:hint="eastAsia"/>
          <w:lang w:val="en-US" w:eastAsia="zh-Hans"/>
        </w:rPr>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人才培养评价</w:t>
      </w:r>
      <w:r>
        <w:rPr>
          <w:rFonts w:hint="default" w:ascii="宋体" w:hAnsi="宋体" w:eastAsia="宋体" w:cstheme="minorBidi"/>
          <w:b/>
          <w:color w:val="4F81BD" w:themeColor="accent1"/>
          <w:sz w:val="24"/>
          <w:szCs w:val="24"/>
          <w:lang w:eastAsia="zh-Hans" w:bidi="ar-SA"/>
          <w14:textFill>
            <w14:solidFill>
              <w14:schemeClr w14:val="accent1"/>
            </w14:solidFill>
          </w14:textFill>
        </w:rPr>
        <w:t>：</w:t>
      </w:r>
      <w:r>
        <w:rPr>
          <w:rFonts w:hint="eastAsia"/>
          <w:lang w:val="en-US" w:eastAsia="zh-Hans"/>
        </w:rPr>
        <w:t>学校</w:t>
      </w:r>
      <w:r>
        <w:rPr>
          <w:rFonts w:hint="default"/>
          <w:lang w:eastAsia="zh-Hans"/>
        </w:rPr>
        <w:t>2021</w:t>
      </w:r>
      <w:r>
        <w:rPr>
          <w:rFonts w:hint="eastAsia"/>
          <w:lang w:val="en-US" w:eastAsia="zh-Hans"/>
        </w:rPr>
        <w:t>届毕业生认为母校在人才培养过程中最需要改进的方面是“实践教学”</w:t>
      </w:r>
      <w:r>
        <w:rPr>
          <w:rFonts w:hint="default"/>
          <w:lang w:eastAsia="zh-Hans"/>
        </w:rPr>
        <w:t>（</w:t>
      </w:r>
      <w:r>
        <w:rPr>
          <w:rFonts w:hint="eastAsia"/>
          <w:lang w:val="en-US" w:eastAsia="zh-Hans"/>
        </w:rPr>
        <w:t>51.40%</w:t>
      </w:r>
      <w:r>
        <w:rPr>
          <w:rFonts w:hint="default"/>
          <w:lang w:eastAsia="zh-Hans"/>
        </w:rPr>
        <w:t>）</w:t>
      </w:r>
      <w:r>
        <w:rPr>
          <w:rFonts w:hint="eastAsia"/>
          <w:lang w:val="en-US" w:eastAsia="zh-Hans"/>
        </w:rPr>
        <w:t>和“专业课的内容及安排”</w:t>
      </w:r>
      <w:r>
        <w:rPr>
          <w:rFonts w:hint="default"/>
          <w:lang w:eastAsia="zh-Hans"/>
        </w:rPr>
        <w:t>（</w:t>
      </w:r>
      <w:r>
        <w:rPr>
          <w:rFonts w:hint="eastAsia"/>
          <w:lang w:val="en-US" w:eastAsia="zh-Hans"/>
        </w:rPr>
        <w:t>45.72%</w:t>
      </w:r>
      <w:r>
        <w:rPr>
          <w:rFonts w:hint="default"/>
          <w:lang w:eastAsia="zh-Hans"/>
        </w:rPr>
        <w:t>）。</w:t>
      </w:r>
    </w:p>
    <w:p>
      <w:pPr>
        <w:pStyle w:val="181"/>
        <w:tabs>
          <w:tab w:val="left" w:pos="400"/>
          <w:tab w:val="center" w:pos="4394"/>
        </w:tabs>
        <w:spacing w:before="156" w:after="156" w:line="240" w:lineRule="auto"/>
        <w:rPr>
          <w:rFonts w:hint="eastAsia"/>
          <w:lang w:val="en-US" w:eastAsia="zh-Hans"/>
        </w:rPr>
      </w:pPr>
      <w:r>
        <w:rPr>
          <w:rFonts w:cs="宋体"/>
          <w:color w:val="000000"/>
          <w:szCs w:val="21"/>
        </w:rPr>
        <w:drawing>
          <wp:inline distT="0" distB="0" distL="0" distR="0">
            <wp:extent cx="5869940" cy="2778760"/>
            <wp:effectExtent l="0" t="0" r="22860" b="15240"/>
            <wp:docPr id="6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rFonts w:hint="eastAsia"/>
        </w:rPr>
        <w:t>图</w:t>
      </w:r>
      <w:r>
        <w:rPr>
          <w:rFonts w:hint="default" w:eastAsia="宋体"/>
        </w:rPr>
        <w:t>8</w:t>
      </w:r>
      <w:r>
        <w:rPr>
          <w:rFonts w:hint="eastAsia"/>
        </w:rPr>
        <w:t xml:space="preserve">- </w:t>
      </w:r>
      <w:r>
        <w:rPr>
          <w:rFonts w:hint="eastAsia"/>
        </w:rPr>
        <w:fldChar w:fldCharType="begin"/>
      </w:r>
      <w:r>
        <w:rPr>
          <w:rFonts w:hint="eastAsia"/>
        </w:rPr>
        <w:instrText xml:space="preserve"> SEQ 图</w:instrText>
      </w:r>
      <w:r>
        <w:rPr>
          <w:rFonts w:hint="default"/>
        </w:rPr>
        <w:instrText xml:space="preserve">8</w:instrText>
      </w:r>
      <w:r>
        <w:rPr>
          <w:rFonts w:hint="eastAsia"/>
        </w:rPr>
        <w:instrText xml:space="preserve">- </w:instrText>
      </w:r>
      <w:r>
        <w:rPr>
          <w:rFonts w:hint="eastAsia"/>
        </w:rPr>
        <w:fldChar w:fldCharType="separate"/>
      </w:r>
      <w:r>
        <w:rPr>
          <w:rFonts w:hint="eastAsia"/>
        </w:rPr>
        <w:t>5</w:t>
      </w:r>
      <w:r>
        <w:rPr>
          <w:rFonts w:hint="eastAsia"/>
        </w:rPr>
        <w:fldChar w:fldCharType="end"/>
      </w:r>
      <w:r>
        <w:t xml:space="preserve">  </w:t>
      </w:r>
      <w:r>
        <w:rPr>
          <w:rFonts w:hint="eastAsia"/>
        </w:rPr>
        <w:t>2021届毕业生</w:t>
      </w:r>
      <w:r>
        <w:rPr>
          <w:rFonts w:hint="eastAsia"/>
          <w:lang w:val="en-US" w:eastAsia="zh-Hans"/>
        </w:rPr>
        <w:t>对人才培养评价</w:t>
      </w:r>
    </w:p>
    <w:p>
      <w:pPr>
        <w:pStyle w:val="152"/>
        <w:bidi w:val="0"/>
        <w:rPr>
          <w:rFonts w:hint="eastAsia" w:cs="宋体"/>
          <w:color w:val="000000"/>
          <w:szCs w:val="21"/>
          <w:lang w:val="en-US" w:eastAsia="zh-Hans"/>
        </w:rPr>
        <w:sectPr>
          <w:pgSz w:w="11907" w:h="16160"/>
          <w:pgMar w:top="1418" w:right="1418" w:bottom="1418" w:left="1701" w:header="850" w:footer="397"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152"/>
        <w:bidi w:val="0"/>
        <w:rPr>
          <w:rFonts w:hint="eastAsia" w:cs="宋体"/>
          <w:color w:val="000000"/>
          <w:szCs w:val="21"/>
          <w:lang w:val="en-US" w:eastAsia="zh-Hans"/>
        </w:rPr>
      </w:pPr>
      <w:bookmarkStart w:id="159" w:name="_Toc1833036594"/>
      <w:r>
        <w:rPr>
          <w:rFonts w:hint="default"/>
          <w:lang w:eastAsia="zh-Hans"/>
        </w:rPr>
        <w:t>（</w:t>
      </w:r>
      <w:r>
        <w:rPr>
          <w:rFonts w:hint="eastAsia"/>
          <w:lang w:val="en-US" w:eastAsia="zh-Hans"/>
        </w:rPr>
        <w:t>三</w:t>
      </w:r>
      <w:r>
        <w:rPr>
          <w:rFonts w:hint="default"/>
          <w:lang w:eastAsia="zh-Hans"/>
        </w:rPr>
        <w:t>）</w:t>
      </w:r>
      <w:r>
        <w:rPr>
          <w:rFonts w:hint="eastAsia"/>
          <w:lang w:val="en-US" w:eastAsia="zh-Hans"/>
        </w:rPr>
        <w:t>毕业生对课程设置评价</w:t>
      </w:r>
      <w:bookmarkEnd w:id="159"/>
    </w:p>
    <w:p>
      <w:pPr>
        <w:pStyle w:val="113"/>
        <w:bidi w:val="0"/>
        <w:rPr>
          <w:rFonts w:hint="eastAsia"/>
        </w:rPr>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课程设置合理性</w:t>
      </w:r>
      <w:r>
        <w:rPr>
          <w:rFonts w:hint="default" w:ascii="宋体" w:hAnsi="宋体" w:eastAsia="宋体" w:cstheme="minorBidi"/>
          <w:b/>
          <w:color w:val="4F81BD" w:themeColor="accent1"/>
          <w:sz w:val="24"/>
          <w:szCs w:val="24"/>
          <w:lang w:eastAsia="zh-Hans" w:bidi="ar-SA"/>
          <w14:textFill>
            <w14:solidFill>
              <w14:schemeClr w14:val="accent1"/>
            </w14:solidFill>
          </w14:textFill>
        </w:rPr>
        <w:t>：</w:t>
      </w:r>
      <w:r>
        <w:rPr>
          <w:rFonts w:hint="eastAsia"/>
          <w:lang w:val="en-US" w:eastAsia="zh-Hans"/>
        </w:rPr>
        <w:t>学校</w:t>
      </w:r>
      <w:r>
        <w:rPr>
          <w:rFonts w:hint="default"/>
          <w:lang w:eastAsia="zh-Hans"/>
        </w:rPr>
        <w:t>2021</w:t>
      </w:r>
      <w:r>
        <w:rPr>
          <w:rFonts w:hint="eastAsia"/>
          <w:lang w:val="en-US" w:eastAsia="zh-Hans"/>
        </w:rPr>
        <w:t>届毕业生</w:t>
      </w:r>
      <w:r>
        <w:rPr>
          <w:rFonts w:hint="default"/>
          <w:lang w:eastAsia="zh-Hans"/>
        </w:rPr>
        <w:t>，94.13%</w:t>
      </w:r>
      <w:r>
        <w:rPr>
          <w:rFonts w:hint="eastAsia"/>
          <w:lang w:val="en-US" w:eastAsia="zh-Hans"/>
        </w:rPr>
        <w:t>的毕业生对课程设置合理性表示认可</w:t>
      </w:r>
      <w:r>
        <w:rPr>
          <w:rFonts w:hint="default"/>
        </w:rPr>
        <w:t>，</w:t>
      </w:r>
      <w:r>
        <w:rPr>
          <w:rFonts w:hint="eastAsia"/>
          <w:lang w:val="en-US" w:eastAsia="zh-Hans"/>
        </w:rPr>
        <w:t>其中认为“非常合理”的占比24.95%</w:t>
      </w:r>
      <w:r>
        <w:rPr>
          <w:rFonts w:hint="default"/>
          <w:lang w:eastAsia="zh-Hans"/>
        </w:rPr>
        <w:t>。</w:t>
      </w:r>
    </w:p>
    <w:p>
      <w:pPr>
        <w:rPr>
          <w:color w:val="DCE6F2" w:themeColor="accent1" w:themeTint="33"/>
          <w14:textFill>
            <w14:solidFill>
              <w14:schemeClr w14:val="accent1">
                <w14:lumMod w14:val="20000"/>
                <w14:lumOff w14:val="80000"/>
              </w14:schemeClr>
            </w14:solidFill>
          </w14:textFill>
        </w:rPr>
      </w:pPr>
      <w:r>
        <w:rPr>
          <w:color w:val="DCE6F2" w:themeColor="accent1" w:themeTint="33"/>
          <w14:textFill>
            <w14:solidFill>
              <w14:schemeClr w14:val="accent1">
                <w14:lumMod w14:val="20000"/>
                <w14:lumOff w14:val="80000"/>
              </w14:schemeClr>
            </w14:solidFill>
          </w14:textFill>
        </w:rPr>
        <w:drawing>
          <wp:inline distT="0" distB="0" distL="0" distR="0">
            <wp:extent cx="5826125" cy="2755900"/>
            <wp:effectExtent l="0" t="0" r="15875" b="12700"/>
            <wp:docPr id="68"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81"/>
        <w:tabs>
          <w:tab w:val="left" w:pos="400"/>
          <w:tab w:val="center" w:pos="4394"/>
        </w:tabs>
        <w:spacing w:before="156" w:after="156" w:line="240" w:lineRule="auto"/>
        <w:rPr>
          <w:rFonts w:hint="eastAsia"/>
          <w:lang w:val="en-US" w:eastAsia="zh-Hans"/>
        </w:rPr>
      </w:pPr>
      <w:r>
        <w:rPr>
          <w:rFonts w:hint="eastAsia"/>
        </w:rPr>
        <w:t>图</w:t>
      </w:r>
      <w:r>
        <w:rPr>
          <w:rFonts w:hint="default" w:eastAsia="宋体"/>
        </w:rPr>
        <w:t>8</w:t>
      </w:r>
      <w:r>
        <w:rPr>
          <w:rFonts w:hint="eastAsia"/>
        </w:rPr>
        <w:t xml:space="preserve">- </w:t>
      </w:r>
      <w:r>
        <w:rPr>
          <w:rFonts w:hint="eastAsia"/>
        </w:rPr>
        <w:fldChar w:fldCharType="begin"/>
      </w:r>
      <w:r>
        <w:rPr>
          <w:rFonts w:hint="eastAsia"/>
        </w:rPr>
        <w:instrText xml:space="preserve"> SEQ 图</w:instrText>
      </w:r>
      <w:r>
        <w:rPr>
          <w:rFonts w:hint="default"/>
        </w:rPr>
        <w:instrText xml:space="preserve">8</w:instrText>
      </w:r>
      <w:r>
        <w:rPr>
          <w:rFonts w:hint="eastAsia"/>
        </w:rPr>
        <w:instrText xml:space="preserve">- </w:instrText>
      </w:r>
      <w:r>
        <w:rPr>
          <w:rFonts w:hint="eastAsia"/>
        </w:rPr>
        <w:fldChar w:fldCharType="separate"/>
      </w:r>
      <w:r>
        <w:rPr>
          <w:rFonts w:hint="eastAsia"/>
        </w:rPr>
        <w:t>6</w:t>
      </w:r>
      <w:r>
        <w:rPr>
          <w:rFonts w:hint="eastAsia"/>
        </w:rPr>
        <w:fldChar w:fldCharType="end"/>
      </w:r>
      <w:r>
        <w:t xml:space="preserve">  </w:t>
      </w:r>
      <w:r>
        <w:rPr>
          <w:rFonts w:hint="eastAsia"/>
        </w:rPr>
        <w:t>2021届毕业生</w:t>
      </w:r>
      <w:r>
        <w:rPr>
          <w:rFonts w:hint="eastAsia"/>
          <w:lang w:val="en-US" w:eastAsia="zh-Hans"/>
        </w:rPr>
        <w:t>对课程设置评价</w:t>
      </w:r>
    </w:p>
    <w:p>
      <w:pPr>
        <w:pStyle w:val="136"/>
        <w:bidi w:val="0"/>
        <w:rPr>
          <w:rFonts w:hint="eastAsia"/>
          <w:lang w:val="en-US" w:eastAsia="zh-Hans"/>
        </w:rPr>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课程设置建议</w:t>
      </w:r>
      <w:r>
        <w:rPr>
          <w:rFonts w:hint="default" w:ascii="宋体" w:hAnsi="宋体" w:eastAsia="宋体" w:cstheme="minorBidi"/>
          <w:b/>
          <w:color w:val="4F81BD" w:themeColor="accent1"/>
          <w:sz w:val="24"/>
          <w:szCs w:val="24"/>
          <w:lang w:val="en-US" w:eastAsia="zh-Hans" w:bidi="ar-SA"/>
          <w14:textFill>
            <w14:solidFill>
              <w14:schemeClr w14:val="accent1"/>
            </w14:solidFill>
          </w14:textFill>
        </w:rPr>
        <w:t>：</w:t>
      </w:r>
      <w:r>
        <w:rPr>
          <w:rFonts w:hint="eastAsia"/>
          <w:lang w:val="en-US" w:eastAsia="zh-Hans"/>
        </w:rPr>
        <w:t>学校</w:t>
      </w:r>
      <w:r>
        <w:rPr>
          <w:rFonts w:hint="default"/>
          <w:lang w:eastAsia="zh-Hans"/>
        </w:rPr>
        <w:t>2021</w:t>
      </w:r>
      <w:r>
        <w:rPr>
          <w:rFonts w:hint="eastAsia"/>
          <w:lang w:val="en-US" w:eastAsia="zh-Hans"/>
        </w:rPr>
        <w:t>届毕业生认为课程设置方面最需要改进是“专业课内容的实用性”</w:t>
      </w:r>
      <w:r>
        <w:rPr>
          <w:rFonts w:hint="default"/>
          <w:lang w:eastAsia="zh-Hans"/>
        </w:rPr>
        <w:t>（</w:t>
      </w:r>
      <w:r>
        <w:rPr>
          <w:rFonts w:hint="eastAsia"/>
          <w:lang w:val="en-US" w:eastAsia="zh-Hans"/>
        </w:rPr>
        <w:t>60.61%</w:t>
      </w:r>
      <w:r>
        <w:rPr>
          <w:rFonts w:hint="default"/>
          <w:lang w:eastAsia="zh-Hans"/>
        </w:rPr>
        <w:t>），</w:t>
      </w:r>
      <w:r>
        <w:rPr>
          <w:rFonts w:hint="eastAsia"/>
          <w:lang w:val="en-US" w:eastAsia="zh-Hans"/>
        </w:rPr>
        <w:t>其次是“实践课程安排次数”</w:t>
      </w:r>
      <w:r>
        <w:rPr>
          <w:rFonts w:hint="default"/>
          <w:lang w:eastAsia="zh-Hans"/>
        </w:rPr>
        <w:t>（</w:t>
      </w:r>
      <w:r>
        <w:rPr>
          <w:rFonts w:hint="eastAsia"/>
          <w:lang w:val="en-US" w:eastAsia="zh-Hans"/>
        </w:rPr>
        <w:t>46.09%</w:t>
      </w:r>
      <w:r>
        <w:rPr>
          <w:rFonts w:hint="default"/>
          <w:lang w:eastAsia="zh-Hans"/>
        </w:rPr>
        <w:t>）。</w:t>
      </w:r>
    </w:p>
    <w:p>
      <w:pPr>
        <w:rPr>
          <w:rFonts w:cs="宋体"/>
          <w:color w:val="000000"/>
          <w:szCs w:val="21"/>
        </w:rPr>
      </w:pPr>
      <w:r>
        <w:rPr>
          <w:rFonts w:cs="宋体"/>
          <w:color w:val="000000"/>
          <w:szCs w:val="21"/>
        </w:rPr>
        <w:drawing>
          <wp:inline distT="0" distB="0" distL="0" distR="0">
            <wp:extent cx="5810885" cy="3074035"/>
            <wp:effectExtent l="0" t="0" r="5715" b="24765"/>
            <wp:docPr id="7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jc w:val="cente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sectPr>
          <w:pgSz w:w="11907" w:h="16160"/>
          <w:pgMar w:top="1418" w:right="1418" w:bottom="1418" w:left="1701" w:header="850" w:footer="397"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7</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2021届毕业生</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对课程设置改进建议</w:t>
      </w:r>
    </w:p>
    <w:p>
      <w:pPr>
        <w:pStyle w:val="152"/>
        <w:bidi w:val="0"/>
        <w:rPr>
          <w:rFonts w:hint="eastAsia" w:cs="宋体"/>
          <w:color w:val="000000"/>
          <w:szCs w:val="21"/>
          <w:lang w:val="en-US" w:eastAsia="zh-Hans"/>
        </w:rPr>
      </w:pPr>
      <w:bookmarkStart w:id="160" w:name="_Toc45635496"/>
      <w:r>
        <w:rPr>
          <w:rFonts w:hint="default"/>
          <w:lang w:eastAsia="zh-Hans"/>
        </w:rPr>
        <w:t>（</w:t>
      </w:r>
      <w:r>
        <w:rPr>
          <w:rFonts w:hint="eastAsia"/>
          <w:lang w:val="en-US" w:eastAsia="zh-Hans"/>
        </w:rPr>
        <w:t>四</w:t>
      </w:r>
      <w:r>
        <w:rPr>
          <w:rFonts w:hint="default"/>
          <w:lang w:eastAsia="zh-Hans"/>
        </w:rPr>
        <w:t>）</w:t>
      </w:r>
      <w:r>
        <w:rPr>
          <w:rFonts w:hint="eastAsia"/>
          <w:lang w:val="en-US" w:eastAsia="zh-Hans"/>
        </w:rPr>
        <w:t>毕业生对教师教学评价</w:t>
      </w:r>
      <w:bookmarkEnd w:id="160"/>
    </w:p>
    <w:p>
      <w:pPr>
        <w:pStyle w:val="136"/>
        <w:bidi w:val="0"/>
        <w:rPr>
          <w:rFonts w:hint="eastAsia"/>
        </w:rPr>
      </w:pPr>
      <w:r>
        <w:rPr>
          <w:rFonts w:hint="eastAsia"/>
          <w:lang w:val="en-US" w:eastAsia="zh-Hans"/>
        </w:rPr>
        <w:t>学校</w:t>
      </w:r>
      <w:r>
        <w:t>2021届</w:t>
      </w:r>
      <w:r>
        <w:rPr>
          <w:rFonts w:hint="eastAsia"/>
        </w:rPr>
        <w:t>毕业生对学校任课教师的总体满意度为</w:t>
      </w:r>
      <w:r>
        <w:rPr>
          <w:rFonts w:hint="default"/>
        </w:rPr>
        <w:t>99.16</w:t>
      </w:r>
      <w:r>
        <w:rPr>
          <w:rFonts w:hint="eastAsia"/>
        </w:rPr>
        <w:t>%。可见母校任课教师在师德师风、教学态度和教学水平方面均得到</w:t>
      </w:r>
      <w:r>
        <w:t>毕业生</w:t>
      </w:r>
      <w:r>
        <w:rPr>
          <w:rFonts w:hint="eastAsia"/>
        </w:rPr>
        <w:t>的普遍认可和高度评价。</w:t>
      </w:r>
    </w:p>
    <w:p>
      <w:pPr>
        <w:rPr>
          <w:rFonts w:hint="eastAsia"/>
        </w:rPr>
      </w:pPr>
      <w:r>
        <w:drawing>
          <wp:inline distT="0" distB="0" distL="0" distR="0">
            <wp:extent cx="5829300" cy="1870710"/>
            <wp:effectExtent l="0" t="0" r="12700" b="889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jc w:val="cente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2021届毕业生</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对教师教学评价</w:t>
      </w:r>
    </w:p>
    <w:p>
      <w:pPr>
        <w:pStyle w:val="152"/>
        <w:numPr>
          <w:ilvl w:val="0"/>
          <w:numId w:val="0"/>
        </w:numPr>
        <w:bidi w:val="0"/>
        <w:rPr>
          <w:rFonts w:hint="eastAsia"/>
          <w:lang w:val="en-US" w:eastAsia="zh-Hans"/>
        </w:rPr>
      </w:pPr>
      <w:bookmarkStart w:id="161" w:name="_Toc344119293"/>
      <w:r>
        <w:rPr>
          <w:rFonts w:hint="default"/>
          <w:lang w:eastAsia="zh-Hans"/>
        </w:rPr>
        <w:t>（</w:t>
      </w:r>
      <w:r>
        <w:rPr>
          <w:rFonts w:hint="eastAsia"/>
          <w:lang w:val="en-US" w:eastAsia="zh-Hans"/>
        </w:rPr>
        <w:t>五</w:t>
      </w:r>
      <w:r>
        <w:rPr>
          <w:rFonts w:hint="default"/>
          <w:lang w:eastAsia="zh-Hans"/>
        </w:rPr>
        <w:t>）</w:t>
      </w:r>
      <w:r>
        <w:rPr>
          <w:rFonts w:hint="eastAsia"/>
          <w:lang w:val="en-US" w:eastAsia="zh-Hans"/>
        </w:rPr>
        <w:t>毕业生对实践教学满意度</w:t>
      </w:r>
      <w:bookmarkEnd w:id="161"/>
    </w:p>
    <w:p>
      <w:pPr>
        <w:pStyle w:val="136"/>
        <w:bidi w:val="0"/>
        <w:rPr>
          <w:rFonts w:hint="default"/>
          <w:lang w:eastAsia="zh-Hans"/>
        </w:rPr>
      </w:pPr>
      <w:r>
        <w:rPr>
          <w:rFonts w:hint="eastAsia"/>
          <w:lang w:val="en-US" w:eastAsia="zh-Hans"/>
        </w:rPr>
        <w:t>学校2021届毕业生认为实践教学(含实习、实践、见习等)处于较高水平的占比92.09%</w:t>
      </w:r>
      <w:r>
        <w:rPr>
          <w:rFonts w:hint="default"/>
          <w:lang w:eastAsia="zh-Hans"/>
        </w:rPr>
        <w:t>。</w:t>
      </w:r>
    </w:p>
    <w:p>
      <w:pPr>
        <w:pStyle w:val="136"/>
        <w:bidi w:val="0"/>
        <w:rPr>
          <w:rFonts w:hint="eastAsia"/>
          <w:lang w:val="en-US" w:eastAsia="zh-Hans"/>
        </w:rPr>
      </w:pPr>
      <w:r>
        <w:drawing>
          <wp:inline distT="0" distB="0" distL="0" distR="0">
            <wp:extent cx="5468620" cy="2609850"/>
            <wp:effectExtent l="6350" t="6350" r="11430" b="2540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jc w:val="cente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9</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2021届毕业生</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对实践教学评价</w:t>
      </w:r>
    </w:p>
    <w:p>
      <w:pPr>
        <w:pStyle w:val="152"/>
        <w:numPr>
          <w:ilvl w:val="0"/>
          <w:numId w:val="0"/>
        </w:numPr>
        <w:bidi w:val="0"/>
        <w:rPr>
          <w:rFonts w:hint="eastAsia"/>
        </w:rPr>
      </w:pPr>
      <w:bookmarkStart w:id="162" w:name="_Toc439496080"/>
      <w:r>
        <w:rPr>
          <w:rFonts w:hint="default"/>
          <w:lang w:eastAsia="zh-Hans"/>
        </w:rPr>
        <w:t>（</w:t>
      </w:r>
      <w:r>
        <w:rPr>
          <w:rFonts w:hint="eastAsia"/>
          <w:lang w:val="en-US" w:eastAsia="zh-Hans"/>
        </w:rPr>
        <w:t>六</w:t>
      </w:r>
      <w:r>
        <w:rPr>
          <w:rFonts w:hint="default"/>
          <w:lang w:eastAsia="zh-Hans"/>
        </w:rPr>
        <w:t>）</w:t>
      </w:r>
      <w:r>
        <w:rPr>
          <w:rFonts w:hint="eastAsia"/>
          <w:lang w:val="en-US" w:eastAsia="zh-Hans"/>
        </w:rPr>
        <w:t>毕业生对就业管理和就业指导服务评价</w:t>
      </w:r>
      <w:bookmarkEnd w:id="162"/>
    </w:p>
    <w:p>
      <w:pPr>
        <w:pStyle w:val="179"/>
        <w:spacing w:before="156"/>
        <w:ind w:firstLine="480"/>
      </w:pPr>
      <w:r>
        <w:rPr>
          <w:rFonts w:hint="eastAsia"/>
        </w:rPr>
        <w:t>学校</w:t>
      </w:r>
      <w:r>
        <w:t>2021</w:t>
      </w:r>
      <w:r>
        <w:rPr>
          <w:rFonts w:hint="eastAsia"/>
        </w:rPr>
        <w:t>届毕业生对学校各项就业</w:t>
      </w:r>
      <w:r>
        <w:rPr>
          <w:rFonts w:hint="eastAsia"/>
          <w:lang w:val="en-US" w:eastAsia="zh-Hans"/>
        </w:rPr>
        <w:t>指导</w:t>
      </w:r>
      <w:r>
        <w:rPr>
          <w:rFonts w:hint="eastAsia"/>
        </w:rPr>
        <w:t>服务的满意度均在94</w:t>
      </w:r>
      <w:r>
        <w:t>.00%</w:t>
      </w:r>
      <w:r>
        <w:rPr>
          <w:rFonts w:hint="eastAsia"/>
        </w:rPr>
        <w:t>以上；其中满意度最高的三方面是</w:t>
      </w:r>
      <w:r>
        <w:rPr>
          <w:rFonts w:hint="eastAsia"/>
          <w:lang w:eastAsia="zh-Hans"/>
        </w:rPr>
        <w:t>“</w:t>
      </w:r>
      <w:r>
        <w:rPr>
          <w:rFonts w:hint="eastAsia"/>
        </w:rPr>
        <w:t>政策宣讲、职业辅导和就业创业讲座等活动</w:t>
      </w:r>
      <w:r>
        <w:rPr>
          <w:rFonts w:hint="eastAsia"/>
          <w:lang w:eastAsia="zh-Hans"/>
        </w:rPr>
        <w:t>”</w:t>
      </w:r>
      <w:r>
        <w:rPr>
          <w:rFonts w:hint="default"/>
        </w:rPr>
        <w:t>、</w:t>
      </w:r>
      <w:r>
        <w:rPr>
          <w:rFonts w:hint="eastAsia"/>
          <w:lang w:eastAsia="zh-Hans"/>
        </w:rPr>
        <w:t>“</w:t>
      </w:r>
      <w:r>
        <w:rPr>
          <w:rFonts w:hint="eastAsia"/>
        </w:rPr>
        <w:t>创新创业类课程</w:t>
      </w:r>
      <w:r>
        <w:rPr>
          <w:rFonts w:hint="eastAsia"/>
          <w:lang w:eastAsia="zh-Hans"/>
        </w:rPr>
        <w:t>”</w:t>
      </w:r>
      <w:r>
        <w:rPr>
          <w:rFonts w:hint="default"/>
        </w:rPr>
        <w:t>、</w:t>
      </w:r>
      <w:r>
        <w:rPr>
          <w:rFonts w:hint="eastAsia"/>
          <w:lang w:eastAsia="zh-Hans"/>
        </w:rPr>
        <w:t>“</w:t>
      </w:r>
      <w:r>
        <w:rPr>
          <w:rFonts w:hint="eastAsia"/>
        </w:rPr>
        <w:t>校园招聘与宣讲</w:t>
      </w:r>
      <w:r>
        <w:rPr>
          <w:rFonts w:hint="eastAsia"/>
          <w:lang w:eastAsia="zh-Hans"/>
        </w:rPr>
        <w:t>”</w:t>
      </w:r>
      <w:r>
        <w:rPr>
          <w:rFonts w:hint="eastAsia"/>
        </w:rPr>
        <w:t>。</w:t>
      </w:r>
    </w:p>
    <w:p>
      <w:pPr>
        <w:rPr>
          <w:rFonts w:hint="eastAsia"/>
          <w:lang w:val="en-US"/>
        </w:rPr>
      </w:pPr>
      <w:r>
        <w:rPr>
          <w:rFonts w:hint="eastAsia"/>
          <w:lang w:val="en-US"/>
        </w:rPr>
        <w:drawing>
          <wp:anchor distT="0" distB="0" distL="0" distR="0" simplePos="0" relativeHeight="252317696" behindDoc="0" locked="0" layoutInCell="1" allowOverlap="1">
            <wp:simplePos x="0" y="0"/>
            <wp:positionH relativeFrom="column">
              <wp:posOffset>627380</wp:posOffset>
            </wp:positionH>
            <wp:positionV relativeFrom="paragraph">
              <wp:posOffset>89535</wp:posOffset>
            </wp:positionV>
            <wp:extent cx="4833620" cy="3444240"/>
            <wp:effectExtent l="0" t="0" r="17780" b="10160"/>
            <wp:wrapTopAndBottom/>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pPr>
        <w:jc w:val="cente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10</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2021届毕业生</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对就业指导服务评价</w:t>
      </w:r>
    </w:p>
    <w:p>
      <w:pPr>
        <w:rPr>
          <w:rFonts w:hint="eastAsia"/>
          <w:lang w:val="en-US"/>
        </w:rPr>
      </w:pPr>
    </w:p>
    <w:p>
      <w:pPr>
        <w:pStyle w:val="142"/>
        <w:numPr>
          <w:ilvl w:val="0"/>
          <w:numId w:val="4"/>
        </w:numPr>
        <w:pBdr>
          <w:top w:val="none" w:color="auto" w:sz="0" w:space="0"/>
          <w:left w:val="none" w:color="auto" w:sz="0" w:space="0"/>
          <w:bottom w:val="none" w:color="auto" w:sz="0" w:space="0"/>
          <w:right w:val="none" w:color="auto" w:sz="0" w:space="0"/>
        </w:pBdr>
        <w:shd w:val="clear" w:color="auto" w:fill="auto"/>
        <w:rPr>
          <w:rFonts w:hint="eastAsia"/>
          <w:color w:val="4F81BD" w:themeColor="accent1"/>
          <w:szCs w:val="22"/>
          <w:lang w:val="en-US" w:eastAsia="zh-Hans"/>
          <w14:textFill>
            <w14:solidFill>
              <w14:schemeClr w14:val="accent1"/>
            </w14:solidFill>
          </w14:textFill>
        </w:rPr>
      </w:pPr>
      <w:bookmarkStart w:id="163" w:name="_Toc1414354527"/>
      <w:r>
        <w:rPr>
          <w:rFonts w:hint="eastAsia"/>
          <w:color w:val="4F81BD" w:themeColor="accent1"/>
          <w:szCs w:val="22"/>
          <w:lang w:val="en-US" w:eastAsia="zh-Hans"/>
          <w14:textFill>
            <w14:solidFill>
              <w14:schemeClr w14:val="accent1"/>
            </w14:solidFill>
          </w14:textFill>
        </w:rPr>
        <w:t>用人单位评价</w:t>
      </w:r>
      <w:bookmarkEnd w:id="163"/>
    </w:p>
    <w:p>
      <w:pPr>
        <w:pStyle w:val="136"/>
        <w:bidi w:val="0"/>
        <w:rPr>
          <w:rFonts w:hint="eastAsia"/>
          <w:lang w:val="en-US" w:eastAsia="zh-Hans"/>
        </w:rPr>
      </w:pPr>
      <w:r>
        <w:rPr>
          <w:rFonts w:hint="eastAsia"/>
          <w:lang w:val="en-US" w:eastAsia="zh-Hans"/>
        </w:rPr>
        <w:t>用人单位评价主要从单位基本情况、招聘需求情况、对毕业生评价、对学校评价进行分析。</w:t>
      </w:r>
    </w:p>
    <w:p>
      <w:pPr>
        <w:pStyle w:val="152"/>
        <w:numPr>
          <w:ilvl w:val="0"/>
          <w:numId w:val="0"/>
        </w:numPr>
        <w:bidi w:val="0"/>
        <w:rPr>
          <w:rFonts w:hint="eastAsia"/>
          <w:lang w:val="en-US" w:eastAsia="zh-Hans"/>
        </w:rPr>
      </w:pPr>
      <w:bookmarkStart w:id="164" w:name="_Toc560046646"/>
      <w:r>
        <w:rPr>
          <w:rFonts w:hint="default"/>
          <w:lang w:eastAsia="zh-Hans"/>
        </w:rPr>
        <w:t>（</w:t>
      </w:r>
      <w:r>
        <w:rPr>
          <w:rFonts w:hint="eastAsia"/>
          <w:lang w:val="en-US" w:eastAsia="zh-Hans"/>
        </w:rPr>
        <w:t>一</w:t>
      </w:r>
      <w:r>
        <w:rPr>
          <w:rFonts w:hint="default"/>
          <w:lang w:eastAsia="zh-Hans"/>
        </w:rPr>
        <w:t>）</w:t>
      </w:r>
      <w:r>
        <w:rPr>
          <w:rFonts w:hint="eastAsia"/>
          <w:lang w:val="en-US" w:eastAsia="zh-Hans"/>
        </w:rPr>
        <w:t>用人单位基本情况</w:t>
      </w:r>
      <w:bookmarkEnd w:id="164"/>
    </w:p>
    <w:p>
      <w:pPr>
        <w:pStyle w:val="113"/>
        <w:bidi w:val="0"/>
        <w:rPr>
          <w:rFonts w:hint="eastAsia"/>
          <w:lang w:val="en-US" w:eastAsia="zh-Hans"/>
        </w:rPr>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用人单位性质</w:t>
      </w:r>
      <w:r>
        <w:rPr>
          <w:rFonts w:hint="default" w:ascii="宋体" w:hAnsi="宋体" w:eastAsia="宋体" w:cstheme="minorBidi"/>
          <w:b/>
          <w:color w:val="4F81BD" w:themeColor="accent1"/>
          <w:sz w:val="24"/>
          <w:szCs w:val="24"/>
          <w:lang w:eastAsia="zh-Hans" w:bidi="ar-SA"/>
          <w14:textFill>
            <w14:solidFill>
              <w14:schemeClr w14:val="accent1"/>
            </w14:solidFill>
          </w14:textFill>
        </w:rPr>
        <w:t>：</w:t>
      </w:r>
      <w:r>
        <w:rPr>
          <w:rFonts w:hint="eastAsia"/>
          <w:lang w:val="en-US" w:eastAsia="zh-Hans"/>
        </w:rPr>
        <w:t>用人单位性质主要为民(私)营企业</w:t>
      </w:r>
      <w:r>
        <w:rPr>
          <w:rFonts w:hint="default"/>
          <w:lang w:eastAsia="zh-Hans"/>
        </w:rPr>
        <w:t>，</w:t>
      </w:r>
      <w:r>
        <w:rPr>
          <w:rFonts w:hint="eastAsia"/>
          <w:lang w:val="en-US" w:eastAsia="zh-Hans"/>
        </w:rPr>
        <w:t>占比29.33%</w:t>
      </w:r>
      <w:r>
        <w:rPr>
          <w:rFonts w:hint="default"/>
          <w:lang w:eastAsia="zh-Hans"/>
        </w:rPr>
        <w:t>；</w:t>
      </w:r>
      <w:r>
        <w:rPr>
          <w:rFonts w:hint="eastAsia"/>
          <w:lang w:val="en-US" w:eastAsia="zh-Hans"/>
        </w:rPr>
        <w:t>其次为事业单位（含学校或医疗卫生单位）</w:t>
      </w:r>
      <w:r>
        <w:rPr>
          <w:rFonts w:hint="default"/>
          <w:lang w:eastAsia="zh-Hans"/>
        </w:rPr>
        <w:t>，</w:t>
      </w:r>
      <w:r>
        <w:rPr>
          <w:rFonts w:hint="eastAsia"/>
          <w:lang w:val="en-US" w:eastAsia="zh-Hans"/>
        </w:rPr>
        <w:t>占比21.33%</w:t>
      </w:r>
      <w:r>
        <w:rPr>
          <w:rFonts w:hint="default"/>
          <w:lang w:eastAsia="zh-Hans"/>
        </w:rPr>
        <w:t>。</w:t>
      </w:r>
    </w:p>
    <w:p>
      <w:pPr>
        <w:pStyle w:val="113"/>
        <w:bidi w:val="0"/>
      </w:pPr>
      <w:r>
        <w:drawing>
          <wp:inline distT="0" distB="0" distL="0" distR="0">
            <wp:extent cx="5789930" cy="3178810"/>
            <wp:effectExtent l="0" t="0" r="1270" b="21590"/>
            <wp:docPr id="7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jc w:val="cente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11</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用人单位性质分布</w:t>
      </w:r>
    </w:p>
    <w:p>
      <w:pPr>
        <w:pStyle w:val="113"/>
        <w:bidi w:val="0"/>
        <w:rPr>
          <w:rFonts w:hint="eastAsia"/>
          <w:lang w:val="en-US" w:eastAsia="zh-Hans"/>
        </w:rPr>
      </w:pPr>
      <w:r>
        <w:rPr>
          <w:rFonts w:hint="eastAsia" w:ascii="宋体" w:hAnsi="宋体" w:eastAsia="宋体" w:cstheme="minorBidi"/>
          <w:b/>
          <w:color w:val="4F81BD" w:themeColor="accent1"/>
          <w:sz w:val="24"/>
          <w:szCs w:val="24"/>
          <w:lang w:val="en-US" w:eastAsia="zh-Hans" w:bidi="ar-SA"/>
          <w14:textFill>
            <w14:solidFill>
              <w14:schemeClr w14:val="accent1"/>
            </w14:solidFill>
          </w14:textFill>
        </w:rPr>
        <w:t>用人单位行业</w:t>
      </w:r>
      <w:r>
        <w:rPr>
          <w:rFonts w:hint="default" w:ascii="宋体" w:hAnsi="宋体" w:eastAsia="宋体" w:cstheme="minorBidi"/>
          <w:b/>
          <w:color w:val="4F81BD" w:themeColor="accent1"/>
          <w:sz w:val="24"/>
          <w:szCs w:val="24"/>
          <w:lang w:eastAsia="zh-Hans" w:bidi="ar-SA"/>
          <w14:textFill>
            <w14:solidFill>
              <w14:schemeClr w14:val="accent1"/>
            </w14:solidFill>
          </w14:textFill>
        </w:rPr>
        <w:t>：</w:t>
      </w:r>
      <w:r>
        <w:rPr>
          <w:rFonts w:hint="eastAsia"/>
          <w:lang w:val="en-US" w:eastAsia="zh-Hans"/>
        </w:rPr>
        <w:t>用人单位行业主要集中在“教育”</w:t>
      </w:r>
      <w:r>
        <w:rPr>
          <w:rFonts w:hint="default"/>
          <w:lang w:eastAsia="zh-Hans"/>
        </w:rPr>
        <w:t>，</w:t>
      </w:r>
      <w:r>
        <w:rPr>
          <w:rFonts w:hint="eastAsia"/>
          <w:lang w:val="en-US" w:eastAsia="zh-Hans"/>
        </w:rPr>
        <w:t>占比32.00%</w:t>
      </w:r>
      <w:r>
        <w:rPr>
          <w:rFonts w:hint="default"/>
          <w:lang w:eastAsia="zh-Hans"/>
        </w:rPr>
        <w:t>；</w:t>
      </w:r>
      <w:r>
        <w:rPr>
          <w:rFonts w:hint="eastAsia"/>
          <w:lang w:val="en-US" w:eastAsia="zh-Hans"/>
        </w:rPr>
        <w:t>其次为“水利、环境和公共设施管理业”</w:t>
      </w:r>
      <w:r>
        <w:rPr>
          <w:rFonts w:hint="default"/>
          <w:lang w:eastAsia="zh-Hans"/>
        </w:rPr>
        <w:t>，</w:t>
      </w:r>
      <w:r>
        <w:rPr>
          <w:rFonts w:hint="eastAsia"/>
          <w:lang w:val="en-US" w:eastAsia="zh-Hans"/>
        </w:rPr>
        <w:t>占比9.33%</w:t>
      </w:r>
      <w:r>
        <w:rPr>
          <w:rFonts w:hint="default"/>
          <w:lang w:eastAsia="zh-Hans"/>
        </w:rPr>
        <w:t>。</w:t>
      </w:r>
    </w:p>
    <w:p>
      <w:pPr>
        <w:jc w:val="cente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pPr>
      <w:r>
        <w:rPr>
          <w:rFonts w:cs="宋体"/>
          <w:color w:val="000000"/>
          <w:szCs w:val="21"/>
        </w:rPr>
        <w:drawing>
          <wp:inline distT="0" distB="0" distL="0" distR="0">
            <wp:extent cx="5920740" cy="3479165"/>
            <wp:effectExtent l="0" t="0" r="22860" b="635"/>
            <wp:docPr id="8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12</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用人单位行业分布</w:t>
      </w:r>
      <w:r>
        <w:rPr>
          <w:rFonts w:hint="default" w:ascii="Times New Roman" w:hAnsi="Times New Roman" w:eastAsia="黑体" w:cs="Times New Roman"/>
          <w:b/>
          <w:caps/>
          <w:color w:val="4F81BD" w:themeColor="accent1"/>
          <w:sz w:val="21"/>
          <w:szCs w:val="36"/>
          <w:lang w:eastAsia="zh-Hans" w:bidi="ar-SA"/>
          <w14:textFill>
            <w14:solidFill>
              <w14:schemeClr w14:val="accent1"/>
            </w14:solidFill>
          </w14:textFill>
        </w:rPr>
        <w:t xml:space="preserve"> </w:t>
      </w:r>
    </w:p>
    <w:p>
      <w:pPr>
        <w:pStyle w:val="152"/>
        <w:numPr>
          <w:ilvl w:val="0"/>
          <w:numId w:val="0"/>
        </w:numPr>
        <w:bidi w:val="0"/>
        <w:rPr>
          <w:rFonts w:hint="eastAsia"/>
          <w:lang w:eastAsia="zh-Hans"/>
        </w:rPr>
      </w:pPr>
      <w:bookmarkStart w:id="165" w:name="_Toc283154521"/>
      <w:r>
        <w:rPr>
          <w:rFonts w:hint="default"/>
          <w:lang w:eastAsia="zh-Hans"/>
        </w:rPr>
        <w:t>（</w:t>
      </w:r>
      <w:r>
        <w:rPr>
          <w:rFonts w:hint="eastAsia"/>
          <w:lang w:val="en-US" w:eastAsia="zh-Hans"/>
        </w:rPr>
        <w:t>二</w:t>
      </w:r>
      <w:r>
        <w:rPr>
          <w:rFonts w:hint="default"/>
          <w:lang w:eastAsia="zh-Hans"/>
        </w:rPr>
        <w:t>）</w:t>
      </w:r>
      <w:r>
        <w:rPr>
          <w:rFonts w:hint="eastAsia"/>
          <w:lang w:val="en-US" w:eastAsia="zh-Hans"/>
        </w:rPr>
        <w:t>用人单位招聘需求</w:t>
      </w:r>
      <w:bookmarkEnd w:id="165"/>
    </w:p>
    <w:p>
      <w:pPr>
        <w:pStyle w:val="136"/>
        <w:bidi w:val="0"/>
        <w:rPr>
          <w:rFonts w:hint="default"/>
          <w:lang w:eastAsia="zh-Hans"/>
        </w:rPr>
      </w:pPr>
      <w:r>
        <w:rPr>
          <w:rFonts w:hint="eastAsia"/>
          <w:lang w:val="en-US" w:eastAsia="zh-Hans"/>
        </w:rPr>
        <w:t>用人</w:t>
      </w:r>
      <w:r>
        <w:rPr>
          <w:rFonts w:hint="eastAsia"/>
          <w:lang w:eastAsia="zh-Hans"/>
        </w:rPr>
        <w:t>单位今年对应届高校毕业生的招聘需求“</w:t>
      </w:r>
      <w:r>
        <w:rPr>
          <w:rFonts w:hint="eastAsia"/>
          <w:lang w:val="en-US" w:eastAsia="zh-Hans"/>
        </w:rPr>
        <w:t>持平”的占比为</w:t>
      </w:r>
      <w:r>
        <w:rPr>
          <w:rFonts w:hint="default"/>
          <w:lang w:eastAsia="zh-Hans"/>
        </w:rPr>
        <w:t>57.33%，</w:t>
      </w:r>
      <w:r>
        <w:rPr>
          <w:rFonts w:hint="eastAsia"/>
          <w:lang w:val="en-US" w:eastAsia="zh-Hans"/>
        </w:rPr>
        <w:t>需求“增加”的占比</w:t>
      </w:r>
      <w:r>
        <w:rPr>
          <w:rFonts w:hint="default"/>
          <w:lang w:eastAsia="zh-Hans"/>
        </w:rPr>
        <w:t>29.33%。</w:t>
      </w:r>
    </w:p>
    <w:p>
      <w:pPr>
        <w:pStyle w:val="136"/>
        <w:bidi w:val="0"/>
        <w:rPr>
          <w:rFonts w:cs="宋体"/>
          <w:color w:val="000000"/>
          <w:szCs w:val="21"/>
        </w:rPr>
      </w:pPr>
      <w:r>
        <w:rPr>
          <w:rFonts w:cs="宋体"/>
          <w:color w:val="000000"/>
          <w:szCs w:val="21"/>
        </w:rPr>
        <w:drawing>
          <wp:inline distT="0" distB="0" distL="0" distR="0">
            <wp:extent cx="5565140" cy="2451100"/>
            <wp:effectExtent l="0" t="0" r="22860" b="12700"/>
            <wp:docPr id="8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jc w:val="center"/>
        <w:rPr>
          <w:rFonts w:hint="eastAsia"/>
          <w:lang w:eastAsia="zh-Hans"/>
        </w:r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13</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用人单位招聘需求</w:t>
      </w:r>
    </w:p>
    <w:p>
      <w:pPr>
        <w:pStyle w:val="152"/>
        <w:numPr>
          <w:ilvl w:val="0"/>
          <w:numId w:val="0"/>
        </w:numPr>
        <w:bidi w:val="0"/>
        <w:rPr>
          <w:rFonts w:hint="eastAsia"/>
          <w:lang w:eastAsia="zh-Hans"/>
        </w:rPr>
      </w:pPr>
      <w:bookmarkStart w:id="166" w:name="_Toc154272695"/>
      <w:r>
        <w:rPr>
          <w:rFonts w:hint="default"/>
          <w:lang w:eastAsia="zh-Hans"/>
        </w:rPr>
        <w:t>（</w:t>
      </w:r>
      <w:r>
        <w:rPr>
          <w:rFonts w:hint="eastAsia"/>
          <w:lang w:val="en-US" w:eastAsia="zh-Hans"/>
        </w:rPr>
        <w:t>三</w:t>
      </w:r>
      <w:r>
        <w:rPr>
          <w:rFonts w:hint="default"/>
          <w:lang w:eastAsia="zh-Hans"/>
        </w:rPr>
        <w:t>）</w:t>
      </w:r>
      <w:r>
        <w:rPr>
          <w:rFonts w:hint="eastAsia"/>
          <w:lang w:val="en-US" w:eastAsia="zh-Hans"/>
        </w:rPr>
        <w:t>用人单位对毕业生评价</w:t>
      </w:r>
      <w:bookmarkEnd w:id="166"/>
    </w:p>
    <w:p>
      <w:pPr>
        <w:pStyle w:val="136"/>
        <w:bidi w:val="0"/>
        <w:rPr>
          <w:rFonts w:hint="default"/>
          <w:lang w:eastAsia="zh-Hans"/>
        </w:rPr>
      </w:pPr>
      <w:r>
        <w:rPr>
          <w:rFonts w:hint="eastAsia"/>
          <w:lang w:val="en-US" w:eastAsia="zh-Hans"/>
        </w:rPr>
        <w:t>用人单位对学校人才培养工作的满意度为</w:t>
      </w:r>
      <w:r>
        <w:rPr>
          <w:rFonts w:hint="default"/>
          <w:lang w:eastAsia="zh-Hans"/>
        </w:rPr>
        <w:t>100.00%。</w:t>
      </w:r>
      <w:r>
        <w:rPr>
          <w:rFonts w:hint="eastAsia"/>
          <w:lang w:val="en-US" w:eastAsia="zh-Hans"/>
        </w:rPr>
        <w:t>认为在人才培养方面应该加强对是“专业知识的传授”</w:t>
      </w:r>
      <w:r>
        <w:rPr>
          <w:rFonts w:hint="default"/>
          <w:lang w:eastAsia="zh-Hans"/>
        </w:rPr>
        <w:t>（</w:t>
      </w:r>
      <w:r>
        <w:rPr>
          <w:rFonts w:hint="eastAsia"/>
          <w:lang w:val="en-US" w:eastAsia="zh-Hans"/>
        </w:rPr>
        <w:t>22.67%</w:t>
      </w:r>
      <w:r>
        <w:rPr>
          <w:rFonts w:hint="default"/>
          <w:lang w:eastAsia="zh-Hans"/>
        </w:rPr>
        <w:t>），</w:t>
      </w:r>
      <w:r>
        <w:rPr>
          <w:rFonts w:hint="eastAsia"/>
          <w:lang w:eastAsia="zh-Hans"/>
        </w:rPr>
        <w:t>“</w:t>
      </w:r>
      <w:r>
        <w:rPr>
          <w:rFonts w:hint="eastAsia"/>
          <w:lang w:val="en-US" w:eastAsia="zh-Hans"/>
        </w:rPr>
        <w:t>实践能力的锻炼”</w:t>
      </w:r>
      <w:r>
        <w:rPr>
          <w:rFonts w:hint="default"/>
          <w:lang w:eastAsia="zh-Hans"/>
        </w:rPr>
        <w:t>（</w:t>
      </w:r>
      <w:r>
        <w:rPr>
          <w:rFonts w:hint="eastAsia"/>
          <w:lang w:val="en-US" w:eastAsia="zh-Hans"/>
        </w:rPr>
        <w:t>18.67%</w:t>
      </w:r>
      <w:r>
        <w:rPr>
          <w:rFonts w:hint="default"/>
          <w:lang w:eastAsia="zh-Hans"/>
        </w:rPr>
        <w:t>）</w:t>
      </w:r>
      <w:r>
        <w:rPr>
          <w:rFonts w:hint="eastAsia"/>
          <w:lang w:val="en-US" w:eastAsia="zh-Hans"/>
        </w:rPr>
        <w:t>和“创新能力的培养”</w:t>
      </w:r>
      <w:r>
        <w:rPr>
          <w:rFonts w:hint="default"/>
          <w:lang w:eastAsia="zh-Hans"/>
        </w:rPr>
        <w:t>（</w:t>
      </w:r>
      <w:r>
        <w:rPr>
          <w:rFonts w:hint="eastAsia"/>
          <w:lang w:val="en-US" w:eastAsia="zh-Hans"/>
        </w:rPr>
        <w:t>14.67%</w:t>
      </w:r>
      <w:r>
        <w:rPr>
          <w:rFonts w:hint="default"/>
          <w:lang w:eastAsia="zh-Hans"/>
        </w:rPr>
        <w:t>）。</w:t>
      </w:r>
    </w:p>
    <w:p>
      <w:pPr>
        <w:pStyle w:val="136"/>
        <w:bidi w:val="0"/>
        <w:rPr>
          <w:rFonts w:cs="宋体"/>
          <w:color w:val="000000"/>
          <w:szCs w:val="21"/>
        </w:rPr>
      </w:pPr>
      <w:r>
        <w:rPr>
          <w:rFonts w:cs="宋体"/>
          <w:color w:val="000000"/>
          <w:szCs w:val="21"/>
        </w:rPr>
        <w:drawing>
          <wp:inline distT="0" distB="0" distL="0" distR="0">
            <wp:extent cx="5676265" cy="2390775"/>
            <wp:effectExtent l="0" t="0" r="13335" b="22225"/>
            <wp:docPr id="8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jc w:val="center"/>
        <w:rPr>
          <w:rFonts w:hint="eastAsia"/>
          <w:lang w:eastAsia="zh-Hans"/>
        </w:r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14</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用人单位对学校人才培养评价</w:t>
      </w:r>
    </w:p>
    <w:p>
      <w:pPr>
        <w:pStyle w:val="136"/>
        <w:bidi w:val="0"/>
        <w:rPr>
          <w:rFonts w:cs="宋体"/>
          <w:color w:val="000000"/>
          <w:szCs w:val="21"/>
        </w:rPr>
      </w:pPr>
    </w:p>
    <w:p>
      <w:pPr>
        <w:pStyle w:val="136"/>
        <w:bidi w:val="0"/>
      </w:pPr>
      <w:r>
        <w:drawing>
          <wp:inline distT="0" distB="0" distL="0" distR="0">
            <wp:extent cx="5777230" cy="2615565"/>
            <wp:effectExtent l="0" t="0" r="13970" b="635"/>
            <wp:docPr id="8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jc w:val="center"/>
        <w:rPr>
          <w:rFonts w:hint="eastAsia" w:cs="宋体"/>
          <w:color w:val="000000"/>
          <w:szCs w:val="21"/>
          <w:lang w:eastAsia="zh-Hans"/>
        </w:r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15</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用人单位认为学校人才培养应该加强的内容</w:t>
      </w:r>
    </w:p>
    <w:p>
      <w:pPr>
        <w:pStyle w:val="152"/>
        <w:numPr>
          <w:ilvl w:val="0"/>
          <w:numId w:val="0"/>
        </w:numPr>
        <w:bidi w:val="0"/>
        <w:rPr>
          <w:rFonts w:hint="eastAsia"/>
          <w:lang w:eastAsia="zh-Hans"/>
        </w:rPr>
      </w:pPr>
      <w:bookmarkStart w:id="167" w:name="_Toc848422936"/>
      <w:r>
        <w:rPr>
          <w:rFonts w:hint="default"/>
          <w:lang w:eastAsia="zh-Hans"/>
        </w:rPr>
        <w:t>（</w:t>
      </w:r>
      <w:r>
        <w:rPr>
          <w:rFonts w:hint="eastAsia"/>
          <w:lang w:val="en-US" w:eastAsia="zh-Hans"/>
        </w:rPr>
        <w:t>四</w:t>
      </w:r>
      <w:r>
        <w:rPr>
          <w:rFonts w:hint="default"/>
          <w:lang w:eastAsia="zh-Hans"/>
        </w:rPr>
        <w:t>）</w:t>
      </w:r>
      <w:r>
        <w:rPr>
          <w:rFonts w:hint="eastAsia"/>
          <w:lang w:val="en-US" w:eastAsia="zh-Hans"/>
        </w:rPr>
        <w:t>用人单位对学校就业服务评价</w:t>
      </w:r>
      <w:bookmarkEnd w:id="167"/>
    </w:p>
    <w:p>
      <w:pPr>
        <w:pStyle w:val="136"/>
        <w:bidi w:val="0"/>
        <w:rPr>
          <w:rFonts w:hint="eastAsia"/>
          <w:lang w:val="en-US" w:eastAsia="zh-Hans"/>
        </w:rPr>
      </w:pPr>
      <w:r>
        <w:rPr>
          <w:rFonts w:hint="eastAsia"/>
          <w:lang w:val="en-US" w:eastAsia="zh-Hans"/>
        </w:rPr>
        <w:t>用人单位对学校就业服务对满意度为</w:t>
      </w:r>
      <w:r>
        <w:rPr>
          <w:rFonts w:hint="default"/>
          <w:lang w:eastAsia="zh-Hans"/>
        </w:rPr>
        <w:t>100</w:t>
      </w:r>
      <w:r>
        <w:rPr>
          <w:rFonts w:hint="eastAsia"/>
          <w:lang w:val="en-US" w:eastAsia="zh-Hans"/>
        </w:rPr>
        <w:t>.</w:t>
      </w:r>
      <w:r>
        <w:rPr>
          <w:rFonts w:hint="default"/>
          <w:lang w:eastAsia="zh-Hans"/>
        </w:rPr>
        <w:t>00%，</w:t>
      </w:r>
      <w:r>
        <w:rPr>
          <w:rFonts w:hint="eastAsia"/>
          <w:lang w:val="en-US" w:eastAsia="zh-Hans"/>
        </w:rPr>
        <w:t>认为在就业服务方面亟需改进的是“加强毕业生就业指导”</w:t>
      </w:r>
      <w:r>
        <w:rPr>
          <w:rFonts w:hint="default"/>
          <w:lang w:eastAsia="zh-Hans"/>
        </w:rPr>
        <w:t>（</w:t>
      </w:r>
      <w:r>
        <w:rPr>
          <w:rFonts w:hint="eastAsia"/>
          <w:lang w:val="en-US" w:eastAsia="zh-Hans"/>
        </w:rPr>
        <w:t>28.00%</w:t>
      </w:r>
      <w:r>
        <w:rPr>
          <w:rFonts w:hint="default"/>
          <w:lang w:eastAsia="zh-Hans"/>
        </w:rPr>
        <w:t>），</w:t>
      </w:r>
      <w:r>
        <w:rPr>
          <w:rFonts w:hint="eastAsia"/>
          <w:lang w:eastAsia="zh-Hans"/>
        </w:rPr>
        <w:t>“</w:t>
      </w:r>
      <w:r>
        <w:rPr>
          <w:rFonts w:hint="eastAsia"/>
          <w:lang w:val="en-US" w:eastAsia="zh-Hans"/>
        </w:rPr>
        <w:t>及时更新发布招聘信息”</w:t>
      </w:r>
      <w:r>
        <w:rPr>
          <w:rFonts w:hint="default"/>
          <w:lang w:eastAsia="zh-Hans"/>
        </w:rPr>
        <w:t>（</w:t>
      </w:r>
      <w:r>
        <w:rPr>
          <w:rFonts w:hint="eastAsia"/>
          <w:lang w:val="en-US" w:eastAsia="zh-Hans"/>
        </w:rPr>
        <w:t>16.00%</w:t>
      </w:r>
      <w:r>
        <w:rPr>
          <w:rFonts w:hint="default"/>
          <w:lang w:eastAsia="zh-Hans"/>
        </w:rPr>
        <w:t>）</w:t>
      </w:r>
      <w:r>
        <w:rPr>
          <w:rFonts w:hint="eastAsia"/>
          <w:lang w:val="en-US" w:eastAsia="zh-Hans"/>
        </w:rPr>
        <w:t>和“增加校园招聘会场次”</w:t>
      </w:r>
      <w:r>
        <w:rPr>
          <w:rFonts w:hint="default"/>
          <w:lang w:eastAsia="zh-Hans"/>
        </w:rPr>
        <w:t>（</w:t>
      </w:r>
      <w:r>
        <w:rPr>
          <w:rFonts w:hint="eastAsia"/>
          <w:lang w:val="en-US" w:eastAsia="zh-Hans"/>
        </w:rPr>
        <w:t>16.00%</w:t>
      </w:r>
      <w:r>
        <w:rPr>
          <w:rFonts w:hint="default"/>
          <w:lang w:eastAsia="zh-Hans"/>
        </w:rPr>
        <w:t>）。</w:t>
      </w:r>
    </w:p>
    <w:p>
      <w:pPr>
        <w:pStyle w:val="136"/>
        <w:bidi w:val="0"/>
        <w:rPr>
          <w:rFonts w:cs="宋体"/>
          <w:color w:val="000000"/>
          <w:szCs w:val="21"/>
        </w:rPr>
      </w:pPr>
      <w:r>
        <w:rPr>
          <w:rFonts w:cs="宋体"/>
          <w:color w:val="000000"/>
          <w:szCs w:val="21"/>
        </w:rPr>
        <w:drawing>
          <wp:inline distT="0" distB="0" distL="0" distR="0">
            <wp:extent cx="5711190" cy="3067685"/>
            <wp:effectExtent l="0" t="0" r="3810" b="5715"/>
            <wp:docPr id="86"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jc w:val="center"/>
        <w:rPr>
          <w:rFonts w:hint="eastAsia" w:cs="宋体"/>
          <w:color w:val="000000"/>
          <w:szCs w:val="21"/>
          <w:lang w:eastAsia="zh-Hans"/>
        </w:r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16</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用人单位对就业服务的满意度</w:t>
      </w:r>
    </w:p>
    <w:p>
      <w:pPr>
        <w:pStyle w:val="136"/>
        <w:bidi w:val="0"/>
        <w:rPr>
          <w:rFonts w:hint="eastAsia" w:cs="宋体"/>
          <w:color w:val="000000"/>
          <w:szCs w:val="21"/>
          <w:lang w:val="en-US" w:eastAsia="zh-Hans"/>
        </w:rPr>
      </w:pPr>
    </w:p>
    <w:p>
      <w:pPr>
        <w:pStyle w:val="136"/>
        <w:bidi w:val="0"/>
        <w:rPr>
          <w:rFonts w:cs="宋体"/>
          <w:color w:val="000000"/>
          <w:szCs w:val="21"/>
        </w:rPr>
      </w:pPr>
    </w:p>
    <w:p>
      <w:pPr>
        <w:jc w:val="center"/>
        <w:rPr>
          <w:rFonts w:cs="宋体"/>
          <w:color w:val="000000"/>
          <w:szCs w:val="21"/>
        </w:rPr>
      </w:pPr>
      <w:r>
        <w:rPr>
          <w:rFonts w:cs="宋体"/>
          <w:color w:val="000000"/>
          <w:szCs w:val="21"/>
        </w:rPr>
        <w:drawing>
          <wp:inline distT="0" distB="0" distL="0" distR="0">
            <wp:extent cx="5168265" cy="2590165"/>
            <wp:effectExtent l="0" t="0" r="13335" b="635"/>
            <wp:docPr id="8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jc w:val="center"/>
        <w:rPr>
          <w:rFonts w:hint="eastAsia" w:cs="宋体"/>
          <w:color w:val="000000"/>
          <w:szCs w:val="21"/>
          <w:lang w:eastAsia="zh-Hans"/>
        </w:rPr>
      </w:pP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图</w: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t>8</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begin"/>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SEQ 图</w:instrText>
      </w:r>
      <w:r>
        <w:rPr>
          <w:rFonts w:hint="default"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8</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instrText xml:space="preserve">- </w:instrTex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separate"/>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17</w:t>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fldChar w:fldCharType="end"/>
      </w:r>
      <w:r>
        <w:rPr>
          <w:rFonts w:hint="eastAsia" w:ascii="Times New Roman" w:hAnsi="Times New Roman" w:eastAsia="黑体" w:cs="Times New Roman"/>
          <w:b/>
          <w:caps/>
          <w:color w:val="4F81BD" w:themeColor="accent1"/>
          <w:sz w:val="21"/>
          <w:szCs w:val="36"/>
          <w:lang w:val="zh-CN" w:eastAsia="zh-CN" w:bidi="ar-SA"/>
          <w14:textFill>
            <w14:solidFill>
              <w14:schemeClr w14:val="accent1"/>
            </w14:solidFill>
          </w14:textFill>
        </w:rPr>
        <w:t xml:space="preserve">  </w:t>
      </w:r>
      <w:r>
        <w:rPr>
          <w:rFonts w:hint="eastAsia" w:ascii="Times New Roman" w:hAnsi="Times New Roman" w:eastAsia="黑体" w:cs="Times New Roman"/>
          <w:b/>
          <w:caps/>
          <w:color w:val="4F81BD" w:themeColor="accent1"/>
          <w:sz w:val="21"/>
          <w:szCs w:val="36"/>
          <w:lang w:val="en-US" w:eastAsia="zh-Hans" w:bidi="ar-SA"/>
          <w14:textFill>
            <w14:solidFill>
              <w14:schemeClr w14:val="accent1"/>
            </w14:solidFill>
          </w14:textFill>
        </w:rPr>
        <w:t>用人单位认为就业服务应该改进的方面</w:t>
      </w:r>
    </w:p>
    <w:p>
      <w:pPr>
        <w:pStyle w:val="136"/>
        <w:bidi w:val="0"/>
        <w:rPr>
          <w:rFonts w:hint="eastAsia" w:cs="宋体"/>
          <w:color w:val="000000"/>
          <w:szCs w:val="21"/>
          <w:lang w:val="en-US" w:eastAsia="zh-Hans"/>
        </w:rPr>
        <w:sectPr>
          <w:pgSz w:w="11907" w:h="16160"/>
          <w:pgMar w:top="1418" w:right="1418" w:bottom="1418" w:left="1701" w:header="850" w:footer="397" w:gutter="0"/>
          <w:pgBorders>
            <w:top w:val="none" w:sz="0" w:space="0"/>
            <w:left w:val="none" w:sz="0" w:space="0"/>
            <w:bottom w:val="none" w:sz="0" w:space="0"/>
            <w:right w:val="none" w:sz="0" w:space="0"/>
          </w:pgBorders>
          <w:pgNumType w:fmt="decimal"/>
          <w:cols w:space="720" w:num="1"/>
          <w:docGrid w:type="linesAndChars" w:linePitch="312" w:charSpace="0"/>
        </w:sectPr>
      </w:pPr>
    </w:p>
    <w:p>
      <w:pPr>
        <w:rPr>
          <w:rFonts w:hint="eastAsia"/>
        </w:rPr>
      </w:pPr>
    </w:p>
    <w:p>
      <w:pPr>
        <w:pStyle w:val="88"/>
        <w:bidi w:val="0"/>
        <w:rPr>
          <w:highlight w:val="none"/>
        </w:rPr>
      </w:pPr>
      <w:bookmarkStart w:id="168" w:name="_Toc152869272"/>
      <w:r>
        <w:rPr>
          <w:rFonts w:hint="eastAsia"/>
          <w:highlight w:val="none"/>
        </w:rPr>
        <w:t>第</w:t>
      </w:r>
      <w:r>
        <w:rPr>
          <w:rFonts w:hint="eastAsia"/>
          <w:highlight w:val="none"/>
          <w:lang w:val="en-US" w:eastAsia="zh-Hans"/>
        </w:rPr>
        <w:t>九章</w:t>
      </w:r>
      <w:r>
        <w:rPr>
          <w:rFonts w:hint="default"/>
          <w:highlight w:val="none"/>
        </w:rPr>
        <w:t xml:space="preserve"> </w:t>
      </w:r>
      <w:r>
        <w:rPr>
          <w:rFonts w:hint="eastAsia"/>
          <w:highlight w:val="none"/>
          <w:lang w:val="en-US" w:eastAsia="zh-Hans"/>
        </w:rPr>
        <w:t>毕业生</w:t>
      </w:r>
      <w:r>
        <w:rPr>
          <w:highlight w:val="none"/>
        </w:rPr>
        <w:t>就业发展趋势分析</w:t>
      </w:r>
      <w:bookmarkEnd w:id="142"/>
      <w:bookmarkEnd w:id="143"/>
      <w:bookmarkEnd w:id="168"/>
    </w:p>
    <w:p>
      <w:pPr>
        <w:pStyle w:val="142"/>
        <w:pBdr>
          <w:top w:val="none" w:color="auto" w:sz="0" w:space="0"/>
          <w:left w:val="none" w:color="auto" w:sz="0" w:space="0"/>
          <w:bottom w:val="none" w:color="auto" w:sz="0" w:space="0"/>
          <w:right w:val="none" w:color="auto" w:sz="0" w:space="0"/>
        </w:pBdr>
        <w:rPr>
          <w:rFonts w:hint="eastAsia"/>
          <w:color w:val="4F81BD" w:themeColor="accent1"/>
          <w:highlight w:val="none"/>
          <w14:textFill>
            <w14:solidFill>
              <w14:schemeClr w14:val="accent1"/>
            </w14:solidFill>
          </w14:textFill>
        </w:rPr>
      </w:pPr>
      <w:bookmarkStart w:id="169" w:name="_Toc47449747"/>
      <w:bookmarkStart w:id="170" w:name="_Toc48725336"/>
      <w:bookmarkStart w:id="171" w:name="_Toc883412692"/>
      <w:r>
        <w:rPr>
          <w:rFonts w:hint="eastAsia"/>
          <w:color w:val="4F81BD" w:themeColor="accent1"/>
          <w:highlight w:val="none"/>
          <w14:textFill>
            <w14:solidFill>
              <w14:schemeClr w14:val="accent1"/>
            </w14:solidFill>
          </w14:textFill>
        </w:rPr>
        <w:t>一、</w:t>
      </w:r>
      <w:bookmarkEnd w:id="169"/>
      <w:bookmarkEnd w:id="170"/>
      <w:r>
        <w:rPr>
          <w:rFonts w:hint="eastAsia"/>
          <w:color w:val="4F81BD" w:themeColor="accent1"/>
          <w:highlight w:val="none"/>
          <w14:textFill>
            <w14:solidFill>
              <w14:schemeClr w14:val="accent1"/>
            </w14:solidFill>
          </w14:textFill>
        </w:rPr>
        <w:t>毕业生去向变化趋势</w:t>
      </w:r>
      <w:bookmarkEnd w:id="171"/>
    </w:p>
    <w:p>
      <w:pPr>
        <w:pStyle w:val="152"/>
        <w:bidi w:val="0"/>
        <w:rPr>
          <w:rFonts w:hint="eastAsia"/>
          <w:lang w:val="en-US" w:eastAsia="zh-Hans"/>
        </w:rPr>
      </w:pPr>
      <w:bookmarkStart w:id="172" w:name="_Toc1962662733"/>
      <w:r>
        <w:rPr>
          <w:rFonts w:hint="default"/>
          <w:lang w:eastAsia="zh-Hans"/>
        </w:rPr>
        <w:t>（</w:t>
      </w:r>
      <w:r>
        <w:rPr>
          <w:rFonts w:hint="eastAsia"/>
          <w:lang w:val="en-US" w:eastAsia="zh-Hans"/>
        </w:rPr>
        <w:t>一</w:t>
      </w:r>
      <w:r>
        <w:rPr>
          <w:rFonts w:hint="default"/>
          <w:lang w:eastAsia="zh-Hans"/>
        </w:rPr>
        <w:t>）</w:t>
      </w:r>
      <w:r>
        <w:rPr>
          <w:rFonts w:hint="eastAsia"/>
        </w:rPr>
        <w:t>毕业生规模及毕业生去向落实率变化趋势</w:t>
      </w:r>
      <w:bookmarkEnd w:id="172"/>
    </w:p>
    <w:p>
      <w:pPr>
        <w:pStyle w:val="199"/>
        <w:ind w:firstLine="480"/>
        <w:rPr>
          <w:rFonts w:hint="eastAsia"/>
          <w:highlight w:val="none"/>
        </w:rPr>
      </w:pPr>
      <w:r>
        <w:rPr>
          <w:rFonts w:hint="eastAsia"/>
          <w:caps/>
          <w:highlight w:val="none"/>
        </w:rPr>
        <w:t>学校历来</w:t>
      </w:r>
      <w:r>
        <w:rPr>
          <w:rFonts w:hint="eastAsia"/>
          <w:caps/>
          <w:highlight w:val="none"/>
          <w:lang w:val="en-US" w:eastAsia="zh-Hans"/>
        </w:rPr>
        <w:t>高度</w:t>
      </w:r>
      <w:r>
        <w:rPr>
          <w:rFonts w:hint="eastAsia"/>
          <w:caps/>
          <w:highlight w:val="none"/>
        </w:rPr>
        <w:t>重视毕业生的就业工作，将实现毕业生的充分就业和高质量就业作为工作重心。如下图</w:t>
      </w:r>
      <w:r>
        <w:rPr>
          <w:rFonts w:hint="eastAsia"/>
          <w:highlight w:val="none"/>
        </w:rPr>
        <w:t>所示</w:t>
      </w:r>
      <w:r>
        <w:rPr>
          <w:rFonts w:eastAsiaTheme="minorEastAsia"/>
          <w:color w:val="auto"/>
          <w:highlight w:val="none"/>
        </w:rPr>
        <w:t>，</w:t>
      </w:r>
      <w:r>
        <w:rPr>
          <w:rFonts w:hint="eastAsia"/>
          <w:highlight w:val="none"/>
        </w:rPr>
        <w:t>近三届</w:t>
      </w:r>
      <w:r>
        <w:rPr>
          <w:highlight w:val="none"/>
        </w:rPr>
        <w:t>毕业生</w:t>
      </w:r>
      <w:r>
        <w:rPr>
          <w:rFonts w:hint="eastAsia"/>
          <w:highlight w:val="none"/>
        </w:rPr>
        <w:t>规模</w:t>
      </w:r>
      <w:r>
        <w:rPr>
          <w:rFonts w:hint="eastAsia"/>
          <w:highlight w:val="none"/>
          <w:lang w:val="en-US" w:eastAsia="zh-Hans"/>
        </w:rPr>
        <w:t>基本稳定</w:t>
      </w:r>
      <w:r>
        <w:rPr>
          <w:rFonts w:hint="eastAsia"/>
          <w:highlight w:val="none"/>
        </w:rPr>
        <w:t>，</w:t>
      </w:r>
      <w:r>
        <w:rPr>
          <w:rFonts w:hint="default"/>
          <w:highlight w:val="none"/>
        </w:rPr>
        <w:t>毕业去向落实率</w:t>
      </w:r>
      <w:r>
        <w:rPr>
          <w:rFonts w:hint="eastAsia"/>
          <w:highlight w:val="none"/>
        </w:rPr>
        <w:t>始终保持在</w:t>
      </w:r>
      <w:r>
        <w:rPr>
          <w:highlight w:val="none"/>
        </w:rPr>
        <w:t>较高水平，</w:t>
      </w:r>
      <w:r>
        <w:rPr>
          <w:rFonts w:hint="eastAsia"/>
          <w:highlight w:val="none"/>
        </w:rPr>
        <w:t>均在9</w:t>
      </w:r>
      <w:r>
        <w:rPr>
          <w:highlight w:val="none"/>
        </w:rPr>
        <w:t>0.00</w:t>
      </w:r>
      <w:r>
        <w:rPr>
          <w:rFonts w:hint="eastAsia"/>
          <w:highlight w:val="none"/>
        </w:rPr>
        <w:t>%以上，就业状况</w:t>
      </w:r>
      <w:r>
        <w:rPr>
          <w:highlight w:val="none"/>
        </w:rPr>
        <w:t>良好</w:t>
      </w:r>
      <w:r>
        <w:rPr>
          <w:rFonts w:hint="eastAsia"/>
          <w:highlight w:val="none"/>
        </w:rPr>
        <w:t>。可见在当前严峻复杂的就业形势下，学校深入实施</w:t>
      </w:r>
      <w:r>
        <w:rPr>
          <w:rFonts w:hint="eastAsia"/>
          <w:highlight w:val="none"/>
          <w:lang w:val="en-US" w:eastAsia="zh-Hans"/>
        </w:rPr>
        <w:t>就业</w:t>
      </w:r>
      <w:r>
        <w:rPr>
          <w:rFonts w:hint="eastAsia"/>
          <w:highlight w:val="none"/>
        </w:rPr>
        <w:t>质量提升工程，积极开拓毕业生就业市场，搭建各类线上线下平台，优化网上就业服务能力，多</w:t>
      </w:r>
      <w:r>
        <w:rPr>
          <w:rFonts w:hint="eastAsia"/>
          <w:highlight w:val="none"/>
          <w:lang w:val="en-US" w:eastAsia="zh-Hans"/>
        </w:rPr>
        <w:t>措</w:t>
      </w:r>
      <w:r>
        <w:rPr>
          <w:rFonts w:hint="eastAsia"/>
          <w:highlight w:val="none"/>
        </w:rPr>
        <w:t>并举力促疫情防控常态化下毕业生</w:t>
      </w:r>
      <w:r>
        <w:rPr>
          <w:rFonts w:hint="eastAsia"/>
          <w:highlight w:val="none"/>
          <w:lang w:val="en-US" w:eastAsia="zh-Hans"/>
        </w:rPr>
        <w:t>就业去向落实率</w:t>
      </w:r>
      <w:r>
        <w:rPr>
          <w:rFonts w:hint="eastAsia"/>
          <w:highlight w:val="none"/>
        </w:rPr>
        <w:t>高位稳定。</w:t>
      </w:r>
    </w:p>
    <w:p>
      <w:pPr>
        <w:pStyle w:val="199"/>
        <w:ind w:firstLine="480"/>
        <w:rPr>
          <w:rFonts w:eastAsiaTheme="minorEastAsia"/>
          <w:color w:val="auto"/>
          <w:highlight w:val="none"/>
        </w:rPr>
      </w:pPr>
      <w:r>
        <w:rPr>
          <w:rFonts w:hint="eastAsia"/>
          <w:b/>
          <w:highlight w:val="none"/>
        </w:rPr>
        <w:drawing>
          <wp:inline distT="0" distB="0" distL="0" distR="0">
            <wp:extent cx="5585460" cy="2914015"/>
            <wp:effectExtent l="0" t="0" r="2540" b="6985"/>
            <wp:docPr id="1138" name="图表 1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203"/>
        <w:bidi w:val="0"/>
        <w:rPr>
          <w:rFonts w:hint="eastAsia"/>
          <w:highlight w:val="none"/>
        </w:rPr>
      </w:pPr>
      <w:bookmarkStart w:id="173" w:name="_Toc47449655"/>
      <w:bookmarkStart w:id="174" w:name="_Toc48725652"/>
      <w:r>
        <w:rPr>
          <w:rFonts w:hint="eastAsia"/>
          <w:highlight w:val="none"/>
        </w:rPr>
        <w:t>图</w:t>
      </w:r>
      <w:r>
        <w:rPr>
          <w:rFonts w:hint="default"/>
          <w:highlight w:val="none"/>
        </w:rPr>
        <w:t>9</w:t>
      </w:r>
      <w:r>
        <w:rPr>
          <w:rFonts w:hint="eastAsia"/>
          <w:highlight w:val="none"/>
        </w:rPr>
        <w:t xml:space="preserve">- </w:t>
      </w:r>
      <w:r>
        <w:rPr>
          <w:highlight w:val="none"/>
        </w:rPr>
        <w:fldChar w:fldCharType="begin"/>
      </w:r>
      <w:r>
        <w:rPr>
          <w:highlight w:val="none"/>
        </w:rPr>
        <w:instrText xml:space="preserve"> </w:instrText>
      </w:r>
      <w:r>
        <w:rPr>
          <w:rFonts w:hint="eastAsia"/>
          <w:highlight w:val="none"/>
        </w:rPr>
        <w:instrText xml:space="preserve">SEQ 图</w:instrText>
      </w:r>
      <w:r>
        <w:rPr>
          <w:rFonts w:hint="default"/>
          <w:highlight w:val="none"/>
        </w:rPr>
        <w:instrText xml:space="preserve">9</w:instrText>
      </w:r>
      <w:r>
        <w:rPr>
          <w:rFonts w:hint="eastAsia"/>
          <w:highlight w:val="none"/>
        </w:rPr>
        <w:instrText xml:space="preserve">- \* ARABIC</w:instrText>
      </w:r>
      <w:r>
        <w:rPr>
          <w:highlight w:val="none"/>
        </w:rPr>
        <w:instrText xml:space="preserve"> </w:instrText>
      </w:r>
      <w:r>
        <w:rPr>
          <w:highlight w:val="none"/>
        </w:rPr>
        <w:fldChar w:fldCharType="separate"/>
      </w:r>
      <w:r>
        <w:rPr>
          <w:rFonts w:hint="eastAsia"/>
          <w:highlight w:val="none"/>
        </w:rPr>
        <w:t>1</w:t>
      </w:r>
      <w:r>
        <w:rPr>
          <w:highlight w:val="none"/>
        </w:rPr>
        <w:fldChar w:fldCharType="end"/>
      </w:r>
      <w:r>
        <w:rPr>
          <w:highlight w:val="none"/>
        </w:rPr>
        <w:t xml:space="preserve">  </w:t>
      </w:r>
      <w:r>
        <w:rPr>
          <w:rFonts w:hint="eastAsia"/>
          <w:highlight w:val="none"/>
        </w:rPr>
        <w:t>201</w:t>
      </w:r>
      <w:r>
        <w:rPr>
          <w:highlight w:val="none"/>
        </w:rPr>
        <w:t>9</w:t>
      </w:r>
      <w:r>
        <w:rPr>
          <w:rFonts w:hint="eastAsia"/>
          <w:highlight w:val="none"/>
        </w:rPr>
        <w:t>-</w:t>
      </w:r>
      <w:r>
        <w:rPr>
          <w:highlight w:val="none"/>
        </w:rPr>
        <w:t>2021届毕业生</w:t>
      </w:r>
      <w:r>
        <w:rPr>
          <w:rFonts w:hint="eastAsia"/>
          <w:highlight w:val="none"/>
        </w:rPr>
        <w:t>规模及</w:t>
      </w:r>
      <w:r>
        <w:rPr>
          <w:rFonts w:hint="default"/>
          <w:highlight w:val="none"/>
        </w:rPr>
        <w:t>毕业去向落实率</w:t>
      </w:r>
      <w:r>
        <w:rPr>
          <w:rFonts w:hint="eastAsia"/>
          <w:highlight w:val="none"/>
        </w:rPr>
        <w:t>趋势变化</w:t>
      </w:r>
      <w:bookmarkEnd w:id="173"/>
      <w:bookmarkEnd w:id="174"/>
      <w:bookmarkStart w:id="175" w:name="_Toc48725337"/>
      <w:bookmarkStart w:id="176" w:name="_Toc47449749"/>
    </w:p>
    <w:p>
      <w:pPr>
        <w:pStyle w:val="152"/>
        <w:bidi w:val="0"/>
        <w:rPr>
          <w:rFonts w:hint="default"/>
          <w:szCs w:val="22"/>
          <w:lang w:eastAsia="zh-Hans"/>
        </w:rPr>
      </w:pPr>
      <w:bookmarkStart w:id="177" w:name="_Toc1123735611"/>
      <w:r>
        <w:rPr>
          <w:rFonts w:hint="default"/>
          <w:szCs w:val="22"/>
          <w:lang w:eastAsia="zh-Hans"/>
        </w:rPr>
        <w:t>（</w:t>
      </w:r>
      <w:r>
        <w:rPr>
          <w:rFonts w:hint="eastAsia"/>
          <w:szCs w:val="22"/>
          <w:lang w:val="en-US" w:eastAsia="zh-Hans"/>
        </w:rPr>
        <w:t>二</w:t>
      </w:r>
      <w:r>
        <w:rPr>
          <w:rFonts w:hint="default"/>
          <w:szCs w:val="22"/>
          <w:lang w:eastAsia="zh-Hans"/>
        </w:rPr>
        <w:t>）</w:t>
      </w:r>
      <w:r>
        <w:rPr>
          <w:rFonts w:hint="default"/>
          <w:szCs w:val="22"/>
          <w:lang w:val="en-US" w:eastAsia="zh-CN"/>
        </w:rPr>
        <w:t>毕业去向变化趋势</w:t>
      </w:r>
      <w:bookmarkEnd w:id="177"/>
    </w:p>
    <w:p>
      <w:pPr>
        <w:pStyle w:val="144"/>
        <w:bidi w:val="0"/>
        <w:rPr>
          <w:rFonts w:hint="eastAsia"/>
          <w:lang w:val="en-US" w:eastAsia="zh-Hans"/>
        </w:rPr>
      </w:pPr>
      <w:r>
        <w:rPr>
          <w:rFonts w:hint="eastAsia"/>
          <w:lang w:val="en-US" w:eastAsia="zh-Hans"/>
        </w:rPr>
        <w:t>学校近三届毕业生主要的毕业去向为签劳动合同形式就业，其中 2019 届-2021届毕业生其他录用形式就业</w:t>
      </w:r>
      <w:r>
        <w:rPr>
          <w:rFonts w:hint="default"/>
          <w:lang w:eastAsia="zh-Hans"/>
        </w:rPr>
        <w:t>、</w:t>
      </w:r>
      <w:r>
        <w:rPr>
          <w:rFonts w:hint="eastAsia"/>
          <w:lang w:val="en-US" w:eastAsia="zh-Hans"/>
        </w:rPr>
        <w:t>签就业协议形式就业和继续深造呈上升趋势。</w:t>
      </w:r>
    </w:p>
    <w:p>
      <w:pPr>
        <w:pStyle w:val="203"/>
        <w:bidi w:val="0"/>
      </w:pPr>
      <w:r>
        <w:drawing>
          <wp:inline distT="0" distB="0" distL="114300" distR="114300">
            <wp:extent cx="5823585" cy="2937510"/>
            <wp:effectExtent l="0" t="0" r="18415" b="8890"/>
            <wp:docPr id="9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203"/>
        <w:bidi w:val="0"/>
        <w:rPr>
          <w:rFonts w:hint="eastAsia"/>
          <w:highlight w:val="none"/>
        </w:rPr>
      </w:pPr>
      <w:r>
        <w:rPr>
          <w:rFonts w:hint="eastAsia"/>
          <w:highlight w:val="none"/>
        </w:rPr>
        <w:t>图</w:t>
      </w:r>
      <w:r>
        <w:rPr>
          <w:rFonts w:hint="default"/>
          <w:highlight w:val="none"/>
        </w:rPr>
        <w:t>9</w:t>
      </w:r>
      <w:r>
        <w:rPr>
          <w:rFonts w:hint="eastAsia"/>
          <w:highlight w:val="none"/>
        </w:rPr>
        <w:t xml:space="preserve">- </w:t>
      </w:r>
      <w:r>
        <w:rPr>
          <w:highlight w:val="none"/>
        </w:rPr>
        <w:fldChar w:fldCharType="begin"/>
      </w:r>
      <w:r>
        <w:rPr>
          <w:highlight w:val="none"/>
        </w:rPr>
        <w:instrText xml:space="preserve"> </w:instrText>
      </w:r>
      <w:r>
        <w:rPr>
          <w:rFonts w:hint="eastAsia"/>
          <w:highlight w:val="none"/>
        </w:rPr>
        <w:instrText xml:space="preserve">SEQ 图</w:instrText>
      </w:r>
      <w:r>
        <w:rPr>
          <w:rFonts w:hint="default"/>
          <w:highlight w:val="none"/>
        </w:rPr>
        <w:instrText xml:space="preserve">9</w:instrText>
      </w:r>
      <w:r>
        <w:rPr>
          <w:rFonts w:hint="eastAsia"/>
          <w:highlight w:val="none"/>
        </w:rPr>
        <w:instrText xml:space="preserve">- \* ARABIC</w:instrText>
      </w:r>
      <w:r>
        <w:rPr>
          <w:highlight w:val="none"/>
        </w:rPr>
        <w:instrText xml:space="preserve"> </w:instrText>
      </w:r>
      <w:r>
        <w:rPr>
          <w:highlight w:val="none"/>
        </w:rPr>
        <w:fldChar w:fldCharType="separate"/>
      </w:r>
      <w:r>
        <w:rPr>
          <w:rFonts w:hint="eastAsia"/>
          <w:highlight w:val="none"/>
        </w:rPr>
        <w:t>2</w:t>
      </w:r>
      <w:r>
        <w:rPr>
          <w:highlight w:val="none"/>
        </w:rPr>
        <w:fldChar w:fldCharType="end"/>
      </w:r>
      <w:r>
        <w:rPr>
          <w:highlight w:val="none"/>
        </w:rPr>
        <w:t xml:space="preserve">  </w:t>
      </w:r>
      <w:r>
        <w:rPr>
          <w:rFonts w:hint="eastAsia"/>
          <w:highlight w:val="none"/>
        </w:rPr>
        <w:t>201</w:t>
      </w:r>
      <w:r>
        <w:rPr>
          <w:highlight w:val="none"/>
        </w:rPr>
        <w:t>9</w:t>
      </w:r>
      <w:r>
        <w:rPr>
          <w:rFonts w:hint="eastAsia"/>
          <w:highlight w:val="none"/>
        </w:rPr>
        <w:t>-</w:t>
      </w:r>
      <w:r>
        <w:rPr>
          <w:highlight w:val="none"/>
        </w:rPr>
        <w:t>2021届毕业生</w:t>
      </w:r>
      <w:r>
        <w:rPr>
          <w:rFonts w:hint="default"/>
          <w:highlight w:val="none"/>
        </w:rPr>
        <w:t>毕业去向</w:t>
      </w:r>
      <w:r>
        <w:rPr>
          <w:rFonts w:hint="eastAsia"/>
          <w:highlight w:val="none"/>
        </w:rPr>
        <w:t>变化趋势</w:t>
      </w:r>
    </w:p>
    <w:p>
      <w:pPr>
        <w:pStyle w:val="142"/>
        <w:numPr>
          <w:ilvl w:val="0"/>
          <w:numId w:val="0"/>
        </w:numPr>
        <w:pBdr>
          <w:top w:val="none" w:color="auto" w:sz="0" w:space="0"/>
          <w:left w:val="none" w:color="auto" w:sz="0" w:space="0"/>
          <w:bottom w:val="none" w:color="auto" w:sz="0" w:space="0"/>
          <w:right w:val="none" w:color="auto" w:sz="0" w:space="0"/>
        </w:pBdr>
        <w:rPr>
          <w:rFonts w:hint="eastAsia"/>
          <w:color w:val="4F81BD" w:themeColor="accent1"/>
          <w:highlight w:val="none"/>
          <w:lang w:val="en-US" w:eastAsia="zh-Hans"/>
          <w14:textFill>
            <w14:solidFill>
              <w14:schemeClr w14:val="accent1"/>
            </w14:solidFill>
          </w14:textFill>
        </w:rPr>
      </w:pPr>
      <w:bookmarkStart w:id="178" w:name="_Toc1653222359"/>
      <w:r>
        <w:rPr>
          <w:rFonts w:hint="eastAsia"/>
          <w:color w:val="4F81BD" w:themeColor="accent1"/>
          <w:highlight w:val="none"/>
          <w:lang w:val="en-US" w:eastAsia="zh-Hans"/>
          <w14:textFill>
            <w14:solidFill>
              <w14:schemeClr w14:val="accent1"/>
            </w14:solidFill>
          </w14:textFill>
        </w:rPr>
        <w:t>二</w:t>
      </w:r>
      <w:r>
        <w:rPr>
          <w:rFonts w:hint="default"/>
          <w:color w:val="4F81BD" w:themeColor="accent1"/>
          <w:highlight w:val="none"/>
          <w:lang w:eastAsia="zh-Hans"/>
          <w14:textFill>
            <w14:solidFill>
              <w14:schemeClr w14:val="accent1"/>
            </w14:solidFill>
          </w14:textFill>
        </w:rPr>
        <w:t>、</w:t>
      </w:r>
      <w:r>
        <w:rPr>
          <w:rFonts w:hint="eastAsia"/>
          <w:color w:val="4F81BD" w:themeColor="accent1"/>
          <w:highlight w:val="none"/>
          <w:lang w:val="en-US" w:eastAsia="zh-Hans"/>
          <w14:textFill>
            <w14:solidFill>
              <w14:schemeClr w14:val="accent1"/>
            </w14:solidFill>
          </w14:textFill>
        </w:rPr>
        <w:t>就业质量变化趋势</w:t>
      </w:r>
      <w:bookmarkEnd w:id="178"/>
    </w:p>
    <w:p>
      <w:pPr>
        <w:pStyle w:val="144"/>
        <w:bidi w:val="0"/>
        <w:rPr>
          <w:rFonts w:hint="eastAsia"/>
          <w:lang w:val="en-US" w:eastAsia="zh-Hans"/>
        </w:rPr>
      </w:pPr>
      <w:r>
        <w:rPr>
          <w:rFonts w:hint="eastAsia"/>
          <w:lang w:val="en-US" w:eastAsia="zh-Hans"/>
        </w:rPr>
        <w:t>学校2019届-2021届全体毕业生对当前就业情况的满意度</w:t>
      </w:r>
      <w:r>
        <w:rPr>
          <w:rFonts w:hint="default"/>
          <w:lang w:eastAsia="zh-Hans"/>
        </w:rPr>
        <w:t>、</w:t>
      </w:r>
      <w:r>
        <w:rPr>
          <w:rFonts w:hint="eastAsia"/>
          <w:lang w:val="en-US" w:eastAsia="zh-Hans"/>
        </w:rPr>
        <w:t>毕业生从事工作的专业相关度与其职业期望的匹配度均呈先下降后上升趋势。</w:t>
      </w:r>
    </w:p>
    <w:p>
      <w:pPr>
        <w:pStyle w:val="144"/>
        <w:bidi w:val="0"/>
        <w:rPr>
          <w:rFonts w:hint="eastAsia"/>
          <w:lang w:val="en-US" w:eastAsia="zh-Hans"/>
        </w:rPr>
      </w:pPr>
      <w:r>
        <w:drawing>
          <wp:inline distT="0" distB="0" distL="114300" distR="114300">
            <wp:extent cx="5580380" cy="2802255"/>
            <wp:effectExtent l="0" t="0" r="7620" b="17145"/>
            <wp:docPr id="9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203"/>
        <w:bidi w:val="0"/>
        <w:rPr>
          <w:rFonts w:hint="eastAsia"/>
          <w:highlight w:val="none"/>
        </w:rPr>
      </w:pPr>
      <w:r>
        <w:rPr>
          <w:rFonts w:hint="eastAsia"/>
          <w:highlight w:val="none"/>
        </w:rPr>
        <w:t>图</w:t>
      </w:r>
      <w:r>
        <w:rPr>
          <w:rFonts w:hint="default"/>
          <w:highlight w:val="none"/>
        </w:rPr>
        <w:t>9</w:t>
      </w:r>
      <w:r>
        <w:rPr>
          <w:rFonts w:hint="eastAsia"/>
          <w:highlight w:val="none"/>
        </w:rPr>
        <w:t xml:space="preserve">- </w:t>
      </w:r>
      <w:r>
        <w:rPr>
          <w:highlight w:val="none"/>
        </w:rPr>
        <w:fldChar w:fldCharType="begin"/>
      </w:r>
      <w:r>
        <w:rPr>
          <w:highlight w:val="none"/>
        </w:rPr>
        <w:instrText xml:space="preserve"> </w:instrText>
      </w:r>
      <w:r>
        <w:rPr>
          <w:rFonts w:hint="eastAsia"/>
          <w:highlight w:val="none"/>
        </w:rPr>
        <w:instrText xml:space="preserve">SEQ 图</w:instrText>
      </w:r>
      <w:r>
        <w:rPr>
          <w:rFonts w:hint="default"/>
          <w:highlight w:val="none"/>
        </w:rPr>
        <w:instrText xml:space="preserve">9</w:instrText>
      </w:r>
      <w:r>
        <w:rPr>
          <w:rFonts w:hint="eastAsia"/>
          <w:highlight w:val="none"/>
        </w:rPr>
        <w:instrText xml:space="preserve">- \* ARABIC</w:instrText>
      </w:r>
      <w:r>
        <w:rPr>
          <w:highlight w:val="none"/>
        </w:rPr>
        <w:instrText xml:space="preserve"> </w:instrText>
      </w:r>
      <w:r>
        <w:rPr>
          <w:highlight w:val="none"/>
        </w:rPr>
        <w:fldChar w:fldCharType="separate"/>
      </w:r>
      <w:r>
        <w:rPr>
          <w:rFonts w:hint="eastAsia"/>
          <w:highlight w:val="none"/>
        </w:rPr>
        <w:t>3</w:t>
      </w:r>
      <w:r>
        <w:rPr>
          <w:highlight w:val="none"/>
        </w:rPr>
        <w:fldChar w:fldCharType="end"/>
      </w:r>
      <w:r>
        <w:rPr>
          <w:highlight w:val="none"/>
        </w:rPr>
        <w:t xml:space="preserve">  </w:t>
      </w:r>
      <w:r>
        <w:rPr>
          <w:rFonts w:hint="eastAsia"/>
          <w:highlight w:val="none"/>
        </w:rPr>
        <w:t>201</w:t>
      </w:r>
      <w:r>
        <w:rPr>
          <w:highlight w:val="none"/>
        </w:rPr>
        <w:t>9</w:t>
      </w:r>
      <w:r>
        <w:rPr>
          <w:rFonts w:hint="eastAsia"/>
          <w:highlight w:val="none"/>
        </w:rPr>
        <w:t>-</w:t>
      </w:r>
      <w:r>
        <w:rPr>
          <w:highlight w:val="none"/>
        </w:rPr>
        <w:t>2021届毕业生</w:t>
      </w:r>
      <w:r>
        <w:rPr>
          <w:rFonts w:hint="eastAsia"/>
          <w:highlight w:val="none"/>
          <w:lang w:val="en-US" w:eastAsia="zh-Hans"/>
        </w:rPr>
        <w:t>就业质量</w:t>
      </w:r>
      <w:r>
        <w:rPr>
          <w:rFonts w:hint="eastAsia"/>
          <w:highlight w:val="none"/>
        </w:rPr>
        <w:t>变化趋势</w:t>
      </w:r>
    </w:p>
    <w:p>
      <w:pPr>
        <w:pStyle w:val="142"/>
        <w:pBdr>
          <w:top w:val="none" w:color="auto" w:sz="0" w:space="0"/>
          <w:left w:val="none" w:color="auto" w:sz="0" w:space="0"/>
          <w:bottom w:val="none" w:color="auto" w:sz="0" w:space="0"/>
          <w:right w:val="none" w:color="auto" w:sz="0" w:space="0"/>
        </w:pBdr>
        <w:rPr>
          <w:color w:val="4F81BD" w:themeColor="accent1"/>
          <w:highlight w:val="none"/>
          <w14:textFill>
            <w14:solidFill>
              <w14:schemeClr w14:val="accent1"/>
            </w14:solidFill>
          </w14:textFill>
        </w:rPr>
      </w:pPr>
      <w:bookmarkStart w:id="179" w:name="_Toc1564762827"/>
      <w:r>
        <w:rPr>
          <w:rFonts w:hint="eastAsia"/>
          <w:color w:val="4F81BD" w:themeColor="accent1"/>
          <w:highlight w:val="none"/>
          <w:lang w:val="en-US" w:eastAsia="zh-Hans"/>
          <w14:textFill>
            <w14:solidFill>
              <w14:schemeClr w14:val="accent1"/>
            </w14:solidFill>
          </w14:textFill>
        </w:rPr>
        <w:t>三</w:t>
      </w:r>
      <w:r>
        <w:rPr>
          <w:rFonts w:hint="eastAsia"/>
          <w:color w:val="4F81BD" w:themeColor="accent1"/>
          <w:highlight w:val="none"/>
          <w14:textFill>
            <w14:solidFill>
              <w14:schemeClr w14:val="accent1"/>
            </w14:solidFill>
          </w14:textFill>
        </w:rPr>
        <w:t>、就业流向变化趋势</w:t>
      </w:r>
      <w:bookmarkEnd w:id="175"/>
      <w:bookmarkEnd w:id="176"/>
      <w:bookmarkEnd w:id="179"/>
    </w:p>
    <w:p>
      <w:pPr>
        <w:pStyle w:val="152"/>
        <w:bidi w:val="0"/>
        <w:rPr>
          <w:rFonts w:hint="eastAsia"/>
          <w:lang w:eastAsia="zh-Hans"/>
        </w:rPr>
      </w:pPr>
      <w:bookmarkStart w:id="180" w:name="_Toc884092227"/>
      <w:r>
        <w:rPr>
          <w:rFonts w:hint="default"/>
          <w:lang w:eastAsia="zh-Hans"/>
        </w:rPr>
        <w:t>（</w:t>
      </w:r>
      <w:r>
        <w:rPr>
          <w:rFonts w:hint="eastAsia"/>
          <w:lang w:val="en-US" w:eastAsia="zh-Hans"/>
        </w:rPr>
        <w:t>一</w:t>
      </w:r>
      <w:r>
        <w:rPr>
          <w:rFonts w:hint="default"/>
          <w:lang w:eastAsia="zh-Hans"/>
        </w:rPr>
        <w:t>）</w:t>
      </w:r>
      <w:r>
        <w:rPr>
          <w:rFonts w:hint="eastAsia"/>
          <w:lang w:val="en-US" w:eastAsia="zh-Hans"/>
        </w:rPr>
        <w:t>就业地区</w:t>
      </w:r>
      <w:bookmarkEnd w:id="180"/>
    </w:p>
    <w:p>
      <w:pPr>
        <w:pStyle w:val="136"/>
        <w:bidi w:val="0"/>
        <w:rPr>
          <w:rFonts w:hint="eastAsia"/>
          <w:lang w:val="en-US" w:eastAsia="zh-CN"/>
        </w:rPr>
      </w:pPr>
      <w:r>
        <w:rPr>
          <w:rFonts w:hint="eastAsia"/>
          <w:lang w:val="en-US" w:eastAsia="zh-Hans"/>
        </w:rPr>
        <w:t>学校</w:t>
      </w:r>
      <w:r>
        <w:rPr>
          <w:rFonts w:hint="default"/>
          <w:lang w:eastAsia="zh-Hans"/>
        </w:rPr>
        <w:t>2019-2021</w:t>
      </w:r>
      <w:r>
        <w:rPr>
          <w:rFonts w:hint="eastAsia"/>
          <w:lang w:val="en-US" w:eastAsia="zh-Hans"/>
        </w:rPr>
        <w:t>届</w:t>
      </w:r>
      <w:r>
        <w:rPr>
          <w:rFonts w:hint="eastAsia"/>
          <w:lang w:val="en-US" w:eastAsia="zh-CN"/>
        </w:rPr>
        <w:t>毕业生主要就业地区为</w:t>
      </w:r>
      <w:r>
        <w:rPr>
          <w:rFonts w:hint="eastAsia"/>
          <w:lang w:val="en-US" w:eastAsia="zh-Hans"/>
        </w:rPr>
        <w:t>贵州省</w:t>
      </w:r>
      <w:r>
        <w:rPr>
          <w:rFonts w:hint="eastAsia"/>
          <w:lang w:val="en-US" w:eastAsia="zh-CN"/>
        </w:rPr>
        <w:t>，</w:t>
      </w:r>
      <w:r>
        <w:rPr>
          <w:rFonts w:hint="eastAsia"/>
          <w:lang w:val="en-US" w:eastAsia="zh-Hans"/>
        </w:rPr>
        <w:t>近三年</w:t>
      </w:r>
      <w:r>
        <w:rPr>
          <w:rFonts w:hint="eastAsia"/>
          <w:lang w:val="en-US" w:eastAsia="zh-CN"/>
        </w:rPr>
        <w:t>在</w:t>
      </w:r>
      <w:r>
        <w:rPr>
          <w:rFonts w:hint="eastAsia"/>
          <w:lang w:val="en-US" w:eastAsia="zh-Hans"/>
        </w:rPr>
        <w:t>贵州省和湖南省</w:t>
      </w:r>
      <w:r>
        <w:rPr>
          <w:rFonts w:hint="eastAsia"/>
          <w:lang w:val="en-US" w:eastAsia="zh-CN"/>
        </w:rPr>
        <w:t>就业的占比呈上升趋势</w:t>
      </w:r>
      <w:r>
        <w:rPr>
          <w:rFonts w:hint="default"/>
          <w:lang w:eastAsia="zh-CN"/>
        </w:rPr>
        <w:t>，</w:t>
      </w:r>
      <w:r>
        <w:rPr>
          <w:rFonts w:hint="eastAsia"/>
          <w:lang w:val="en-US" w:eastAsia="zh-Hans"/>
        </w:rPr>
        <w:t>在广东省</w:t>
      </w:r>
      <w:r>
        <w:rPr>
          <w:rFonts w:hint="default"/>
          <w:lang w:eastAsia="zh-Hans"/>
        </w:rPr>
        <w:t>，</w:t>
      </w:r>
      <w:r>
        <w:rPr>
          <w:rFonts w:hint="eastAsia"/>
          <w:lang w:val="en-US" w:eastAsia="zh-Hans"/>
        </w:rPr>
        <w:t>浙</w:t>
      </w:r>
      <w:r>
        <w:rPr>
          <w:rFonts w:hint="eastAsia"/>
          <w:lang w:val="en-US" w:eastAsia="zh-CN"/>
        </w:rPr>
        <w:t>江省、</w:t>
      </w:r>
      <w:r>
        <w:rPr>
          <w:rFonts w:hint="eastAsia"/>
          <w:lang w:val="en-US" w:eastAsia="zh-Hans"/>
        </w:rPr>
        <w:t>重庆</w:t>
      </w:r>
      <w:r>
        <w:rPr>
          <w:rFonts w:hint="eastAsia"/>
          <w:lang w:val="en-US" w:eastAsia="zh-CN"/>
        </w:rPr>
        <w:t>市和</w:t>
      </w:r>
      <w:r>
        <w:rPr>
          <w:rFonts w:hint="eastAsia"/>
          <w:lang w:val="en-US" w:eastAsia="zh-Hans"/>
        </w:rPr>
        <w:t>江苏</w:t>
      </w:r>
      <w:r>
        <w:rPr>
          <w:rFonts w:hint="eastAsia"/>
          <w:lang w:val="en-US" w:eastAsia="zh-CN"/>
        </w:rPr>
        <w:t>省就业的占比呈下降趋势</w:t>
      </w:r>
      <w:r>
        <w:rPr>
          <w:rFonts w:hint="default"/>
          <w:lang w:eastAsia="zh-CN"/>
        </w:rPr>
        <w:t>。</w:t>
      </w:r>
    </w:p>
    <w:p>
      <w:pPr>
        <w:pStyle w:val="136"/>
        <w:bidi w:val="0"/>
      </w:pPr>
      <w:r>
        <w:drawing>
          <wp:inline distT="0" distB="0" distL="114300" distR="114300">
            <wp:extent cx="5835015" cy="5197475"/>
            <wp:effectExtent l="0" t="0" r="6985" b="9525"/>
            <wp:docPr id="9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203"/>
        <w:bidi w:val="0"/>
      </w:pPr>
      <w:bookmarkStart w:id="181" w:name="_Toc48725653"/>
      <w:bookmarkStart w:id="182" w:name="_Toc47449657"/>
      <w:r>
        <w:rPr>
          <w:rFonts w:hint="eastAsia"/>
        </w:rPr>
        <w:t>图</w:t>
      </w:r>
      <w:r>
        <w:rPr>
          <w:rFonts w:hint="default"/>
        </w:rPr>
        <w:t>9</w:t>
      </w:r>
      <w:r>
        <w:rPr>
          <w:rFonts w:hint="eastAsia"/>
        </w:rPr>
        <w:t xml:space="preserve">- </w:t>
      </w:r>
      <w:r>
        <w:fldChar w:fldCharType="begin"/>
      </w:r>
      <w:r>
        <w:instrText xml:space="preserve"> </w:instrText>
      </w:r>
      <w:r>
        <w:rPr>
          <w:rFonts w:hint="eastAsia"/>
        </w:rPr>
        <w:instrText xml:space="preserve">SEQ 图</w:instrText>
      </w:r>
      <w:r>
        <w:rPr>
          <w:rFonts w:hint="default"/>
        </w:rPr>
        <w:instrText xml:space="preserve">9</w:instrText>
      </w:r>
      <w:r>
        <w:rPr>
          <w:rFonts w:hint="eastAsia"/>
        </w:rPr>
        <w:instrText xml:space="preserve">- \* ARABIC</w:instrText>
      </w:r>
      <w:r>
        <w:instrText xml:space="preserve"> </w:instrText>
      </w:r>
      <w:r>
        <w:fldChar w:fldCharType="separate"/>
      </w:r>
      <w:r>
        <w:rPr>
          <w:rFonts w:hint="eastAsia"/>
        </w:rPr>
        <w:t>4</w:t>
      </w:r>
      <w:r>
        <w:fldChar w:fldCharType="end"/>
      </w:r>
      <w:r>
        <w:t xml:space="preserve">  2019-2021届毕业生</w:t>
      </w:r>
      <w:r>
        <w:rPr>
          <w:rFonts w:hint="eastAsia"/>
        </w:rPr>
        <w:t>就业地区分布</w:t>
      </w:r>
      <w:bookmarkEnd w:id="181"/>
      <w:bookmarkEnd w:id="182"/>
    </w:p>
    <w:p>
      <w:pPr>
        <w:pStyle w:val="152"/>
        <w:numPr>
          <w:ilvl w:val="0"/>
          <w:numId w:val="5"/>
        </w:numPr>
        <w:bidi w:val="0"/>
        <w:rPr>
          <w:rFonts w:hint="eastAsia"/>
          <w:color w:val="4F81BD" w:themeColor="accent1"/>
          <w:highlight w:val="none"/>
          <w14:textFill>
            <w14:solidFill>
              <w14:schemeClr w14:val="accent1"/>
            </w14:solidFill>
          </w14:textFill>
        </w:rPr>
      </w:pPr>
      <w:bookmarkStart w:id="183" w:name="_Toc498705596"/>
      <w:bookmarkStart w:id="184" w:name="_Toc48725338"/>
      <w:bookmarkStart w:id="185" w:name="_Toc47449750"/>
      <w:r>
        <w:rPr>
          <w:rFonts w:hint="eastAsia"/>
          <w:highlight w:val="none"/>
          <w:lang w:val="en-US" w:eastAsia="zh-Hans"/>
        </w:rPr>
        <w:t>就业行业</w:t>
      </w:r>
      <w:bookmarkEnd w:id="183"/>
    </w:p>
    <w:p>
      <w:pPr>
        <w:pStyle w:val="136"/>
        <w:bidi w:val="0"/>
        <w:rPr>
          <w:rFonts w:hint="default"/>
          <w:lang w:eastAsia="zh-Hans"/>
        </w:rPr>
      </w:pPr>
      <w:r>
        <w:rPr>
          <w:rFonts w:hint="eastAsia"/>
          <w:lang w:val="en-US" w:eastAsia="zh-Hans"/>
        </w:rPr>
        <w:t>学校</w:t>
      </w:r>
      <w:r>
        <w:rPr>
          <w:rFonts w:hint="default"/>
          <w:lang w:eastAsia="zh-Hans"/>
        </w:rPr>
        <w:t>2019-2021</w:t>
      </w:r>
      <w:r>
        <w:rPr>
          <w:rFonts w:hint="eastAsia"/>
          <w:lang w:val="en-US" w:eastAsia="zh-Hans"/>
        </w:rPr>
        <w:t>届</w:t>
      </w:r>
      <w:r>
        <w:rPr>
          <w:rFonts w:hint="eastAsia"/>
          <w:lang w:val="en-US" w:eastAsia="zh-CN"/>
        </w:rPr>
        <w:t>毕业生</w:t>
      </w:r>
      <w:r>
        <w:rPr>
          <w:rFonts w:hint="eastAsia"/>
          <w:lang w:val="en-US" w:eastAsia="zh-Hans"/>
        </w:rPr>
        <w:t>主要集中在“教育”业和“信息传输、软件和信息技术服务业”</w:t>
      </w:r>
      <w:r>
        <w:rPr>
          <w:rFonts w:hint="default"/>
          <w:lang w:eastAsia="zh-Hans"/>
        </w:rPr>
        <w:t>，</w:t>
      </w:r>
      <w:r>
        <w:rPr>
          <w:rFonts w:hint="eastAsia"/>
          <w:lang w:val="en-US" w:eastAsia="zh-Hans"/>
        </w:rPr>
        <w:t>近三年数据来看</w:t>
      </w:r>
      <w:r>
        <w:rPr>
          <w:rFonts w:hint="default"/>
          <w:lang w:eastAsia="zh-Hans"/>
        </w:rPr>
        <w:t>，</w:t>
      </w:r>
      <w:r>
        <w:rPr>
          <w:rFonts w:hint="eastAsia"/>
          <w:lang w:val="en-US" w:eastAsia="zh-Hans"/>
        </w:rPr>
        <w:t>流入“教育”</w:t>
      </w:r>
      <w:r>
        <w:rPr>
          <w:rFonts w:hint="default"/>
          <w:lang w:eastAsia="zh-Hans"/>
        </w:rPr>
        <w:t>、</w:t>
      </w:r>
      <w:r>
        <w:rPr>
          <w:rFonts w:hint="eastAsia"/>
          <w:lang w:eastAsia="zh-Hans"/>
        </w:rPr>
        <w:t>“</w:t>
      </w:r>
      <w:r>
        <w:rPr>
          <w:rFonts w:hint="eastAsia"/>
          <w:lang w:val="en-US" w:eastAsia="zh-Hans"/>
        </w:rPr>
        <w:t>建筑”等行业的毕业生人数呈先上升后下降趋势</w:t>
      </w:r>
      <w:r>
        <w:rPr>
          <w:rFonts w:hint="default"/>
          <w:lang w:eastAsia="zh-Hans"/>
        </w:rPr>
        <w:t>；</w:t>
      </w:r>
      <w:r>
        <w:rPr>
          <w:rFonts w:hint="eastAsia"/>
          <w:lang w:val="en-US" w:eastAsia="zh-Hans"/>
        </w:rPr>
        <w:t>流入“信息传输、软件和信息技术服务业”</w:t>
      </w:r>
      <w:r>
        <w:rPr>
          <w:rFonts w:hint="default"/>
          <w:lang w:eastAsia="zh-Hans"/>
        </w:rPr>
        <w:t>呈先下降后上升趋势；</w:t>
      </w:r>
      <w:r>
        <w:rPr>
          <w:rFonts w:hint="eastAsia"/>
          <w:lang w:val="en-US" w:eastAsia="zh-Hans"/>
        </w:rPr>
        <w:t>流入</w:t>
      </w:r>
      <w:r>
        <w:rPr>
          <w:rFonts w:hint="eastAsia"/>
          <w:lang w:eastAsia="zh-Hans"/>
        </w:rPr>
        <w:t>“</w:t>
      </w:r>
      <w:r>
        <w:rPr>
          <w:rFonts w:hint="default"/>
          <w:lang w:eastAsia="zh-Hans"/>
        </w:rPr>
        <w:t>制造业</w:t>
      </w:r>
      <w:r>
        <w:rPr>
          <w:rFonts w:hint="eastAsia"/>
          <w:lang w:eastAsia="zh-Hans"/>
        </w:rPr>
        <w:t>”</w:t>
      </w:r>
      <w:r>
        <w:rPr>
          <w:rFonts w:hint="default"/>
          <w:lang w:eastAsia="zh-Hans"/>
        </w:rPr>
        <w:t>、</w:t>
      </w:r>
      <w:r>
        <w:rPr>
          <w:rFonts w:hint="eastAsia"/>
          <w:lang w:eastAsia="zh-Hans"/>
        </w:rPr>
        <w:t>“</w:t>
      </w:r>
      <w:r>
        <w:rPr>
          <w:rFonts w:hint="default"/>
          <w:lang w:eastAsia="zh-Hans"/>
        </w:rPr>
        <w:t>居民服务、修理和其他服务业</w:t>
      </w:r>
      <w:r>
        <w:rPr>
          <w:rFonts w:hint="eastAsia"/>
          <w:lang w:eastAsia="zh-Hans"/>
        </w:rPr>
        <w:t>”</w:t>
      </w:r>
      <w:r>
        <w:rPr>
          <w:rFonts w:hint="eastAsia"/>
          <w:lang w:val="en-US" w:eastAsia="zh-Hans"/>
        </w:rPr>
        <w:t>呈上升趋势</w:t>
      </w:r>
      <w:r>
        <w:rPr>
          <w:rFonts w:hint="default"/>
          <w:lang w:eastAsia="zh-Hans"/>
        </w:rPr>
        <w:t>。</w:t>
      </w:r>
    </w:p>
    <w:p>
      <w:pPr>
        <w:pStyle w:val="136"/>
        <w:bidi w:val="0"/>
        <w:rPr>
          <w:rFonts w:hint="eastAsia"/>
          <w:color w:val="4F81BD" w:themeColor="accent1"/>
          <w:highlight w:val="yellow"/>
          <w14:textFill>
            <w14:solidFill>
              <w14:schemeClr w14:val="accent1"/>
            </w14:solidFill>
          </w14:textFill>
        </w:rPr>
      </w:pPr>
      <w:r>
        <w:drawing>
          <wp:inline distT="0" distB="0" distL="114300" distR="114300">
            <wp:extent cx="5600700" cy="4399280"/>
            <wp:effectExtent l="0" t="0" r="12700" b="20320"/>
            <wp:docPr id="9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bookmarkEnd w:id="184"/>
      <w:bookmarkEnd w:id="185"/>
    </w:p>
    <w:p>
      <w:pPr>
        <w:pStyle w:val="203"/>
        <w:bidi w:val="0"/>
      </w:pPr>
      <w:r>
        <w:rPr>
          <w:rFonts w:hint="eastAsia"/>
        </w:rPr>
        <w:t>图</w:t>
      </w:r>
      <w:r>
        <w:rPr>
          <w:rFonts w:hint="default"/>
        </w:rPr>
        <w:t>9</w:t>
      </w:r>
      <w:r>
        <w:rPr>
          <w:rFonts w:hint="eastAsia"/>
        </w:rPr>
        <w:t xml:space="preserve">- </w:t>
      </w:r>
      <w:r>
        <w:fldChar w:fldCharType="begin"/>
      </w:r>
      <w:r>
        <w:instrText xml:space="preserve"> </w:instrText>
      </w:r>
      <w:r>
        <w:rPr>
          <w:rFonts w:hint="eastAsia"/>
        </w:rPr>
        <w:instrText xml:space="preserve">SEQ 图</w:instrText>
      </w:r>
      <w:r>
        <w:rPr>
          <w:rFonts w:hint="default"/>
        </w:rPr>
        <w:instrText xml:space="preserve">9</w:instrText>
      </w:r>
      <w:r>
        <w:rPr>
          <w:rFonts w:hint="eastAsia"/>
        </w:rPr>
        <w:instrText xml:space="preserve">- \* ARABIC</w:instrText>
      </w:r>
      <w:r>
        <w:instrText xml:space="preserve"> </w:instrText>
      </w:r>
      <w:r>
        <w:fldChar w:fldCharType="separate"/>
      </w:r>
      <w:r>
        <w:rPr>
          <w:rFonts w:hint="eastAsia"/>
        </w:rPr>
        <w:t>5</w:t>
      </w:r>
      <w:r>
        <w:fldChar w:fldCharType="end"/>
      </w:r>
      <w:r>
        <w:t xml:space="preserve">  2019-2021届毕业生</w:t>
      </w:r>
      <w:r>
        <w:rPr>
          <w:rFonts w:hint="eastAsia"/>
        </w:rPr>
        <w:t>就业</w:t>
      </w:r>
      <w:r>
        <w:rPr>
          <w:rFonts w:hint="eastAsia"/>
          <w:lang w:val="en-US" w:eastAsia="zh-Hans"/>
        </w:rPr>
        <w:t>行业</w:t>
      </w:r>
      <w:r>
        <w:rPr>
          <w:rFonts w:hint="eastAsia"/>
        </w:rPr>
        <w:t>分布</w:t>
      </w:r>
    </w:p>
    <w:p>
      <w:pPr>
        <w:spacing w:line="360" w:lineRule="auto"/>
        <w:ind w:firstLine="720" w:firstLineChars="200"/>
        <w:jc w:val="center"/>
        <w:rPr>
          <w:color w:val="4BACC6" w:themeColor="accent5"/>
          <w14:textFill>
            <w14:solidFill>
              <w14:schemeClr w14:val="accent5"/>
            </w14:solidFill>
          </w14:textFill>
        </w:rPr>
      </w:pPr>
      <w:r>
        <w:rPr>
          <w:b/>
          <w:sz w:val="36"/>
          <w:szCs w:val="36"/>
        </w:rPr>
        <w:br w:type="page"/>
      </w:r>
      <w:bookmarkEnd w:id="65"/>
      <w:bookmarkEnd w:id="66"/>
      <w:bookmarkEnd w:id="67"/>
      <w:bookmarkEnd w:id="68"/>
      <w:bookmarkEnd w:id="111"/>
      <w:bookmarkEnd w:id="112"/>
    </w:p>
    <w:p>
      <w:pPr>
        <w:pStyle w:val="119"/>
        <w:ind w:firstLine="0" w:firstLineChars="0"/>
        <w:jc w:val="both"/>
        <w:rPr>
          <w:color w:val="4F81BD" w:themeColor="accent1"/>
          <w14:textFill>
            <w14:solidFill>
              <w14:schemeClr w14:val="accent1"/>
            </w14:solidFill>
          </w14:textFill>
        </w:rPr>
      </w:pPr>
      <w:r>
        <w:drawing>
          <wp:anchor distT="0" distB="0" distL="114300" distR="114300" simplePos="0" relativeHeight="252315648" behindDoc="0" locked="0" layoutInCell="1" allowOverlap="1">
            <wp:simplePos x="0" y="0"/>
            <wp:positionH relativeFrom="column">
              <wp:posOffset>-1156335</wp:posOffset>
            </wp:positionH>
            <wp:positionV relativeFrom="paragraph">
              <wp:posOffset>-1075690</wp:posOffset>
            </wp:positionV>
            <wp:extent cx="7723505" cy="10484485"/>
            <wp:effectExtent l="0" t="0" r="23495" b="5715"/>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92"/>
                    <a:stretch>
                      <a:fillRect/>
                    </a:stretch>
                  </pic:blipFill>
                  <pic:spPr>
                    <a:xfrm>
                      <a:off x="0" y="0"/>
                      <a:ext cx="7723505" cy="10484485"/>
                    </a:xfrm>
                    <a:prstGeom prst="rect">
                      <a:avLst/>
                    </a:prstGeom>
                    <a:noFill/>
                    <a:ln w="9525">
                      <a:noFill/>
                    </a:ln>
                  </pic:spPr>
                </pic:pic>
              </a:graphicData>
            </a:graphic>
          </wp:anchor>
        </w:drawing>
      </w:r>
    </w:p>
    <w:sectPr>
      <w:pgSz w:w="11907" w:h="16160"/>
      <w:pgMar w:top="1418" w:right="1418" w:bottom="1418" w:left="1701" w:header="850" w:footer="397"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ˎ̥">
    <w:altName w:val="Microsoft YaHei UI"/>
    <w:panose1 w:val="020B0604020202020204"/>
    <w:charset w:val="00"/>
    <w:family w:val="modern"/>
    <w:pitch w:val="default"/>
    <w:sig w:usb0="00000000" w:usb1="00000000" w:usb2="00000000" w:usb3="00000000" w:csb0="00040001" w:csb1="00000000"/>
  </w:font>
  <w:font w:name="Time New Roman">
    <w:altName w:val="Microsoft YaHei UI"/>
    <w:panose1 w:val="020B0604020202020204"/>
    <w:charset w:val="00"/>
    <w:family w:val="auto"/>
    <w:pitch w:val="default"/>
    <w:sig w:usb0="00000000" w:usb1="00000000" w:usb2="00000000" w:usb3="00000000" w:csb0="00040001" w:csb1="00000000"/>
  </w:font>
  <w:font w:name="Cambria">
    <w:panose1 w:val="02040503050406030204"/>
    <w:charset w:val="00"/>
    <w:family w:val="roman"/>
    <w:pitch w:val="default"/>
    <w:sig w:usb0="E00006FF" w:usb1="400004FF" w:usb2="00000000" w:usb3="00000000" w:csb0="2000019F" w:csb1="00000000"/>
  </w:font>
  <w:font w:name="TimesNewRomanPSMT">
    <w:altName w:val="Times New Roman"/>
    <w:panose1 w:val="02020603050405020304"/>
    <w:charset w:val="00"/>
    <w:family w:val="roman"/>
    <w:pitch w:val="default"/>
    <w:sig w:usb0="00000000" w:usb1="00000000"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imes New Roman Regular">
    <w:altName w:val="Times New Roman"/>
    <w:panose1 w:val="02020603050405020304"/>
    <w:charset w:val="00"/>
    <w:family w:val="auto"/>
    <w:pitch w:val="default"/>
    <w:sig w:usb0="00000000" w:usb1="00000000" w:usb2="00000009" w:usb3="00000000" w:csb0="400001FF" w:csb1="FFFF0000"/>
  </w:font>
  <w:font w:name="Times New Roman Bold">
    <w:altName w:val="Times New Roman"/>
    <w:panose1 w:val="02020603050405020304"/>
    <w:charset w:val="00"/>
    <w:family w:val="auto"/>
    <w:pitch w:val="default"/>
    <w:sig w:usb0="00000000" w:usb1="00000000" w:usb2="00000009" w:usb3="00000000" w:csb0="400001FF" w:csb1="FFFF0000"/>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olor w:val="4F81BD" w:themeColor="accent1"/>
        <w:sz w:val="21"/>
        <w14:textFill>
          <w14:solidFill>
            <w14:schemeClr w14:val="accent1"/>
          </w14:solidFill>
        </w14:textFill>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rPr>
                              <w:rFonts w:ascii="Times New Roman" w:hAnsi="Times New Roman"/>
                              <w:color w:val="4F81BD" w:themeColor="accent1"/>
                              <w:sz w:val="21"/>
                              <w14:textFill>
                                <w14:solidFill>
                                  <w14:schemeClr w14:val="accent1"/>
                                </w14:solidFill>
                              </w14:textFill>
                            </w:rPr>
                            <w:fldChar w:fldCharType="begin"/>
                          </w:r>
                          <w:r>
                            <w:rPr>
                              <w:rFonts w:ascii="Times New Roman" w:hAnsi="Times New Roman"/>
                              <w:color w:val="4F81BD" w:themeColor="accent1"/>
                              <w:sz w:val="21"/>
                              <w14:textFill>
                                <w14:solidFill>
                                  <w14:schemeClr w14:val="accent1"/>
                                </w14:solidFill>
                              </w14:textFill>
                            </w:rPr>
                            <w:instrText xml:space="preserve">PAGE   \* MERGEFORMAT</w:instrText>
                          </w:r>
                          <w:r>
                            <w:rPr>
                              <w:rFonts w:ascii="Times New Roman" w:hAnsi="Times New Roman"/>
                              <w:color w:val="4F81BD" w:themeColor="accent1"/>
                              <w:sz w:val="21"/>
                              <w14:textFill>
                                <w14:solidFill>
                                  <w14:schemeClr w14:val="accent1"/>
                                </w14:solidFill>
                              </w14:textFill>
                            </w:rPr>
                            <w:fldChar w:fldCharType="separate"/>
                          </w:r>
                          <w:r>
                            <w:rPr>
                              <w:rFonts w:ascii="Times New Roman" w:hAnsi="Times New Roman"/>
                              <w:color w:val="4F81BD" w:themeColor="accent1"/>
                              <w:sz w:val="21"/>
                              <w14:textFill>
                                <w14:solidFill>
                                  <w14:schemeClr w14:val="accent1"/>
                                </w14:solidFill>
                              </w14:textFill>
                            </w:rPr>
                            <w:t>13</w:t>
                          </w:r>
                          <w:r>
                            <w:rPr>
                              <w:rFonts w:ascii="Times New Roman" w:hAnsi="Times New Roman"/>
                              <w:color w:val="4F81BD" w:themeColor="accent1"/>
                              <w:sz w:val="21"/>
                              <w14:textFill>
                                <w14:solidFill>
                                  <w14:schemeClr w14:val="accent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0"/>
                      <w:jc w:val="center"/>
                    </w:pPr>
                    <w:r>
                      <w:rPr>
                        <w:rFonts w:ascii="Times New Roman" w:hAnsi="Times New Roman"/>
                        <w:color w:val="4F81BD" w:themeColor="accent1"/>
                        <w:sz w:val="21"/>
                        <w14:textFill>
                          <w14:solidFill>
                            <w14:schemeClr w14:val="accent1"/>
                          </w14:solidFill>
                        </w14:textFill>
                      </w:rPr>
                      <w:fldChar w:fldCharType="begin"/>
                    </w:r>
                    <w:r>
                      <w:rPr>
                        <w:rFonts w:ascii="Times New Roman" w:hAnsi="Times New Roman"/>
                        <w:color w:val="4F81BD" w:themeColor="accent1"/>
                        <w:sz w:val="21"/>
                        <w14:textFill>
                          <w14:solidFill>
                            <w14:schemeClr w14:val="accent1"/>
                          </w14:solidFill>
                        </w14:textFill>
                      </w:rPr>
                      <w:instrText xml:space="preserve">PAGE   \* MERGEFORMAT</w:instrText>
                    </w:r>
                    <w:r>
                      <w:rPr>
                        <w:rFonts w:ascii="Times New Roman" w:hAnsi="Times New Roman"/>
                        <w:color w:val="4F81BD" w:themeColor="accent1"/>
                        <w:sz w:val="21"/>
                        <w14:textFill>
                          <w14:solidFill>
                            <w14:schemeClr w14:val="accent1"/>
                          </w14:solidFill>
                        </w14:textFill>
                      </w:rPr>
                      <w:fldChar w:fldCharType="separate"/>
                    </w:r>
                    <w:r>
                      <w:rPr>
                        <w:rFonts w:ascii="Times New Roman" w:hAnsi="Times New Roman"/>
                        <w:color w:val="4F81BD" w:themeColor="accent1"/>
                        <w:sz w:val="21"/>
                        <w14:textFill>
                          <w14:solidFill>
                            <w14:schemeClr w14:val="accent1"/>
                          </w14:solidFill>
                        </w14:textFill>
                      </w:rPr>
                      <w:t>13</w:t>
                    </w:r>
                    <w:r>
                      <w:rPr>
                        <w:rFonts w:ascii="Times New Roman" w:hAnsi="Times New Roman"/>
                        <w:color w:val="4F81BD" w:themeColor="accent1"/>
                        <w:sz w:val="21"/>
                        <w14:textFill>
                          <w14:solidFill>
                            <w14:schemeClr w14:val="accent1"/>
                          </w14:solidFill>
                        </w14:textFill>
                      </w:rPr>
                      <w:fldChar w:fldCharType="end"/>
                    </w:r>
                  </w:p>
                </w:txbxContent>
              </v:textbox>
            </v:shape>
          </w:pict>
        </mc:Fallback>
      </mc:AlternateContent>
    </w:r>
  </w:p>
  <w:p>
    <w:pPr>
      <w:pStyle w:val="20"/>
      <w:tabs>
        <w:tab w:val="left" w:pos="2850"/>
        <w:tab w:val="left" w:pos="3570"/>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olor w:val="4F81BD" w:themeColor="accent1"/>
        <w:sz w:val="21"/>
        <w14:textFill>
          <w14:solidFill>
            <w14:schemeClr w14:val="accent1"/>
          </w14:solidFill>
        </w14:textFill>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rPr>
                              <w:rFonts w:ascii="Times New Roman" w:hAnsi="Times New Roman"/>
                              <w:color w:val="4F81BD" w:themeColor="accent1"/>
                              <w:sz w:val="21"/>
                              <w14:textFill>
                                <w14:solidFill>
                                  <w14:schemeClr w14:val="accent1"/>
                                </w14:solidFill>
                              </w14:textFill>
                            </w:rPr>
                            <w:fldChar w:fldCharType="begin"/>
                          </w:r>
                          <w:r>
                            <w:rPr>
                              <w:rFonts w:ascii="Times New Roman" w:hAnsi="Times New Roman"/>
                              <w:color w:val="4F81BD" w:themeColor="accent1"/>
                              <w:sz w:val="21"/>
                              <w14:textFill>
                                <w14:solidFill>
                                  <w14:schemeClr w14:val="accent1"/>
                                </w14:solidFill>
                              </w14:textFill>
                            </w:rPr>
                            <w:instrText xml:space="preserve">PAGE   \* MERGEFORMAT</w:instrText>
                          </w:r>
                          <w:r>
                            <w:rPr>
                              <w:rFonts w:ascii="Times New Roman" w:hAnsi="Times New Roman"/>
                              <w:color w:val="4F81BD" w:themeColor="accent1"/>
                              <w:sz w:val="21"/>
                              <w14:textFill>
                                <w14:solidFill>
                                  <w14:schemeClr w14:val="accent1"/>
                                </w14:solidFill>
                              </w14:textFill>
                            </w:rPr>
                            <w:fldChar w:fldCharType="separate"/>
                          </w:r>
                          <w:r>
                            <w:rPr>
                              <w:rFonts w:ascii="Times New Roman" w:hAnsi="Times New Roman"/>
                              <w:color w:val="4F81BD" w:themeColor="accent1"/>
                              <w:sz w:val="21"/>
                              <w14:textFill>
                                <w14:solidFill>
                                  <w14:schemeClr w14:val="accent1"/>
                                </w14:solidFill>
                              </w14:textFill>
                            </w:rPr>
                            <w:t>13</w:t>
                          </w:r>
                          <w:r>
                            <w:rPr>
                              <w:rFonts w:ascii="Times New Roman" w:hAnsi="Times New Roman"/>
                              <w:color w:val="4F81BD" w:themeColor="accent1"/>
                              <w:sz w:val="21"/>
                              <w14:textFill>
                                <w14:solidFill>
                                  <w14:schemeClr w14:val="accent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20"/>
                      <w:jc w:val="center"/>
                    </w:pPr>
                    <w:r>
                      <w:rPr>
                        <w:rFonts w:ascii="Times New Roman" w:hAnsi="Times New Roman"/>
                        <w:color w:val="4F81BD" w:themeColor="accent1"/>
                        <w:sz w:val="21"/>
                        <w14:textFill>
                          <w14:solidFill>
                            <w14:schemeClr w14:val="accent1"/>
                          </w14:solidFill>
                        </w14:textFill>
                      </w:rPr>
                      <w:fldChar w:fldCharType="begin"/>
                    </w:r>
                    <w:r>
                      <w:rPr>
                        <w:rFonts w:ascii="Times New Roman" w:hAnsi="Times New Roman"/>
                        <w:color w:val="4F81BD" w:themeColor="accent1"/>
                        <w:sz w:val="21"/>
                        <w14:textFill>
                          <w14:solidFill>
                            <w14:schemeClr w14:val="accent1"/>
                          </w14:solidFill>
                        </w14:textFill>
                      </w:rPr>
                      <w:instrText xml:space="preserve">PAGE   \* MERGEFORMAT</w:instrText>
                    </w:r>
                    <w:r>
                      <w:rPr>
                        <w:rFonts w:ascii="Times New Roman" w:hAnsi="Times New Roman"/>
                        <w:color w:val="4F81BD" w:themeColor="accent1"/>
                        <w:sz w:val="21"/>
                        <w14:textFill>
                          <w14:solidFill>
                            <w14:schemeClr w14:val="accent1"/>
                          </w14:solidFill>
                        </w14:textFill>
                      </w:rPr>
                      <w:fldChar w:fldCharType="separate"/>
                    </w:r>
                    <w:r>
                      <w:rPr>
                        <w:rFonts w:ascii="Times New Roman" w:hAnsi="Times New Roman"/>
                        <w:color w:val="4F81BD" w:themeColor="accent1"/>
                        <w:sz w:val="21"/>
                        <w14:textFill>
                          <w14:solidFill>
                            <w14:schemeClr w14:val="accent1"/>
                          </w14:solidFill>
                        </w14:textFill>
                      </w:rPr>
                      <w:t>13</w:t>
                    </w:r>
                    <w:r>
                      <w:rPr>
                        <w:rFonts w:ascii="Times New Roman" w:hAnsi="Times New Roman"/>
                        <w:color w:val="4F81BD" w:themeColor="accent1"/>
                        <w:sz w:val="21"/>
                        <w14:textFill>
                          <w14:solidFill>
                            <w14:schemeClr w14:val="accent1"/>
                          </w14:solidFill>
                        </w14:textFill>
                      </w:rPr>
                      <w:fldChar w:fldCharType="end"/>
                    </w:r>
                  </w:p>
                </w:txbxContent>
              </v:textbox>
            </v:shape>
          </w:pict>
        </mc:Fallback>
      </mc:AlternateContent>
    </w:r>
  </w:p>
  <w:p>
    <w:pPr>
      <w:pStyle w:val="20"/>
      <w:tabs>
        <w:tab w:val="left" w:pos="2850"/>
        <w:tab w:val="left" w:pos="3570"/>
      </w:tabs>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olor w:val="4F81BD" w:themeColor="accent1"/>
        <w:sz w:val="21"/>
        <w14:textFill>
          <w14:solidFill>
            <w14:schemeClr w14:val="accent1"/>
          </w14:solidFill>
        </w14:textFill>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rPr>
                              <w:rFonts w:ascii="Times New Roman" w:hAnsi="Times New Roman"/>
                              <w:color w:val="4F81BD" w:themeColor="accent1"/>
                              <w:sz w:val="21"/>
                              <w14:textFill>
                                <w14:solidFill>
                                  <w14:schemeClr w14:val="accent1"/>
                                </w14:solidFill>
                              </w14:textFill>
                            </w:rPr>
                            <w:fldChar w:fldCharType="begin"/>
                          </w:r>
                          <w:r>
                            <w:rPr>
                              <w:rFonts w:ascii="Times New Roman" w:hAnsi="Times New Roman"/>
                              <w:color w:val="4F81BD" w:themeColor="accent1"/>
                              <w:sz w:val="21"/>
                              <w14:textFill>
                                <w14:solidFill>
                                  <w14:schemeClr w14:val="accent1"/>
                                </w14:solidFill>
                              </w14:textFill>
                            </w:rPr>
                            <w:instrText xml:space="preserve">PAGE   \* MERGEFORMAT</w:instrText>
                          </w:r>
                          <w:r>
                            <w:rPr>
                              <w:rFonts w:ascii="Times New Roman" w:hAnsi="Times New Roman"/>
                              <w:color w:val="4F81BD" w:themeColor="accent1"/>
                              <w:sz w:val="21"/>
                              <w14:textFill>
                                <w14:solidFill>
                                  <w14:schemeClr w14:val="accent1"/>
                                </w14:solidFill>
                              </w14:textFill>
                            </w:rPr>
                            <w:fldChar w:fldCharType="separate"/>
                          </w:r>
                          <w:r>
                            <w:rPr>
                              <w:rFonts w:ascii="Times New Roman" w:hAnsi="Times New Roman"/>
                              <w:color w:val="4F81BD" w:themeColor="accent1"/>
                              <w:sz w:val="21"/>
                              <w14:textFill>
                                <w14:solidFill>
                                  <w14:schemeClr w14:val="accent1"/>
                                </w14:solidFill>
                              </w14:textFill>
                            </w:rPr>
                            <w:t>13</w:t>
                          </w:r>
                          <w:r>
                            <w:rPr>
                              <w:rFonts w:ascii="Times New Roman" w:hAnsi="Times New Roman"/>
                              <w:color w:val="4F81BD" w:themeColor="accent1"/>
                              <w:sz w:val="21"/>
                              <w14:textFill>
                                <w14:solidFill>
                                  <w14:schemeClr w14:val="accent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20"/>
                      <w:jc w:val="center"/>
                    </w:pPr>
                    <w:r>
                      <w:rPr>
                        <w:rFonts w:ascii="Times New Roman" w:hAnsi="Times New Roman"/>
                        <w:color w:val="4F81BD" w:themeColor="accent1"/>
                        <w:sz w:val="21"/>
                        <w14:textFill>
                          <w14:solidFill>
                            <w14:schemeClr w14:val="accent1"/>
                          </w14:solidFill>
                        </w14:textFill>
                      </w:rPr>
                      <w:fldChar w:fldCharType="begin"/>
                    </w:r>
                    <w:r>
                      <w:rPr>
                        <w:rFonts w:ascii="Times New Roman" w:hAnsi="Times New Roman"/>
                        <w:color w:val="4F81BD" w:themeColor="accent1"/>
                        <w:sz w:val="21"/>
                        <w14:textFill>
                          <w14:solidFill>
                            <w14:schemeClr w14:val="accent1"/>
                          </w14:solidFill>
                        </w14:textFill>
                      </w:rPr>
                      <w:instrText xml:space="preserve">PAGE   \* MERGEFORMAT</w:instrText>
                    </w:r>
                    <w:r>
                      <w:rPr>
                        <w:rFonts w:ascii="Times New Roman" w:hAnsi="Times New Roman"/>
                        <w:color w:val="4F81BD" w:themeColor="accent1"/>
                        <w:sz w:val="21"/>
                        <w14:textFill>
                          <w14:solidFill>
                            <w14:schemeClr w14:val="accent1"/>
                          </w14:solidFill>
                        </w14:textFill>
                      </w:rPr>
                      <w:fldChar w:fldCharType="separate"/>
                    </w:r>
                    <w:r>
                      <w:rPr>
                        <w:rFonts w:ascii="Times New Roman" w:hAnsi="Times New Roman"/>
                        <w:color w:val="4F81BD" w:themeColor="accent1"/>
                        <w:sz w:val="21"/>
                        <w14:textFill>
                          <w14:solidFill>
                            <w14:schemeClr w14:val="accent1"/>
                          </w14:solidFill>
                        </w14:textFill>
                      </w:rPr>
                      <w:t>13</w:t>
                    </w:r>
                    <w:r>
                      <w:rPr>
                        <w:rFonts w:ascii="Times New Roman" w:hAnsi="Times New Roman"/>
                        <w:color w:val="4F81BD" w:themeColor="accent1"/>
                        <w:sz w:val="21"/>
                        <w14:textFill>
                          <w14:solidFill>
                            <w14:schemeClr w14:val="accent1"/>
                          </w14:solidFill>
                        </w14:textFill>
                      </w:rPr>
                      <w:fldChar w:fldCharType="end"/>
                    </w:r>
                  </w:p>
                </w:txbxContent>
              </v:textbox>
            </v:shape>
          </w:pict>
        </mc:Fallback>
      </mc:AlternateContent>
    </w:r>
  </w:p>
  <w:p>
    <w:pPr>
      <w:pStyle w:val="20"/>
      <w:tabs>
        <w:tab w:val="left" w:pos="2850"/>
        <w:tab w:val="left" w:pos="3570"/>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
        <w:snapToGrid w:val="0"/>
      </w:pPr>
      <w:r>
        <w:rPr>
          <w:rStyle w:val="42"/>
        </w:rPr>
        <w:footnoteRef/>
      </w:r>
      <w:r>
        <w:t xml:space="preserve"> </w:t>
      </w:r>
      <w:r>
        <w:rPr>
          <w:rFonts w:hint="eastAsia"/>
          <w:lang w:val="en-US" w:eastAsia="zh-Hans"/>
        </w:rPr>
        <w:t>本地区生源包含铜仁市</w:t>
      </w:r>
      <w:r>
        <w:rPr>
          <w:rFonts w:hint="default"/>
          <w:lang w:eastAsia="zh-Hans"/>
        </w:rPr>
        <w:t>、</w:t>
      </w:r>
      <w:r>
        <w:rPr>
          <w:rFonts w:hint="eastAsia"/>
          <w:lang w:val="en-US" w:eastAsia="zh-Hans"/>
        </w:rPr>
        <w:t>市辖区</w:t>
      </w:r>
      <w:r>
        <w:rPr>
          <w:rFonts w:hint="default"/>
          <w:lang w:eastAsia="zh-Hans"/>
        </w:rPr>
        <w:t>、</w:t>
      </w:r>
      <w:r>
        <w:rPr>
          <w:rFonts w:hint="eastAsia"/>
          <w:lang w:val="en-US" w:eastAsia="zh-Hans"/>
        </w:rPr>
        <w:t>碧江区</w:t>
      </w:r>
      <w:r>
        <w:rPr>
          <w:rFonts w:hint="default"/>
          <w:lang w:eastAsia="zh-Hans"/>
        </w:rPr>
        <w:t>、</w:t>
      </w:r>
      <w:r>
        <w:rPr>
          <w:rFonts w:hint="eastAsia"/>
          <w:lang w:val="en-US" w:eastAsia="zh-Hans"/>
        </w:rPr>
        <w:t>万山区</w:t>
      </w:r>
      <w:r>
        <w:rPr>
          <w:rFonts w:hint="default"/>
          <w:lang w:eastAsia="zh-Hans"/>
        </w:rPr>
        <w:t>、</w:t>
      </w:r>
      <w:r>
        <w:rPr>
          <w:rFonts w:hint="eastAsia"/>
          <w:lang w:val="en-US" w:eastAsia="zh-Hans"/>
        </w:rPr>
        <w:t>江口县</w:t>
      </w:r>
      <w:r>
        <w:rPr>
          <w:rFonts w:hint="default"/>
          <w:lang w:eastAsia="zh-Hans"/>
        </w:rPr>
        <w:t>、</w:t>
      </w:r>
      <w:r>
        <w:rPr>
          <w:rFonts w:hint="eastAsia"/>
          <w:lang w:val="en-US" w:eastAsia="zh-Hans"/>
        </w:rPr>
        <w:t>玉屏县</w:t>
      </w:r>
      <w:r>
        <w:rPr>
          <w:rFonts w:hint="default"/>
          <w:lang w:eastAsia="zh-Hans"/>
        </w:rPr>
        <w:t>、</w:t>
      </w:r>
      <w:r>
        <w:rPr>
          <w:rFonts w:hint="eastAsia"/>
          <w:lang w:val="en-US" w:eastAsia="zh-Hans"/>
        </w:rPr>
        <w:t>石阡县</w:t>
      </w:r>
      <w:r>
        <w:rPr>
          <w:rFonts w:hint="default"/>
          <w:lang w:eastAsia="zh-Hans"/>
        </w:rPr>
        <w:t>、</w:t>
      </w:r>
      <w:r>
        <w:rPr>
          <w:rFonts w:hint="eastAsia"/>
          <w:lang w:val="en-US" w:eastAsia="zh-Hans"/>
        </w:rPr>
        <w:t>思南县</w:t>
      </w:r>
      <w:r>
        <w:rPr>
          <w:rFonts w:hint="default"/>
          <w:lang w:eastAsia="zh-Hans"/>
        </w:rPr>
        <w:t>、</w:t>
      </w:r>
      <w:r>
        <w:rPr>
          <w:rFonts w:hint="eastAsia"/>
          <w:lang w:val="en-US" w:eastAsia="zh-Hans"/>
        </w:rPr>
        <w:t>印江县</w:t>
      </w:r>
      <w:r>
        <w:rPr>
          <w:rFonts w:hint="default"/>
          <w:lang w:eastAsia="zh-Hans"/>
        </w:rPr>
        <w:t>、</w:t>
      </w:r>
      <w:r>
        <w:rPr>
          <w:rFonts w:hint="eastAsia"/>
          <w:lang w:val="en-US" w:eastAsia="zh-Hans"/>
        </w:rPr>
        <w:t>德江县</w:t>
      </w:r>
      <w:r>
        <w:rPr>
          <w:rFonts w:hint="default"/>
          <w:lang w:eastAsia="zh-Hans"/>
        </w:rPr>
        <w:t>、</w:t>
      </w:r>
      <w:r>
        <w:rPr>
          <w:rFonts w:hint="eastAsia"/>
          <w:lang w:val="en-US" w:eastAsia="zh-Hans"/>
        </w:rPr>
        <w:t>沿河县</w:t>
      </w:r>
      <w:r>
        <w:rPr>
          <w:rFonts w:hint="default"/>
          <w:lang w:eastAsia="zh-Hans"/>
        </w:rPr>
        <w:t>、</w:t>
      </w:r>
      <w:r>
        <w:rPr>
          <w:rFonts w:hint="eastAsia"/>
          <w:lang w:val="en-US" w:eastAsia="zh-Hans"/>
        </w:rPr>
        <w:t>松桃县</w:t>
      </w:r>
      <w:r>
        <w:rPr>
          <w:rFonts w:hint="default"/>
          <w:lang w:eastAsia="zh-Han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r>
      <w:drawing>
        <wp:inline distT="0" distB="0" distL="114300" distR="114300">
          <wp:extent cx="5577840" cy="278765"/>
          <wp:effectExtent l="0" t="0" r="10160" b="63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
                  <a:stretch>
                    <a:fillRect/>
                  </a:stretch>
                </pic:blipFill>
                <pic:spPr>
                  <a:xfrm>
                    <a:off x="0" y="0"/>
                    <a:ext cx="5577840" cy="278765"/>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r>
      <w:drawing>
        <wp:inline distT="0" distB="0" distL="114300" distR="114300">
          <wp:extent cx="5577840" cy="278765"/>
          <wp:effectExtent l="0" t="0" r="10160" b="63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
                  <a:stretch>
                    <a:fillRect/>
                  </a:stretch>
                </pic:blipFill>
                <pic:spPr>
                  <a:xfrm>
                    <a:off x="0" y="0"/>
                    <a:ext cx="5577840" cy="278765"/>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C82767"/>
    <w:multiLevelType w:val="singleLevel"/>
    <w:tmpl w:val="61C82767"/>
    <w:lvl w:ilvl="0" w:tentative="0">
      <w:start w:val="8"/>
      <w:numFmt w:val="chineseCounting"/>
      <w:suff w:val="space"/>
      <w:lvlText w:val="第%1章"/>
      <w:lvlJc w:val="left"/>
    </w:lvl>
  </w:abstractNum>
  <w:abstractNum w:abstractNumId="1">
    <w:nsid w:val="61C827A2"/>
    <w:multiLevelType w:val="singleLevel"/>
    <w:tmpl w:val="61C827A2"/>
    <w:lvl w:ilvl="0" w:tentative="0">
      <w:start w:val="7"/>
      <w:numFmt w:val="chineseCounting"/>
      <w:suff w:val="space"/>
      <w:lvlText w:val="第%1章"/>
      <w:lvlJc w:val="left"/>
    </w:lvl>
  </w:abstractNum>
  <w:abstractNum w:abstractNumId="2">
    <w:nsid w:val="61C8280E"/>
    <w:multiLevelType w:val="singleLevel"/>
    <w:tmpl w:val="61C8280E"/>
    <w:lvl w:ilvl="0" w:tentative="0">
      <w:start w:val="6"/>
      <w:numFmt w:val="chineseCounting"/>
      <w:suff w:val="space"/>
      <w:lvlText w:val="第%1章"/>
      <w:lvlJc w:val="left"/>
    </w:lvl>
  </w:abstractNum>
  <w:abstractNum w:abstractNumId="3">
    <w:nsid w:val="61C8307A"/>
    <w:multiLevelType w:val="singleLevel"/>
    <w:tmpl w:val="61C8307A"/>
    <w:lvl w:ilvl="0" w:tentative="0">
      <w:start w:val="2"/>
      <w:numFmt w:val="chineseCounting"/>
      <w:suff w:val="nothing"/>
      <w:lvlText w:val="%1、"/>
      <w:lvlJc w:val="left"/>
    </w:lvl>
  </w:abstractNum>
  <w:abstractNum w:abstractNumId="4">
    <w:nsid w:val="61C8633D"/>
    <w:multiLevelType w:val="singleLevel"/>
    <w:tmpl w:val="61C8633D"/>
    <w:lvl w:ilvl="0" w:tentative="0">
      <w:start w:val="2"/>
      <w:numFmt w:val="chineseCounting"/>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E5"/>
    <w:rsid w:val="00000334"/>
    <w:rsid w:val="000007DC"/>
    <w:rsid w:val="00000B6D"/>
    <w:rsid w:val="00000D08"/>
    <w:rsid w:val="0000160D"/>
    <w:rsid w:val="00002810"/>
    <w:rsid w:val="00002954"/>
    <w:rsid w:val="00002B12"/>
    <w:rsid w:val="00002DB4"/>
    <w:rsid w:val="00003E3C"/>
    <w:rsid w:val="00004466"/>
    <w:rsid w:val="00004656"/>
    <w:rsid w:val="00004776"/>
    <w:rsid w:val="00004DBB"/>
    <w:rsid w:val="000055F0"/>
    <w:rsid w:val="00005CBA"/>
    <w:rsid w:val="000062F9"/>
    <w:rsid w:val="000063B0"/>
    <w:rsid w:val="00006B72"/>
    <w:rsid w:val="00007EC6"/>
    <w:rsid w:val="000102A6"/>
    <w:rsid w:val="00010510"/>
    <w:rsid w:val="00010A71"/>
    <w:rsid w:val="00011731"/>
    <w:rsid w:val="000125F1"/>
    <w:rsid w:val="000128F5"/>
    <w:rsid w:val="00013FE8"/>
    <w:rsid w:val="0001420F"/>
    <w:rsid w:val="0001448F"/>
    <w:rsid w:val="00014C28"/>
    <w:rsid w:val="00015051"/>
    <w:rsid w:val="000153C0"/>
    <w:rsid w:val="00015854"/>
    <w:rsid w:val="00015A2F"/>
    <w:rsid w:val="00015C76"/>
    <w:rsid w:val="000164BD"/>
    <w:rsid w:val="0001651A"/>
    <w:rsid w:val="00016EDB"/>
    <w:rsid w:val="00017031"/>
    <w:rsid w:val="000172CB"/>
    <w:rsid w:val="000175F5"/>
    <w:rsid w:val="0001774D"/>
    <w:rsid w:val="0001776E"/>
    <w:rsid w:val="00017AD3"/>
    <w:rsid w:val="0002007D"/>
    <w:rsid w:val="00020137"/>
    <w:rsid w:val="0002025B"/>
    <w:rsid w:val="000214CC"/>
    <w:rsid w:val="00021C6E"/>
    <w:rsid w:val="00022780"/>
    <w:rsid w:val="00022C3B"/>
    <w:rsid w:val="00023967"/>
    <w:rsid w:val="0002445B"/>
    <w:rsid w:val="00024E8A"/>
    <w:rsid w:val="00024F55"/>
    <w:rsid w:val="00026BE0"/>
    <w:rsid w:val="0002720D"/>
    <w:rsid w:val="000306C9"/>
    <w:rsid w:val="00030D5A"/>
    <w:rsid w:val="00031249"/>
    <w:rsid w:val="00031904"/>
    <w:rsid w:val="00031D55"/>
    <w:rsid w:val="00032709"/>
    <w:rsid w:val="000327CA"/>
    <w:rsid w:val="00032FAB"/>
    <w:rsid w:val="00033334"/>
    <w:rsid w:val="000333D0"/>
    <w:rsid w:val="00033E57"/>
    <w:rsid w:val="00033E97"/>
    <w:rsid w:val="00034410"/>
    <w:rsid w:val="00034495"/>
    <w:rsid w:val="0003529E"/>
    <w:rsid w:val="000366A2"/>
    <w:rsid w:val="000367AB"/>
    <w:rsid w:val="0003687F"/>
    <w:rsid w:val="000372F2"/>
    <w:rsid w:val="00037335"/>
    <w:rsid w:val="00037925"/>
    <w:rsid w:val="000401DF"/>
    <w:rsid w:val="0004173B"/>
    <w:rsid w:val="0004246F"/>
    <w:rsid w:val="00043EEE"/>
    <w:rsid w:val="000451B3"/>
    <w:rsid w:val="00046208"/>
    <w:rsid w:val="0004641A"/>
    <w:rsid w:val="000464DF"/>
    <w:rsid w:val="00046C71"/>
    <w:rsid w:val="00046E07"/>
    <w:rsid w:val="000470EC"/>
    <w:rsid w:val="000475AB"/>
    <w:rsid w:val="00047FAF"/>
    <w:rsid w:val="00050047"/>
    <w:rsid w:val="00050331"/>
    <w:rsid w:val="00050BB9"/>
    <w:rsid w:val="000519D0"/>
    <w:rsid w:val="00051C85"/>
    <w:rsid w:val="00051DDA"/>
    <w:rsid w:val="00052579"/>
    <w:rsid w:val="000525C9"/>
    <w:rsid w:val="00052C06"/>
    <w:rsid w:val="00052FC6"/>
    <w:rsid w:val="00053554"/>
    <w:rsid w:val="00053B95"/>
    <w:rsid w:val="000541F2"/>
    <w:rsid w:val="00054621"/>
    <w:rsid w:val="00054761"/>
    <w:rsid w:val="00054EA5"/>
    <w:rsid w:val="0005545F"/>
    <w:rsid w:val="000564E0"/>
    <w:rsid w:val="00056BAE"/>
    <w:rsid w:val="00056DC0"/>
    <w:rsid w:val="00057193"/>
    <w:rsid w:val="000603C1"/>
    <w:rsid w:val="0006078C"/>
    <w:rsid w:val="00060952"/>
    <w:rsid w:val="0006102A"/>
    <w:rsid w:val="000611A6"/>
    <w:rsid w:val="000612A3"/>
    <w:rsid w:val="00061883"/>
    <w:rsid w:val="000623FF"/>
    <w:rsid w:val="00062A83"/>
    <w:rsid w:val="00062FB6"/>
    <w:rsid w:val="00063059"/>
    <w:rsid w:val="00063861"/>
    <w:rsid w:val="00063FE0"/>
    <w:rsid w:val="00064C2F"/>
    <w:rsid w:val="00064C99"/>
    <w:rsid w:val="000656AB"/>
    <w:rsid w:val="000660FF"/>
    <w:rsid w:val="00066101"/>
    <w:rsid w:val="00066342"/>
    <w:rsid w:val="00066DAE"/>
    <w:rsid w:val="00066E22"/>
    <w:rsid w:val="000679D0"/>
    <w:rsid w:val="00067FCD"/>
    <w:rsid w:val="000706B2"/>
    <w:rsid w:val="00070B69"/>
    <w:rsid w:val="00070F10"/>
    <w:rsid w:val="00071021"/>
    <w:rsid w:val="000710D0"/>
    <w:rsid w:val="00071435"/>
    <w:rsid w:val="000718C3"/>
    <w:rsid w:val="0007216E"/>
    <w:rsid w:val="0007233C"/>
    <w:rsid w:val="00072640"/>
    <w:rsid w:val="00072B75"/>
    <w:rsid w:val="00072C03"/>
    <w:rsid w:val="00073057"/>
    <w:rsid w:val="000734B4"/>
    <w:rsid w:val="0007360E"/>
    <w:rsid w:val="000738C7"/>
    <w:rsid w:val="000756AE"/>
    <w:rsid w:val="00075A4A"/>
    <w:rsid w:val="00076E10"/>
    <w:rsid w:val="00077B5F"/>
    <w:rsid w:val="00077D79"/>
    <w:rsid w:val="000816AA"/>
    <w:rsid w:val="00081F34"/>
    <w:rsid w:val="0008229E"/>
    <w:rsid w:val="00082642"/>
    <w:rsid w:val="00082A10"/>
    <w:rsid w:val="00082AD7"/>
    <w:rsid w:val="00082B61"/>
    <w:rsid w:val="00082C25"/>
    <w:rsid w:val="00083008"/>
    <w:rsid w:val="00083149"/>
    <w:rsid w:val="00083989"/>
    <w:rsid w:val="00083E76"/>
    <w:rsid w:val="00083FDD"/>
    <w:rsid w:val="00084C50"/>
    <w:rsid w:val="000852C0"/>
    <w:rsid w:val="00085BCE"/>
    <w:rsid w:val="0008613D"/>
    <w:rsid w:val="0008637F"/>
    <w:rsid w:val="0008699A"/>
    <w:rsid w:val="00086E80"/>
    <w:rsid w:val="00087101"/>
    <w:rsid w:val="000874A3"/>
    <w:rsid w:val="00087CB0"/>
    <w:rsid w:val="00087D8D"/>
    <w:rsid w:val="00087E87"/>
    <w:rsid w:val="00090301"/>
    <w:rsid w:val="00090564"/>
    <w:rsid w:val="0009081F"/>
    <w:rsid w:val="00090CC3"/>
    <w:rsid w:val="00091204"/>
    <w:rsid w:val="000917BE"/>
    <w:rsid w:val="00091BC1"/>
    <w:rsid w:val="00091E56"/>
    <w:rsid w:val="0009238C"/>
    <w:rsid w:val="00092A51"/>
    <w:rsid w:val="00092B13"/>
    <w:rsid w:val="00092EEC"/>
    <w:rsid w:val="00092FD1"/>
    <w:rsid w:val="00093073"/>
    <w:rsid w:val="00093136"/>
    <w:rsid w:val="0009399E"/>
    <w:rsid w:val="00093B87"/>
    <w:rsid w:val="00093C14"/>
    <w:rsid w:val="00093C4E"/>
    <w:rsid w:val="00093CCD"/>
    <w:rsid w:val="000944CC"/>
    <w:rsid w:val="00094F64"/>
    <w:rsid w:val="000953BE"/>
    <w:rsid w:val="00095666"/>
    <w:rsid w:val="000956B0"/>
    <w:rsid w:val="0009612F"/>
    <w:rsid w:val="00096C6F"/>
    <w:rsid w:val="00096E71"/>
    <w:rsid w:val="00096EDF"/>
    <w:rsid w:val="0009740F"/>
    <w:rsid w:val="00097763"/>
    <w:rsid w:val="00097B4C"/>
    <w:rsid w:val="00097DF1"/>
    <w:rsid w:val="00097DFB"/>
    <w:rsid w:val="000A10B0"/>
    <w:rsid w:val="000A13F2"/>
    <w:rsid w:val="000A16D0"/>
    <w:rsid w:val="000A2028"/>
    <w:rsid w:val="000A228B"/>
    <w:rsid w:val="000A2730"/>
    <w:rsid w:val="000A2C21"/>
    <w:rsid w:val="000A2DC0"/>
    <w:rsid w:val="000A2EFC"/>
    <w:rsid w:val="000A314C"/>
    <w:rsid w:val="000A42AA"/>
    <w:rsid w:val="000A4490"/>
    <w:rsid w:val="000A4520"/>
    <w:rsid w:val="000A4AF7"/>
    <w:rsid w:val="000A5522"/>
    <w:rsid w:val="000A5B17"/>
    <w:rsid w:val="000A6792"/>
    <w:rsid w:val="000A68F2"/>
    <w:rsid w:val="000A69CF"/>
    <w:rsid w:val="000A722D"/>
    <w:rsid w:val="000A7954"/>
    <w:rsid w:val="000B03E5"/>
    <w:rsid w:val="000B07B9"/>
    <w:rsid w:val="000B09FF"/>
    <w:rsid w:val="000B0A42"/>
    <w:rsid w:val="000B0B6B"/>
    <w:rsid w:val="000B0DB6"/>
    <w:rsid w:val="000B12C3"/>
    <w:rsid w:val="000B192A"/>
    <w:rsid w:val="000B1F12"/>
    <w:rsid w:val="000B244C"/>
    <w:rsid w:val="000B24A8"/>
    <w:rsid w:val="000B25E4"/>
    <w:rsid w:val="000B263B"/>
    <w:rsid w:val="000B2CC6"/>
    <w:rsid w:val="000B2CF3"/>
    <w:rsid w:val="000B493C"/>
    <w:rsid w:val="000B4A34"/>
    <w:rsid w:val="000B5D40"/>
    <w:rsid w:val="000B639B"/>
    <w:rsid w:val="000B67AF"/>
    <w:rsid w:val="000B70E6"/>
    <w:rsid w:val="000B7381"/>
    <w:rsid w:val="000B7F33"/>
    <w:rsid w:val="000C02DC"/>
    <w:rsid w:val="000C0A01"/>
    <w:rsid w:val="000C0D90"/>
    <w:rsid w:val="000C13D6"/>
    <w:rsid w:val="000C1C57"/>
    <w:rsid w:val="000C2926"/>
    <w:rsid w:val="000C2B52"/>
    <w:rsid w:val="000C2E04"/>
    <w:rsid w:val="000C301D"/>
    <w:rsid w:val="000C3DC1"/>
    <w:rsid w:val="000C48B5"/>
    <w:rsid w:val="000C55E7"/>
    <w:rsid w:val="000C5720"/>
    <w:rsid w:val="000C5794"/>
    <w:rsid w:val="000C632D"/>
    <w:rsid w:val="000C68FD"/>
    <w:rsid w:val="000C6ED4"/>
    <w:rsid w:val="000C6F13"/>
    <w:rsid w:val="000C6F86"/>
    <w:rsid w:val="000C70B3"/>
    <w:rsid w:val="000C7694"/>
    <w:rsid w:val="000C7697"/>
    <w:rsid w:val="000C7B64"/>
    <w:rsid w:val="000D0851"/>
    <w:rsid w:val="000D0B87"/>
    <w:rsid w:val="000D130C"/>
    <w:rsid w:val="000D1FF5"/>
    <w:rsid w:val="000D2DCA"/>
    <w:rsid w:val="000D2E6A"/>
    <w:rsid w:val="000D2F1F"/>
    <w:rsid w:val="000D34C8"/>
    <w:rsid w:val="000D3C10"/>
    <w:rsid w:val="000D3C5E"/>
    <w:rsid w:val="000D3CAC"/>
    <w:rsid w:val="000D42EB"/>
    <w:rsid w:val="000D43B2"/>
    <w:rsid w:val="000D4631"/>
    <w:rsid w:val="000D4FF9"/>
    <w:rsid w:val="000D598D"/>
    <w:rsid w:val="000D5C9B"/>
    <w:rsid w:val="000D672F"/>
    <w:rsid w:val="000D685D"/>
    <w:rsid w:val="000D6AAB"/>
    <w:rsid w:val="000D6C03"/>
    <w:rsid w:val="000D7047"/>
    <w:rsid w:val="000E061C"/>
    <w:rsid w:val="000E06E6"/>
    <w:rsid w:val="000E0971"/>
    <w:rsid w:val="000E0A71"/>
    <w:rsid w:val="000E0BBE"/>
    <w:rsid w:val="000E1052"/>
    <w:rsid w:val="000E1460"/>
    <w:rsid w:val="000E17A3"/>
    <w:rsid w:val="000E1CCA"/>
    <w:rsid w:val="000E1FBA"/>
    <w:rsid w:val="000E2108"/>
    <w:rsid w:val="000E23CF"/>
    <w:rsid w:val="000E249F"/>
    <w:rsid w:val="000E274A"/>
    <w:rsid w:val="000E2864"/>
    <w:rsid w:val="000E3486"/>
    <w:rsid w:val="000E3B15"/>
    <w:rsid w:val="000E3C47"/>
    <w:rsid w:val="000E3C5C"/>
    <w:rsid w:val="000E4038"/>
    <w:rsid w:val="000E4275"/>
    <w:rsid w:val="000E4A06"/>
    <w:rsid w:val="000E4D1C"/>
    <w:rsid w:val="000E5272"/>
    <w:rsid w:val="000E5B11"/>
    <w:rsid w:val="000E5DA6"/>
    <w:rsid w:val="000E5F6F"/>
    <w:rsid w:val="000E76B9"/>
    <w:rsid w:val="000E7988"/>
    <w:rsid w:val="000F0697"/>
    <w:rsid w:val="000F07AB"/>
    <w:rsid w:val="000F0D5F"/>
    <w:rsid w:val="000F1C35"/>
    <w:rsid w:val="000F2F55"/>
    <w:rsid w:val="000F31B3"/>
    <w:rsid w:val="000F366E"/>
    <w:rsid w:val="000F36DE"/>
    <w:rsid w:val="000F3B44"/>
    <w:rsid w:val="000F3C89"/>
    <w:rsid w:val="000F43A9"/>
    <w:rsid w:val="000F4A4F"/>
    <w:rsid w:val="000F4A80"/>
    <w:rsid w:val="000F4ADD"/>
    <w:rsid w:val="000F4F8A"/>
    <w:rsid w:val="000F5489"/>
    <w:rsid w:val="000F549A"/>
    <w:rsid w:val="000F5849"/>
    <w:rsid w:val="000F613E"/>
    <w:rsid w:val="000F6328"/>
    <w:rsid w:val="000F64D5"/>
    <w:rsid w:val="000F6730"/>
    <w:rsid w:val="000F6A37"/>
    <w:rsid w:val="00100051"/>
    <w:rsid w:val="0010010E"/>
    <w:rsid w:val="001018B3"/>
    <w:rsid w:val="00101D43"/>
    <w:rsid w:val="001023C3"/>
    <w:rsid w:val="001029D0"/>
    <w:rsid w:val="00102ACA"/>
    <w:rsid w:val="00102AE9"/>
    <w:rsid w:val="0010318B"/>
    <w:rsid w:val="0010346C"/>
    <w:rsid w:val="00103BDD"/>
    <w:rsid w:val="001046F6"/>
    <w:rsid w:val="0010529B"/>
    <w:rsid w:val="00105328"/>
    <w:rsid w:val="00105443"/>
    <w:rsid w:val="0010553E"/>
    <w:rsid w:val="00105B2E"/>
    <w:rsid w:val="00105ECB"/>
    <w:rsid w:val="00106291"/>
    <w:rsid w:val="001062F5"/>
    <w:rsid w:val="00106894"/>
    <w:rsid w:val="001068D6"/>
    <w:rsid w:val="00107C71"/>
    <w:rsid w:val="00107EE9"/>
    <w:rsid w:val="001106C5"/>
    <w:rsid w:val="0011070D"/>
    <w:rsid w:val="001107E3"/>
    <w:rsid w:val="001109F1"/>
    <w:rsid w:val="00110FB8"/>
    <w:rsid w:val="001112BD"/>
    <w:rsid w:val="0011130D"/>
    <w:rsid w:val="00112B82"/>
    <w:rsid w:val="001137CF"/>
    <w:rsid w:val="001147BD"/>
    <w:rsid w:val="00115641"/>
    <w:rsid w:val="00116274"/>
    <w:rsid w:val="001162B4"/>
    <w:rsid w:val="00117C6E"/>
    <w:rsid w:val="00120BB7"/>
    <w:rsid w:val="001217CB"/>
    <w:rsid w:val="0012340D"/>
    <w:rsid w:val="001235DA"/>
    <w:rsid w:val="0012381F"/>
    <w:rsid w:val="00123B75"/>
    <w:rsid w:val="00123C71"/>
    <w:rsid w:val="00123CCF"/>
    <w:rsid w:val="00123CF9"/>
    <w:rsid w:val="00124520"/>
    <w:rsid w:val="00124A6C"/>
    <w:rsid w:val="00124CE7"/>
    <w:rsid w:val="001250BB"/>
    <w:rsid w:val="00125199"/>
    <w:rsid w:val="001251AB"/>
    <w:rsid w:val="00125634"/>
    <w:rsid w:val="001257BA"/>
    <w:rsid w:val="00125B00"/>
    <w:rsid w:val="00125E26"/>
    <w:rsid w:val="001263B5"/>
    <w:rsid w:val="001263FE"/>
    <w:rsid w:val="00126567"/>
    <w:rsid w:val="00126948"/>
    <w:rsid w:val="00126B46"/>
    <w:rsid w:val="00126C11"/>
    <w:rsid w:val="00126F0F"/>
    <w:rsid w:val="0012748B"/>
    <w:rsid w:val="0012749E"/>
    <w:rsid w:val="00127753"/>
    <w:rsid w:val="00127DAF"/>
    <w:rsid w:val="001303F8"/>
    <w:rsid w:val="0013089A"/>
    <w:rsid w:val="0013097F"/>
    <w:rsid w:val="00130AAE"/>
    <w:rsid w:val="001310BD"/>
    <w:rsid w:val="001311EF"/>
    <w:rsid w:val="0013169D"/>
    <w:rsid w:val="00131C15"/>
    <w:rsid w:val="00131CB3"/>
    <w:rsid w:val="00132153"/>
    <w:rsid w:val="00132F90"/>
    <w:rsid w:val="00133EDB"/>
    <w:rsid w:val="00133F31"/>
    <w:rsid w:val="001344BF"/>
    <w:rsid w:val="001344CC"/>
    <w:rsid w:val="00134FF2"/>
    <w:rsid w:val="00135176"/>
    <w:rsid w:val="00135BE9"/>
    <w:rsid w:val="00135F57"/>
    <w:rsid w:val="00137AAB"/>
    <w:rsid w:val="00137DC5"/>
    <w:rsid w:val="00137FCB"/>
    <w:rsid w:val="001402A0"/>
    <w:rsid w:val="001409A7"/>
    <w:rsid w:val="00140B39"/>
    <w:rsid w:val="00140C76"/>
    <w:rsid w:val="0014184C"/>
    <w:rsid w:val="00141F59"/>
    <w:rsid w:val="00142122"/>
    <w:rsid w:val="0014221C"/>
    <w:rsid w:val="00142429"/>
    <w:rsid w:val="00142600"/>
    <w:rsid w:val="00142CEC"/>
    <w:rsid w:val="00142D7A"/>
    <w:rsid w:val="001438C9"/>
    <w:rsid w:val="00143B62"/>
    <w:rsid w:val="00143CEC"/>
    <w:rsid w:val="00143F7C"/>
    <w:rsid w:val="0014413D"/>
    <w:rsid w:val="001441D2"/>
    <w:rsid w:val="00144914"/>
    <w:rsid w:val="00145250"/>
    <w:rsid w:val="00145AF7"/>
    <w:rsid w:val="00145CA9"/>
    <w:rsid w:val="00145FF1"/>
    <w:rsid w:val="001468E9"/>
    <w:rsid w:val="00146B25"/>
    <w:rsid w:val="0014704E"/>
    <w:rsid w:val="001472AB"/>
    <w:rsid w:val="001474A6"/>
    <w:rsid w:val="001476AD"/>
    <w:rsid w:val="00147C43"/>
    <w:rsid w:val="0015014C"/>
    <w:rsid w:val="0015023D"/>
    <w:rsid w:val="00150430"/>
    <w:rsid w:val="00150AC2"/>
    <w:rsid w:val="00151041"/>
    <w:rsid w:val="0015140C"/>
    <w:rsid w:val="0015146D"/>
    <w:rsid w:val="001515B4"/>
    <w:rsid w:val="0015179F"/>
    <w:rsid w:val="0015186D"/>
    <w:rsid w:val="00151908"/>
    <w:rsid w:val="001519E4"/>
    <w:rsid w:val="00151DC4"/>
    <w:rsid w:val="00152199"/>
    <w:rsid w:val="00152AF0"/>
    <w:rsid w:val="00153EDE"/>
    <w:rsid w:val="0015413B"/>
    <w:rsid w:val="00154667"/>
    <w:rsid w:val="00154798"/>
    <w:rsid w:val="00154CCB"/>
    <w:rsid w:val="00154F86"/>
    <w:rsid w:val="00155B7F"/>
    <w:rsid w:val="00155C75"/>
    <w:rsid w:val="00156C2B"/>
    <w:rsid w:val="0015733D"/>
    <w:rsid w:val="0015751E"/>
    <w:rsid w:val="001575DA"/>
    <w:rsid w:val="00160B1D"/>
    <w:rsid w:val="00160D6E"/>
    <w:rsid w:val="00160F27"/>
    <w:rsid w:val="00160FC6"/>
    <w:rsid w:val="001610CB"/>
    <w:rsid w:val="00161187"/>
    <w:rsid w:val="00161407"/>
    <w:rsid w:val="00161B41"/>
    <w:rsid w:val="00161F24"/>
    <w:rsid w:val="00162023"/>
    <w:rsid w:val="00162453"/>
    <w:rsid w:val="00162969"/>
    <w:rsid w:val="0016357C"/>
    <w:rsid w:val="001636A9"/>
    <w:rsid w:val="001637DC"/>
    <w:rsid w:val="001638EE"/>
    <w:rsid w:val="00163AB8"/>
    <w:rsid w:val="00163ADB"/>
    <w:rsid w:val="00163D62"/>
    <w:rsid w:val="0016445A"/>
    <w:rsid w:val="00164A0D"/>
    <w:rsid w:val="00164AD1"/>
    <w:rsid w:val="00164B6C"/>
    <w:rsid w:val="00164E42"/>
    <w:rsid w:val="00164F9B"/>
    <w:rsid w:val="00164FF3"/>
    <w:rsid w:val="0016577E"/>
    <w:rsid w:val="00166301"/>
    <w:rsid w:val="001678FD"/>
    <w:rsid w:val="00167BED"/>
    <w:rsid w:val="00167C25"/>
    <w:rsid w:val="001701CA"/>
    <w:rsid w:val="00170200"/>
    <w:rsid w:val="00170572"/>
    <w:rsid w:val="0017088C"/>
    <w:rsid w:val="001710D7"/>
    <w:rsid w:val="00171457"/>
    <w:rsid w:val="00171487"/>
    <w:rsid w:val="00171FC1"/>
    <w:rsid w:val="00172251"/>
    <w:rsid w:val="00172413"/>
    <w:rsid w:val="00172AD0"/>
    <w:rsid w:val="00172CF6"/>
    <w:rsid w:val="00172D6F"/>
    <w:rsid w:val="00172E9C"/>
    <w:rsid w:val="00173166"/>
    <w:rsid w:val="00173463"/>
    <w:rsid w:val="0017370F"/>
    <w:rsid w:val="001737C2"/>
    <w:rsid w:val="00173C19"/>
    <w:rsid w:val="00175634"/>
    <w:rsid w:val="00175848"/>
    <w:rsid w:val="00175D04"/>
    <w:rsid w:val="00175D07"/>
    <w:rsid w:val="001761CB"/>
    <w:rsid w:val="001766B8"/>
    <w:rsid w:val="001769E9"/>
    <w:rsid w:val="00176F40"/>
    <w:rsid w:val="00177029"/>
    <w:rsid w:val="00177288"/>
    <w:rsid w:val="001777BB"/>
    <w:rsid w:val="00177A1D"/>
    <w:rsid w:val="00177A67"/>
    <w:rsid w:val="00177FF9"/>
    <w:rsid w:val="001806D9"/>
    <w:rsid w:val="00180CEA"/>
    <w:rsid w:val="00181D3A"/>
    <w:rsid w:val="00182020"/>
    <w:rsid w:val="00182941"/>
    <w:rsid w:val="00182D70"/>
    <w:rsid w:val="00182EE8"/>
    <w:rsid w:val="0018337D"/>
    <w:rsid w:val="001836F3"/>
    <w:rsid w:val="001838A0"/>
    <w:rsid w:val="00184892"/>
    <w:rsid w:val="00184DD2"/>
    <w:rsid w:val="0018514D"/>
    <w:rsid w:val="0018552E"/>
    <w:rsid w:val="0018553B"/>
    <w:rsid w:val="00185A20"/>
    <w:rsid w:val="00185D9E"/>
    <w:rsid w:val="00185F72"/>
    <w:rsid w:val="00186007"/>
    <w:rsid w:val="00186040"/>
    <w:rsid w:val="00186066"/>
    <w:rsid w:val="001861F5"/>
    <w:rsid w:val="001869C2"/>
    <w:rsid w:val="001900C3"/>
    <w:rsid w:val="00190372"/>
    <w:rsid w:val="0019069A"/>
    <w:rsid w:val="001907DB"/>
    <w:rsid w:val="00190A70"/>
    <w:rsid w:val="001912EC"/>
    <w:rsid w:val="00191EE9"/>
    <w:rsid w:val="0019261F"/>
    <w:rsid w:val="00193FE5"/>
    <w:rsid w:val="0019407E"/>
    <w:rsid w:val="0019424C"/>
    <w:rsid w:val="00194BB5"/>
    <w:rsid w:val="00194BC2"/>
    <w:rsid w:val="00194CDB"/>
    <w:rsid w:val="00194EDF"/>
    <w:rsid w:val="00195202"/>
    <w:rsid w:val="00195206"/>
    <w:rsid w:val="00195531"/>
    <w:rsid w:val="00195B85"/>
    <w:rsid w:val="00195CC4"/>
    <w:rsid w:val="00196142"/>
    <w:rsid w:val="0019706D"/>
    <w:rsid w:val="00197C7A"/>
    <w:rsid w:val="00197DB1"/>
    <w:rsid w:val="00197E02"/>
    <w:rsid w:val="00197E45"/>
    <w:rsid w:val="001A0108"/>
    <w:rsid w:val="001A0786"/>
    <w:rsid w:val="001A139C"/>
    <w:rsid w:val="001A1479"/>
    <w:rsid w:val="001A21BF"/>
    <w:rsid w:val="001A286C"/>
    <w:rsid w:val="001A2B49"/>
    <w:rsid w:val="001A3805"/>
    <w:rsid w:val="001A3E8E"/>
    <w:rsid w:val="001A3EE7"/>
    <w:rsid w:val="001A4CFE"/>
    <w:rsid w:val="001A5005"/>
    <w:rsid w:val="001A5512"/>
    <w:rsid w:val="001A62E4"/>
    <w:rsid w:val="001A6561"/>
    <w:rsid w:val="001A65FC"/>
    <w:rsid w:val="001A6751"/>
    <w:rsid w:val="001A6C3F"/>
    <w:rsid w:val="001A6F63"/>
    <w:rsid w:val="001A74C9"/>
    <w:rsid w:val="001A7F6E"/>
    <w:rsid w:val="001B07DB"/>
    <w:rsid w:val="001B0BEE"/>
    <w:rsid w:val="001B0C21"/>
    <w:rsid w:val="001B12CB"/>
    <w:rsid w:val="001B1F57"/>
    <w:rsid w:val="001B20D1"/>
    <w:rsid w:val="001B2649"/>
    <w:rsid w:val="001B282C"/>
    <w:rsid w:val="001B29EE"/>
    <w:rsid w:val="001B2BD6"/>
    <w:rsid w:val="001B33AD"/>
    <w:rsid w:val="001B3B27"/>
    <w:rsid w:val="001B3C65"/>
    <w:rsid w:val="001B3D74"/>
    <w:rsid w:val="001B3DF8"/>
    <w:rsid w:val="001B3EE9"/>
    <w:rsid w:val="001B44C6"/>
    <w:rsid w:val="001B5287"/>
    <w:rsid w:val="001B55AE"/>
    <w:rsid w:val="001B56B4"/>
    <w:rsid w:val="001B5708"/>
    <w:rsid w:val="001B650D"/>
    <w:rsid w:val="001B6847"/>
    <w:rsid w:val="001B6EA1"/>
    <w:rsid w:val="001B7105"/>
    <w:rsid w:val="001B720F"/>
    <w:rsid w:val="001B72D6"/>
    <w:rsid w:val="001B744A"/>
    <w:rsid w:val="001C05D5"/>
    <w:rsid w:val="001C0AC7"/>
    <w:rsid w:val="001C14E7"/>
    <w:rsid w:val="001C1AFC"/>
    <w:rsid w:val="001C206D"/>
    <w:rsid w:val="001C29BD"/>
    <w:rsid w:val="001C307B"/>
    <w:rsid w:val="001C3423"/>
    <w:rsid w:val="001C34D7"/>
    <w:rsid w:val="001C3759"/>
    <w:rsid w:val="001C3CDA"/>
    <w:rsid w:val="001C4023"/>
    <w:rsid w:val="001C4395"/>
    <w:rsid w:val="001C5348"/>
    <w:rsid w:val="001C55C5"/>
    <w:rsid w:val="001C6620"/>
    <w:rsid w:val="001C6F3B"/>
    <w:rsid w:val="001C7CA5"/>
    <w:rsid w:val="001D01C9"/>
    <w:rsid w:val="001D0322"/>
    <w:rsid w:val="001D0A95"/>
    <w:rsid w:val="001D0E99"/>
    <w:rsid w:val="001D0F27"/>
    <w:rsid w:val="001D1BC3"/>
    <w:rsid w:val="001D1FE0"/>
    <w:rsid w:val="001D25AD"/>
    <w:rsid w:val="001D2A97"/>
    <w:rsid w:val="001D2D1A"/>
    <w:rsid w:val="001D3F67"/>
    <w:rsid w:val="001D4A85"/>
    <w:rsid w:val="001D52D6"/>
    <w:rsid w:val="001D55E5"/>
    <w:rsid w:val="001D599C"/>
    <w:rsid w:val="001D5CA1"/>
    <w:rsid w:val="001D5D15"/>
    <w:rsid w:val="001D6599"/>
    <w:rsid w:val="001D66A8"/>
    <w:rsid w:val="001D6729"/>
    <w:rsid w:val="001D6D51"/>
    <w:rsid w:val="001D6FAE"/>
    <w:rsid w:val="001D7FEA"/>
    <w:rsid w:val="001E058F"/>
    <w:rsid w:val="001E06AA"/>
    <w:rsid w:val="001E07BA"/>
    <w:rsid w:val="001E1317"/>
    <w:rsid w:val="001E19BA"/>
    <w:rsid w:val="001E1BEA"/>
    <w:rsid w:val="001E1C25"/>
    <w:rsid w:val="001E2003"/>
    <w:rsid w:val="001E22FB"/>
    <w:rsid w:val="001E265B"/>
    <w:rsid w:val="001E2803"/>
    <w:rsid w:val="001E37C7"/>
    <w:rsid w:val="001E4BDF"/>
    <w:rsid w:val="001E62AD"/>
    <w:rsid w:val="001E6463"/>
    <w:rsid w:val="001E75A2"/>
    <w:rsid w:val="001E75FD"/>
    <w:rsid w:val="001E775C"/>
    <w:rsid w:val="001E7D15"/>
    <w:rsid w:val="001F0221"/>
    <w:rsid w:val="001F045A"/>
    <w:rsid w:val="001F061C"/>
    <w:rsid w:val="001F0638"/>
    <w:rsid w:val="001F0B61"/>
    <w:rsid w:val="001F12DC"/>
    <w:rsid w:val="001F13B6"/>
    <w:rsid w:val="001F2C37"/>
    <w:rsid w:val="001F3A8F"/>
    <w:rsid w:val="001F5481"/>
    <w:rsid w:val="001F5EA4"/>
    <w:rsid w:val="001F6472"/>
    <w:rsid w:val="001F6933"/>
    <w:rsid w:val="001F7530"/>
    <w:rsid w:val="001F7726"/>
    <w:rsid w:val="001F7763"/>
    <w:rsid w:val="001F7915"/>
    <w:rsid w:val="001F7BB3"/>
    <w:rsid w:val="001F7F01"/>
    <w:rsid w:val="0020086F"/>
    <w:rsid w:val="00200FB3"/>
    <w:rsid w:val="002010A1"/>
    <w:rsid w:val="002017ED"/>
    <w:rsid w:val="00201878"/>
    <w:rsid w:val="002022A6"/>
    <w:rsid w:val="002027D6"/>
    <w:rsid w:val="00202815"/>
    <w:rsid w:val="0020292C"/>
    <w:rsid w:val="00202E01"/>
    <w:rsid w:val="002039C2"/>
    <w:rsid w:val="00203B6D"/>
    <w:rsid w:val="00203BEA"/>
    <w:rsid w:val="00203FCC"/>
    <w:rsid w:val="002045AE"/>
    <w:rsid w:val="00204FF4"/>
    <w:rsid w:val="00205676"/>
    <w:rsid w:val="00205777"/>
    <w:rsid w:val="0020612B"/>
    <w:rsid w:val="0020684A"/>
    <w:rsid w:val="00206E6A"/>
    <w:rsid w:val="00207354"/>
    <w:rsid w:val="00207731"/>
    <w:rsid w:val="00210CB3"/>
    <w:rsid w:val="00211190"/>
    <w:rsid w:val="00211263"/>
    <w:rsid w:val="00211656"/>
    <w:rsid w:val="00212693"/>
    <w:rsid w:val="00212713"/>
    <w:rsid w:val="0021293D"/>
    <w:rsid w:val="002131F0"/>
    <w:rsid w:val="00213A5D"/>
    <w:rsid w:val="00214208"/>
    <w:rsid w:val="002144D5"/>
    <w:rsid w:val="00214831"/>
    <w:rsid w:val="00214FC4"/>
    <w:rsid w:val="002156FF"/>
    <w:rsid w:val="00215804"/>
    <w:rsid w:val="00215AA8"/>
    <w:rsid w:val="00215F6D"/>
    <w:rsid w:val="00215F95"/>
    <w:rsid w:val="002161F5"/>
    <w:rsid w:val="00216278"/>
    <w:rsid w:val="002165EF"/>
    <w:rsid w:val="00216E0C"/>
    <w:rsid w:val="0021704F"/>
    <w:rsid w:val="002171CA"/>
    <w:rsid w:val="002177BB"/>
    <w:rsid w:val="00217BC2"/>
    <w:rsid w:val="0022037A"/>
    <w:rsid w:val="002204D8"/>
    <w:rsid w:val="00220EF6"/>
    <w:rsid w:val="00220F07"/>
    <w:rsid w:val="00220FB5"/>
    <w:rsid w:val="00221B14"/>
    <w:rsid w:val="00221BE8"/>
    <w:rsid w:val="00221D73"/>
    <w:rsid w:val="00221F4A"/>
    <w:rsid w:val="00221F64"/>
    <w:rsid w:val="00221FF3"/>
    <w:rsid w:val="002220A5"/>
    <w:rsid w:val="00222B5D"/>
    <w:rsid w:val="00222E0C"/>
    <w:rsid w:val="00223739"/>
    <w:rsid w:val="00224290"/>
    <w:rsid w:val="002243CF"/>
    <w:rsid w:val="002249F4"/>
    <w:rsid w:val="00224FCC"/>
    <w:rsid w:val="0022566C"/>
    <w:rsid w:val="0022582E"/>
    <w:rsid w:val="00225E61"/>
    <w:rsid w:val="0022640F"/>
    <w:rsid w:val="002267CF"/>
    <w:rsid w:val="00226C08"/>
    <w:rsid w:val="00226E5A"/>
    <w:rsid w:val="002279E7"/>
    <w:rsid w:val="002310A4"/>
    <w:rsid w:val="0023169B"/>
    <w:rsid w:val="002317EB"/>
    <w:rsid w:val="00232206"/>
    <w:rsid w:val="00232247"/>
    <w:rsid w:val="00232434"/>
    <w:rsid w:val="00232658"/>
    <w:rsid w:val="002326D6"/>
    <w:rsid w:val="00232A6F"/>
    <w:rsid w:val="00234C7C"/>
    <w:rsid w:val="002352C5"/>
    <w:rsid w:val="00235596"/>
    <w:rsid w:val="002356AE"/>
    <w:rsid w:val="0023586E"/>
    <w:rsid w:val="00235E80"/>
    <w:rsid w:val="00235FEF"/>
    <w:rsid w:val="002361C8"/>
    <w:rsid w:val="00236286"/>
    <w:rsid w:val="002362D6"/>
    <w:rsid w:val="002366CC"/>
    <w:rsid w:val="00237D6C"/>
    <w:rsid w:val="0024080B"/>
    <w:rsid w:val="00240BE6"/>
    <w:rsid w:val="0024110F"/>
    <w:rsid w:val="00241D5B"/>
    <w:rsid w:val="00242131"/>
    <w:rsid w:val="00242424"/>
    <w:rsid w:val="00242489"/>
    <w:rsid w:val="0024259C"/>
    <w:rsid w:val="00242766"/>
    <w:rsid w:val="00242C87"/>
    <w:rsid w:val="00243371"/>
    <w:rsid w:val="002433B8"/>
    <w:rsid w:val="002442F1"/>
    <w:rsid w:val="002443C1"/>
    <w:rsid w:val="00244C55"/>
    <w:rsid w:val="00244CEE"/>
    <w:rsid w:val="00244E63"/>
    <w:rsid w:val="0024554A"/>
    <w:rsid w:val="00245805"/>
    <w:rsid w:val="00245D64"/>
    <w:rsid w:val="00246184"/>
    <w:rsid w:val="00246334"/>
    <w:rsid w:val="002467B2"/>
    <w:rsid w:val="00246800"/>
    <w:rsid w:val="00246B65"/>
    <w:rsid w:val="00246BEA"/>
    <w:rsid w:val="00247939"/>
    <w:rsid w:val="00247A9F"/>
    <w:rsid w:val="00247C7B"/>
    <w:rsid w:val="00247EAD"/>
    <w:rsid w:val="002502C4"/>
    <w:rsid w:val="002504F7"/>
    <w:rsid w:val="00250888"/>
    <w:rsid w:val="0025123B"/>
    <w:rsid w:val="00251258"/>
    <w:rsid w:val="00251976"/>
    <w:rsid w:val="00251ADE"/>
    <w:rsid w:val="00252169"/>
    <w:rsid w:val="00252251"/>
    <w:rsid w:val="002534C3"/>
    <w:rsid w:val="00253529"/>
    <w:rsid w:val="00253B53"/>
    <w:rsid w:val="00253E79"/>
    <w:rsid w:val="00254286"/>
    <w:rsid w:val="00254C71"/>
    <w:rsid w:val="00254EF2"/>
    <w:rsid w:val="00255001"/>
    <w:rsid w:val="00255884"/>
    <w:rsid w:val="00255A5F"/>
    <w:rsid w:val="00255C35"/>
    <w:rsid w:val="00256CF0"/>
    <w:rsid w:val="00256E11"/>
    <w:rsid w:val="00257340"/>
    <w:rsid w:val="002603CE"/>
    <w:rsid w:val="00260520"/>
    <w:rsid w:val="002606AF"/>
    <w:rsid w:val="0026192E"/>
    <w:rsid w:val="00261CD9"/>
    <w:rsid w:val="00261E45"/>
    <w:rsid w:val="00262BBC"/>
    <w:rsid w:val="0026314D"/>
    <w:rsid w:val="00263904"/>
    <w:rsid w:val="00263C65"/>
    <w:rsid w:val="00263D7F"/>
    <w:rsid w:val="002640B7"/>
    <w:rsid w:val="00264BB4"/>
    <w:rsid w:val="00264D03"/>
    <w:rsid w:val="002656E4"/>
    <w:rsid w:val="00265B6E"/>
    <w:rsid w:val="002660C5"/>
    <w:rsid w:val="00266883"/>
    <w:rsid w:val="00266D53"/>
    <w:rsid w:val="00267188"/>
    <w:rsid w:val="0026730E"/>
    <w:rsid w:val="00267520"/>
    <w:rsid w:val="00267887"/>
    <w:rsid w:val="0026790F"/>
    <w:rsid w:val="00270849"/>
    <w:rsid w:val="00271460"/>
    <w:rsid w:val="0027163F"/>
    <w:rsid w:val="002722BC"/>
    <w:rsid w:val="002727A4"/>
    <w:rsid w:val="00272978"/>
    <w:rsid w:val="0027437B"/>
    <w:rsid w:val="0027465A"/>
    <w:rsid w:val="00275169"/>
    <w:rsid w:val="002752EA"/>
    <w:rsid w:val="00275B06"/>
    <w:rsid w:val="00276105"/>
    <w:rsid w:val="002763AD"/>
    <w:rsid w:val="00276579"/>
    <w:rsid w:val="002769F6"/>
    <w:rsid w:val="002774CB"/>
    <w:rsid w:val="00277A60"/>
    <w:rsid w:val="002803FF"/>
    <w:rsid w:val="00281A5B"/>
    <w:rsid w:val="00282BE0"/>
    <w:rsid w:val="00282E12"/>
    <w:rsid w:val="002830BA"/>
    <w:rsid w:val="002836CE"/>
    <w:rsid w:val="002843D8"/>
    <w:rsid w:val="00284D4E"/>
    <w:rsid w:val="002850C1"/>
    <w:rsid w:val="00285ACA"/>
    <w:rsid w:val="00285CE2"/>
    <w:rsid w:val="0028618F"/>
    <w:rsid w:val="00286EFC"/>
    <w:rsid w:val="002875C2"/>
    <w:rsid w:val="002875F7"/>
    <w:rsid w:val="00287906"/>
    <w:rsid w:val="0029075B"/>
    <w:rsid w:val="00290940"/>
    <w:rsid w:val="00290B1A"/>
    <w:rsid w:val="00290C90"/>
    <w:rsid w:val="00291126"/>
    <w:rsid w:val="00291C58"/>
    <w:rsid w:val="002925E5"/>
    <w:rsid w:val="00292657"/>
    <w:rsid w:val="002929C9"/>
    <w:rsid w:val="00292C96"/>
    <w:rsid w:val="00292F34"/>
    <w:rsid w:val="0029338B"/>
    <w:rsid w:val="0029356E"/>
    <w:rsid w:val="00293609"/>
    <w:rsid w:val="00293BDB"/>
    <w:rsid w:val="0029589E"/>
    <w:rsid w:val="00295EB9"/>
    <w:rsid w:val="002963B2"/>
    <w:rsid w:val="0029656F"/>
    <w:rsid w:val="00296E12"/>
    <w:rsid w:val="00296F66"/>
    <w:rsid w:val="0029702E"/>
    <w:rsid w:val="00297045"/>
    <w:rsid w:val="002976E9"/>
    <w:rsid w:val="00297A74"/>
    <w:rsid w:val="00297B2F"/>
    <w:rsid w:val="00297C24"/>
    <w:rsid w:val="00297EB3"/>
    <w:rsid w:val="002A0456"/>
    <w:rsid w:val="002A0EEF"/>
    <w:rsid w:val="002A11CC"/>
    <w:rsid w:val="002A12AF"/>
    <w:rsid w:val="002A165E"/>
    <w:rsid w:val="002A17D1"/>
    <w:rsid w:val="002A1977"/>
    <w:rsid w:val="002A1EE8"/>
    <w:rsid w:val="002A2216"/>
    <w:rsid w:val="002A2D9E"/>
    <w:rsid w:val="002A2FC6"/>
    <w:rsid w:val="002A341E"/>
    <w:rsid w:val="002A3B8F"/>
    <w:rsid w:val="002A3DF7"/>
    <w:rsid w:val="002A4A86"/>
    <w:rsid w:val="002A4E86"/>
    <w:rsid w:val="002A4ED5"/>
    <w:rsid w:val="002A546E"/>
    <w:rsid w:val="002A5FC7"/>
    <w:rsid w:val="002A6053"/>
    <w:rsid w:val="002A65A5"/>
    <w:rsid w:val="002A730B"/>
    <w:rsid w:val="002A74C4"/>
    <w:rsid w:val="002A7747"/>
    <w:rsid w:val="002A77FB"/>
    <w:rsid w:val="002A7844"/>
    <w:rsid w:val="002A7D2D"/>
    <w:rsid w:val="002B0B01"/>
    <w:rsid w:val="002B0D63"/>
    <w:rsid w:val="002B0E08"/>
    <w:rsid w:val="002B0F6C"/>
    <w:rsid w:val="002B0FEC"/>
    <w:rsid w:val="002B119E"/>
    <w:rsid w:val="002B276D"/>
    <w:rsid w:val="002B2C7F"/>
    <w:rsid w:val="002B316A"/>
    <w:rsid w:val="002B352C"/>
    <w:rsid w:val="002B3ABB"/>
    <w:rsid w:val="002B3B27"/>
    <w:rsid w:val="002B4904"/>
    <w:rsid w:val="002B4A1F"/>
    <w:rsid w:val="002B4BA4"/>
    <w:rsid w:val="002B4E84"/>
    <w:rsid w:val="002B5A27"/>
    <w:rsid w:val="002B5E25"/>
    <w:rsid w:val="002B6E68"/>
    <w:rsid w:val="002B71AF"/>
    <w:rsid w:val="002B753F"/>
    <w:rsid w:val="002B7F45"/>
    <w:rsid w:val="002B7FA8"/>
    <w:rsid w:val="002C07D9"/>
    <w:rsid w:val="002C0AD2"/>
    <w:rsid w:val="002C1362"/>
    <w:rsid w:val="002C1F98"/>
    <w:rsid w:val="002C2F40"/>
    <w:rsid w:val="002C3D3F"/>
    <w:rsid w:val="002C43DE"/>
    <w:rsid w:val="002C4640"/>
    <w:rsid w:val="002C4F98"/>
    <w:rsid w:val="002C564A"/>
    <w:rsid w:val="002C61F0"/>
    <w:rsid w:val="002C669B"/>
    <w:rsid w:val="002C693A"/>
    <w:rsid w:val="002C6B7A"/>
    <w:rsid w:val="002C6D4F"/>
    <w:rsid w:val="002C772B"/>
    <w:rsid w:val="002D0034"/>
    <w:rsid w:val="002D1283"/>
    <w:rsid w:val="002D1D1C"/>
    <w:rsid w:val="002D2462"/>
    <w:rsid w:val="002D378D"/>
    <w:rsid w:val="002D3C07"/>
    <w:rsid w:val="002D3CBE"/>
    <w:rsid w:val="002D46EE"/>
    <w:rsid w:val="002D4FB0"/>
    <w:rsid w:val="002D4FB3"/>
    <w:rsid w:val="002D5516"/>
    <w:rsid w:val="002D5649"/>
    <w:rsid w:val="002D575A"/>
    <w:rsid w:val="002D58C5"/>
    <w:rsid w:val="002D5BFE"/>
    <w:rsid w:val="002D6461"/>
    <w:rsid w:val="002D6F42"/>
    <w:rsid w:val="002D6F85"/>
    <w:rsid w:val="002D729F"/>
    <w:rsid w:val="002D74D9"/>
    <w:rsid w:val="002D77BD"/>
    <w:rsid w:val="002D7A38"/>
    <w:rsid w:val="002D7E2E"/>
    <w:rsid w:val="002E0537"/>
    <w:rsid w:val="002E07D0"/>
    <w:rsid w:val="002E0DE1"/>
    <w:rsid w:val="002E0FD9"/>
    <w:rsid w:val="002E123E"/>
    <w:rsid w:val="002E1446"/>
    <w:rsid w:val="002E1C8B"/>
    <w:rsid w:val="002E25DF"/>
    <w:rsid w:val="002E2B7A"/>
    <w:rsid w:val="002E2D49"/>
    <w:rsid w:val="002E2F72"/>
    <w:rsid w:val="002E3AF5"/>
    <w:rsid w:val="002E3FF9"/>
    <w:rsid w:val="002E4947"/>
    <w:rsid w:val="002E4FAD"/>
    <w:rsid w:val="002E5A9A"/>
    <w:rsid w:val="002E5E6E"/>
    <w:rsid w:val="002E6E6A"/>
    <w:rsid w:val="002E729B"/>
    <w:rsid w:val="002E7E9E"/>
    <w:rsid w:val="002E7F18"/>
    <w:rsid w:val="002E7F79"/>
    <w:rsid w:val="002F07F2"/>
    <w:rsid w:val="002F1579"/>
    <w:rsid w:val="002F16E2"/>
    <w:rsid w:val="002F19CE"/>
    <w:rsid w:val="002F1ADA"/>
    <w:rsid w:val="002F1F4F"/>
    <w:rsid w:val="002F1FF7"/>
    <w:rsid w:val="002F3265"/>
    <w:rsid w:val="002F328C"/>
    <w:rsid w:val="002F3636"/>
    <w:rsid w:val="002F3F82"/>
    <w:rsid w:val="002F47D8"/>
    <w:rsid w:val="002F4A18"/>
    <w:rsid w:val="002F528B"/>
    <w:rsid w:val="002F57F3"/>
    <w:rsid w:val="002F5E99"/>
    <w:rsid w:val="002F66BC"/>
    <w:rsid w:val="002F673C"/>
    <w:rsid w:val="002F68F3"/>
    <w:rsid w:val="002F7506"/>
    <w:rsid w:val="002F7551"/>
    <w:rsid w:val="002F763A"/>
    <w:rsid w:val="002F78A7"/>
    <w:rsid w:val="002F798D"/>
    <w:rsid w:val="002F7B00"/>
    <w:rsid w:val="002F7BA9"/>
    <w:rsid w:val="00301498"/>
    <w:rsid w:val="0030174A"/>
    <w:rsid w:val="003025A9"/>
    <w:rsid w:val="0030318B"/>
    <w:rsid w:val="003032AC"/>
    <w:rsid w:val="003036EF"/>
    <w:rsid w:val="003039BE"/>
    <w:rsid w:val="00303D5E"/>
    <w:rsid w:val="00303F96"/>
    <w:rsid w:val="0030422E"/>
    <w:rsid w:val="00304613"/>
    <w:rsid w:val="00304FA9"/>
    <w:rsid w:val="003050C1"/>
    <w:rsid w:val="003050C3"/>
    <w:rsid w:val="003051D4"/>
    <w:rsid w:val="00305563"/>
    <w:rsid w:val="003058F7"/>
    <w:rsid w:val="00305A8C"/>
    <w:rsid w:val="00305BE4"/>
    <w:rsid w:val="00306D9B"/>
    <w:rsid w:val="0031006E"/>
    <w:rsid w:val="003103C3"/>
    <w:rsid w:val="00310F61"/>
    <w:rsid w:val="00311594"/>
    <w:rsid w:val="003118D3"/>
    <w:rsid w:val="0031195F"/>
    <w:rsid w:val="00312046"/>
    <w:rsid w:val="00312256"/>
    <w:rsid w:val="00312518"/>
    <w:rsid w:val="00312794"/>
    <w:rsid w:val="00312FC2"/>
    <w:rsid w:val="003136C7"/>
    <w:rsid w:val="00313DD7"/>
    <w:rsid w:val="0031406E"/>
    <w:rsid w:val="003151F8"/>
    <w:rsid w:val="00315211"/>
    <w:rsid w:val="003152E4"/>
    <w:rsid w:val="00315593"/>
    <w:rsid w:val="0031611C"/>
    <w:rsid w:val="00316684"/>
    <w:rsid w:val="00316913"/>
    <w:rsid w:val="00316E8D"/>
    <w:rsid w:val="00316F3B"/>
    <w:rsid w:val="00317317"/>
    <w:rsid w:val="003173AA"/>
    <w:rsid w:val="003173F1"/>
    <w:rsid w:val="00317797"/>
    <w:rsid w:val="00317B82"/>
    <w:rsid w:val="00317C83"/>
    <w:rsid w:val="0032053F"/>
    <w:rsid w:val="00320A35"/>
    <w:rsid w:val="00320AE7"/>
    <w:rsid w:val="00320AF0"/>
    <w:rsid w:val="0032112C"/>
    <w:rsid w:val="00321345"/>
    <w:rsid w:val="003218BC"/>
    <w:rsid w:val="00321DD6"/>
    <w:rsid w:val="00322194"/>
    <w:rsid w:val="003222B8"/>
    <w:rsid w:val="003231B3"/>
    <w:rsid w:val="00324756"/>
    <w:rsid w:val="003249CA"/>
    <w:rsid w:val="00324AA2"/>
    <w:rsid w:val="0032591B"/>
    <w:rsid w:val="00325C00"/>
    <w:rsid w:val="003263A6"/>
    <w:rsid w:val="003265F8"/>
    <w:rsid w:val="0032673D"/>
    <w:rsid w:val="00326848"/>
    <w:rsid w:val="00327696"/>
    <w:rsid w:val="003277BB"/>
    <w:rsid w:val="003303CB"/>
    <w:rsid w:val="0033056B"/>
    <w:rsid w:val="00330818"/>
    <w:rsid w:val="00330DAC"/>
    <w:rsid w:val="00331477"/>
    <w:rsid w:val="00331A54"/>
    <w:rsid w:val="00331B1D"/>
    <w:rsid w:val="00331E40"/>
    <w:rsid w:val="003338BC"/>
    <w:rsid w:val="003342AA"/>
    <w:rsid w:val="003343B9"/>
    <w:rsid w:val="003350E9"/>
    <w:rsid w:val="00335490"/>
    <w:rsid w:val="00335DD4"/>
    <w:rsid w:val="003366E8"/>
    <w:rsid w:val="00336767"/>
    <w:rsid w:val="0033706E"/>
    <w:rsid w:val="00337438"/>
    <w:rsid w:val="00337595"/>
    <w:rsid w:val="003378AA"/>
    <w:rsid w:val="00337C5C"/>
    <w:rsid w:val="0034009D"/>
    <w:rsid w:val="0034026F"/>
    <w:rsid w:val="003404DC"/>
    <w:rsid w:val="00340A91"/>
    <w:rsid w:val="003415E3"/>
    <w:rsid w:val="0034277A"/>
    <w:rsid w:val="003428B4"/>
    <w:rsid w:val="00342F44"/>
    <w:rsid w:val="00343D36"/>
    <w:rsid w:val="00343F19"/>
    <w:rsid w:val="00343FEE"/>
    <w:rsid w:val="003440F7"/>
    <w:rsid w:val="00344378"/>
    <w:rsid w:val="00344980"/>
    <w:rsid w:val="00344C4A"/>
    <w:rsid w:val="00344CC2"/>
    <w:rsid w:val="00345202"/>
    <w:rsid w:val="00345793"/>
    <w:rsid w:val="00345DD8"/>
    <w:rsid w:val="003469D2"/>
    <w:rsid w:val="00346CC8"/>
    <w:rsid w:val="00346E26"/>
    <w:rsid w:val="00347382"/>
    <w:rsid w:val="00347817"/>
    <w:rsid w:val="003478B6"/>
    <w:rsid w:val="0035011A"/>
    <w:rsid w:val="0035060D"/>
    <w:rsid w:val="00350BD1"/>
    <w:rsid w:val="00351FE6"/>
    <w:rsid w:val="003520C3"/>
    <w:rsid w:val="003523AC"/>
    <w:rsid w:val="00352D8A"/>
    <w:rsid w:val="0035302F"/>
    <w:rsid w:val="003530A4"/>
    <w:rsid w:val="00353686"/>
    <w:rsid w:val="00354502"/>
    <w:rsid w:val="0035470B"/>
    <w:rsid w:val="00354AC7"/>
    <w:rsid w:val="003553CF"/>
    <w:rsid w:val="003555D0"/>
    <w:rsid w:val="00355B52"/>
    <w:rsid w:val="00355D57"/>
    <w:rsid w:val="0035603D"/>
    <w:rsid w:val="0035622D"/>
    <w:rsid w:val="00356309"/>
    <w:rsid w:val="003569AB"/>
    <w:rsid w:val="00356C2C"/>
    <w:rsid w:val="00356D3D"/>
    <w:rsid w:val="00357349"/>
    <w:rsid w:val="00357909"/>
    <w:rsid w:val="00357A75"/>
    <w:rsid w:val="00357B36"/>
    <w:rsid w:val="00360010"/>
    <w:rsid w:val="00360721"/>
    <w:rsid w:val="00360E17"/>
    <w:rsid w:val="0036161A"/>
    <w:rsid w:val="003619A6"/>
    <w:rsid w:val="00362220"/>
    <w:rsid w:val="00362F79"/>
    <w:rsid w:val="003631C2"/>
    <w:rsid w:val="00363266"/>
    <w:rsid w:val="00363744"/>
    <w:rsid w:val="00363EF1"/>
    <w:rsid w:val="0036438B"/>
    <w:rsid w:val="00364A7C"/>
    <w:rsid w:val="00364B1C"/>
    <w:rsid w:val="00364ECB"/>
    <w:rsid w:val="003657B4"/>
    <w:rsid w:val="00365DE4"/>
    <w:rsid w:val="00365E63"/>
    <w:rsid w:val="00366C96"/>
    <w:rsid w:val="003676A6"/>
    <w:rsid w:val="00367F6D"/>
    <w:rsid w:val="003700FF"/>
    <w:rsid w:val="00370114"/>
    <w:rsid w:val="00372209"/>
    <w:rsid w:val="00372241"/>
    <w:rsid w:val="00372A19"/>
    <w:rsid w:val="00372E76"/>
    <w:rsid w:val="003734EC"/>
    <w:rsid w:val="00373688"/>
    <w:rsid w:val="00373694"/>
    <w:rsid w:val="00373B39"/>
    <w:rsid w:val="003745FB"/>
    <w:rsid w:val="003748CE"/>
    <w:rsid w:val="003753B6"/>
    <w:rsid w:val="00375489"/>
    <w:rsid w:val="00375491"/>
    <w:rsid w:val="0037555C"/>
    <w:rsid w:val="0037585A"/>
    <w:rsid w:val="00375B86"/>
    <w:rsid w:val="00376333"/>
    <w:rsid w:val="0037684D"/>
    <w:rsid w:val="00376892"/>
    <w:rsid w:val="0038030C"/>
    <w:rsid w:val="00380F3E"/>
    <w:rsid w:val="003813E9"/>
    <w:rsid w:val="0038192D"/>
    <w:rsid w:val="00381DE7"/>
    <w:rsid w:val="00381F5A"/>
    <w:rsid w:val="003827D6"/>
    <w:rsid w:val="00382AFB"/>
    <w:rsid w:val="00382B6D"/>
    <w:rsid w:val="00382B7A"/>
    <w:rsid w:val="003830CA"/>
    <w:rsid w:val="0038358D"/>
    <w:rsid w:val="0038396A"/>
    <w:rsid w:val="00383DE4"/>
    <w:rsid w:val="003849B5"/>
    <w:rsid w:val="00384D8A"/>
    <w:rsid w:val="00384FAD"/>
    <w:rsid w:val="003857B3"/>
    <w:rsid w:val="003859F5"/>
    <w:rsid w:val="00385A9F"/>
    <w:rsid w:val="00385B43"/>
    <w:rsid w:val="00385B7F"/>
    <w:rsid w:val="00385EC8"/>
    <w:rsid w:val="003862B2"/>
    <w:rsid w:val="00386788"/>
    <w:rsid w:val="00386A30"/>
    <w:rsid w:val="00386B1E"/>
    <w:rsid w:val="00387D6C"/>
    <w:rsid w:val="003900D5"/>
    <w:rsid w:val="003902B4"/>
    <w:rsid w:val="003903DC"/>
    <w:rsid w:val="0039081D"/>
    <w:rsid w:val="003909C1"/>
    <w:rsid w:val="003915BA"/>
    <w:rsid w:val="0039305F"/>
    <w:rsid w:val="003934CE"/>
    <w:rsid w:val="003937FF"/>
    <w:rsid w:val="00393859"/>
    <w:rsid w:val="0039407A"/>
    <w:rsid w:val="0039424D"/>
    <w:rsid w:val="00394925"/>
    <w:rsid w:val="00394CA5"/>
    <w:rsid w:val="0039528F"/>
    <w:rsid w:val="00395473"/>
    <w:rsid w:val="003956ED"/>
    <w:rsid w:val="00396145"/>
    <w:rsid w:val="003965F9"/>
    <w:rsid w:val="0039665F"/>
    <w:rsid w:val="00396EE5"/>
    <w:rsid w:val="003A0601"/>
    <w:rsid w:val="003A0A94"/>
    <w:rsid w:val="003A0BE0"/>
    <w:rsid w:val="003A0F7F"/>
    <w:rsid w:val="003A1222"/>
    <w:rsid w:val="003A205D"/>
    <w:rsid w:val="003A224A"/>
    <w:rsid w:val="003A237D"/>
    <w:rsid w:val="003A2790"/>
    <w:rsid w:val="003A339F"/>
    <w:rsid w:val="003A3F8D"/>
    <w:rsid w:val="003A458A"/>
    <w:rsid w:val="003A48E7"/>
    <w:rsid w:val="003A494C"/>
    <w:rsid w:val="003A4A50"/>
    <w:rsid w:val="003A5058"/>
    <w:rsid w:val="003A56AD"/>
    <w:rsid w:val="003A5E49"/>
    <w:rsid w:val="003A616B"/>
    <w:rsid w:val="003A72F2"/>
    <w:rsid w:val="003B001E"/>
    <w:rsid w:val="003B083A"/>
    <w:rsid w:val="003B1092"/>
    <w:rsid w:val="003B114F"/>
    <w:rsid w:val="003B17CE"/>
    <w:rsid w:val="003B1AE9"/>
    <w:rsid w:val="003B1BBD"/>
    <w:rsid w:val="003B1CA2"/>
    <w:rsid w:val="003B28A1"/>
    <w:rsid w:val="003B2B5C"/>
    <w:rsid w:val="003B3120"/>
    <w:rsid w:val="003B3A1E"/>
    <w:rsid w:val="003B3A7B"/>
    <w:rsid w:val="003B3E2F"/>
    <w:rsid w:val="003B4807"/>
    <w:rsid w:val="003B4D1B"/>
    <w:rsid w:val="003B5191"/>
    <w:rsid w:val="003B5829"/>
    <w:rsid w:val="003B5CC6"/>
    <w:rsid w:val="003B6EDC"/>
    <w:rsid w:val="003B79C4"/>
    <w:rsid w:val="003B7E55"/>
    <w:rsid w:val="003C0BB4"/>
    <w:rsid w:val="003C0D22"/>
    <w:rsid w:val="003C17F9"/>
    <w:rsid w:val="003C199E"/>
    <w:rsid w:val="003C1A0D"/>
    <w:rsid w:val="003C1EC5"/>
    <w:rsid w:val="003C34EA"/>
    <w:rsid w:val="003C38F9"/>
    <w:rsid w:val="003C393D"/>
    <w:rsid w:val="003C3A60"/>
    <w:rsid w:val="003C4080"/>
    <w:rsid w:val="003C43B5"/>
    <w:rsid w:val="003C46E7"/>
    <w:rsid w:val="003C4882"/>
    <w:rsid w:val="003C4BE3"/>
    <w:rsid w:val="003C4D6A"/>
    <w:rsid w:val="003C4E9F"/>
    <w:rsid w:val="003C4F2E"/>
    <w:rsid w:val="003C5A44"/>
    <w:rsid w:val="003C5C2B"/>
    <w:rsid w:val="003C6292"/>
    <w:rsid w:val="003C6875"/>
    <w:rsid w:val="003C68C2"/>
    <w:rsid w:val="003C73C9"/>
    <w:rsid w:val="003C779E"/>
    <w:rsid w:val="003D0082"/>
    <w:rsid w:val="003D0438"/>
    <w:rsid w:val="003D0916"/>
    <w:rsid w:val="003D0AD9"/>
    <w:rsid w:val="003D0CAB"/>
    <w:rsid w:val="003D1AC0"/>
    <w:rsid w:val="003D1C65"/>
    <w:rsid w:val="003D1E94"/>
    <w:rsid w:val="003D278A"/>
    <w:rsid w:val="003D2A5D"/>
    <w:rsid w:val="003D2F3F"/>
    <w:rsid w:val="003D4159"/>
    <w:rsid w:val="003D427E"/>
    <w:rsid w:val="003D4287"/>
    <w:rsid w:val="003D4BFB"/>
    <w:rsid w:val="003D4C25"/>
    <w:rsid w:val="003D4E51"/>
    <w:rsid w:val="003D562F"/>
    <w:rsid w:val="003D5AD9"/>
    <w:rsid w:val="003D6174"/>
    <w:rsid w:val="003D648B"/>
    <w:rsid w:val="003D6FFF"/>
    <w:rsid w:val="003D73A1"/>
    <w:rsid w:val="003E005F"/>
    <w:rsid w:val="003E054D"/>
    <w:rsid w:val="003E0623"/>
    <w:rsid w:val="003E07AE"/>
    <w:rsid w:val="003E0E41"/>
    <w:rsid w:val="003E0E6D"/>
    <w:rsid w:val="003E14AD"/>
    <w:rsid w:val="003E180D"/>
    <w:rsid w:val="003E1DFC"/>
    <w:rsid w:val="003E2074"/>
    <w:rsid w:val="003E2223"/>
    <w:rsid w:val="003E286D"/>
    <w:rsid w:val="003E2A04"/>
    <w:rsid w:val="003E2B03"/>
    <w:rsid w:val="003E3FF7"/>
    <w:rsid w:val="003E400C"/>
    <w:rsid w:val="003E40C3"/>
    <w:rsid w:val="003E420C"/>
    <w:rsid w:val="003E471F"/>
    <w:rsid w:val="003E49E3"/>
    <w:rsid w:val="003E5317"/>
    <w:rsid w:val="003E5367"/>
    <w:rsid w:val="003E53C2"/>
    <w:rsid w:val="003E56B2"/>
    <w:rsid w:val="003E60CC"/>
    <w:rsid w:val="003E6842"/>
    <w:rsid w:val="003E6FF0"/>
    <w:rsid w:val="003E7192"/>
    <w:rsid w:val="003E722C"/>
    <w:rsid w:val="003E76EF"/>
    <w:rsid w:val="003E7C3F"/>
    <w:rsid w:val="003E7D1B"/>
    <w:rsid w:val="003F014C"/>
    <w:rsid w:val="003F0C55"/>
    <w:rsid w:val="003F11C1"/>
    <w:rsid w:val="003F18A0"/>
    <w:rsid w:val="003F191D"/>
    <w:rsid w:val="003F1983"/>
    <w:rsid w:val="003F2E5A"/>
    <w:rsid w:val="003F2EBE"/>
    <w:rsid w:val="003F35AF"/>
    <w:rsid w:val="003F3746"/>
    <w:rsid w:val="003F39C8"/>
    <w:rsid w:val="003F3D79"/>
    <w:rsid w:val="003F4221"/>
    <w:rsid w:val="003F4262"/>
    <w:rsid w:val="003F505A"/>
    <w:rsid w:val="003F505B"/>
    <w:rsid w:val="003F5242"/>
    <w:rsid w:val="003F5FC4"/>
    <w:rsid w:val="003F660C"/>
    <w:rsid w:val="003F6DA6"/>
    <w:rsid w:val="003F7BEE"/>
    <w:rsid w:val="003F7C0F"/>
    <w:rsid w:val="003F7D74"/>
    <w:rsid w:val="003F7EC3"/>
    <w:rsid w:val="0040033B"/>
    <w:rsid w:val="00400D76"/>
    <w:rsid w:val="00400F95"/>
    <w:rsid w:val="00401CCA"/>
    <w:rsid w:val="0040202B"/>
    <w:rsid w:val="00402135"/>
    <w:rsid w:val="00402426"/>
    <w:rsid w:val="00402AFE"/>
    <w:rsid w:val="00403942"/>
    <w:rsid w:val="004039E7"/>
    <w:rsid w:val="00404C1C"/>
    <w:rsid w:val="00405E51"/>
    <w:rsid w:val="00406334"/>
    <w:rsid w:val="00406C91"/>
    <w:rsid w:val="00406F6F"/>
    <w:rsid w:val="004070B9"/>
    <w:rsid w:val="004074AC"/>
    <w:rsid w:val="00407C49"/>
    <w:rsid w:val="00407FB9"/>
    <w:rsid w:val="004102CE"/>
    <w:rsid w:val="004103FC"/>
    <w:rsid w:val="0041071F"/>
    <w:rsid w:val="004108D1"/>
    <w:rsid w:val="004108DB"/>
    <w:rsid w:val="00410C19"/>
    <w:rsid w:val="004110C3"/>
    <w:rsid w:val="004119AD"/>
    <w:rsid w:val="00411D6D"/>
    <w:rsid w:val="00412515"/>
    <w:rsid w:val="00412688"/>
    <w:rsid w:val="00412BAC"/>
    <w:rsid w:val="0041316E"/>
    <w:rsid w:val="00413639"/>
    <w:rsid w:val="0041394B"/>
    <w:rsid w:val="00413F92"/>
    <w:rsid w:val="00414091"/>
    <w:rsid w:val="00414426"/>
    <w:rsid w:val="00414617"/>
    <w:rsid w:val="00414663"/>
    <w:rsid w:val="00416AC6"/>
    <w:rsid w:val="00416ADE"/>
    <w:rsid w:val="0041732D"/>
    <w:rsid w:val="004173FC"/>
    <w:rsid w:val="00417D06"/>
    <w:rsid w:val="00417FD0"/>
    <w:rsid w:val="00417FFB"/>
    <w:rsid w:val="00420375"/>
    <w:rsid w:val="004206FB"/>
    <w:rsid w:val="00420BF6"/>
    <w:rsid w:val="00420DDB"/>
    <w:rsid w:val="00420FEB"/>
    <w:rsid w:val="004211BA"/>
    <w:rsid w:val="0042138C"/>
    <w:rsid w:val="00421755"/>
    <w:rsid w:val="00421BE7"/>
    <w:rsid w:val="00421E22"/>
    <w:rsid w:val="00422084"/>
    <w:rsid w:val="00422517"/>
    <w:rsid w:val="00422F73"/>
    <w:rsid w:val="004236AA"/>
    <w:rsid w:val="00423BCB"/>
    <w:rsid w:val="004241AA"/>
    <w:rsid w:val="004243E4"/>
    <w:rsid w:val="00424775"/>
    <w:rsid w:val="00424B24"/>
    <w:rsid w:val="00424C87"/>
    <w:rsid w:val="00424D6A"/>
    <w:rsid w:val="00425202"/>
    <w:rsid w:val="0042529C"/>
    <w:rsid w:val="004254DA"/>
    <w:rsid w:val="004258EE"/>
    <w:rsid w:val="00425E5A"/>
    <w:rsid w:val="00426434"/>
    <w:rsid w:val="00426905"/>
    <w:rsid w:val="00426BEF"/>
    <w:rsid w:val="00426CF7"/>
    <w:rsid w:val="0042709E"/>
    <w:rsid w:val="00427636"/>
    <w:rsid w:val="00427996"/>
    <w:rsid w:val="00427A44"/>
    <w:rsid w:val="00427CC4"/>
    <w:rsid w:val="00427F5E"/>
    <w:rsid w:val="00427FC2"/>
    <w:rsid w:val="004300DD"/>
    <w:rsid w:val="004305BA"/>
    <w:rsid w:val="00430823"/>
    <w:rsid w:val="00430BD2"/>
    <w:rsid w:val="00431B64"/>
    <w:rsid w:val="00431FE8"/>
    <w:rsid w:val="004324EA"/>
    <w:rsid w:val="00432A25"/>
    <w:rsid w:val="00433504"/>
    <w:rsid w:val="004336F3"/>
    <w:rsid w:val="00434144"/>
    <w:rsid w:val="0043416B"/>
    <w:rsid w:val="004342C0"/>
    <w:rsid w:val="0043433B"/>
    <w:rsid w:val="00434876"/>
    <w:rsid w:val="004356ED"/>
    <w:rsid w:val="00435769"/>
    <w:rsid w:val="004357CE"/>
    <w:rsid w:val="00435A5C"/>
    <w:rsid w:val="0043715F"/>
    <w:rsid w:val="004372A9"/>
    <w:rsid w:val="0043744C"/>
    <w:rsid w:val="00437695"/>
    <w:rsid w:val="00437A7F"/>
    <w:rsid w:val="00437CE8"/>
    <w:rsid w:val="00437CFC"/>
    <w:rsid w:val="00437D48"/>
    <w:rsid w:val="00440AD2"/>
    <w:rsid w:val="00440B2C"/>
    <w:rsid w:val="00440B2D"/>
    <w:rsid w:val="00440EC4"/>
    <w:rsid w:val="00441EC9"/>
    <w:rsid w:val="00442AE3"/>
    <w:rsid w:val="00444341"/>
    <w:rsid w:val="00444C51"/>
    <w:rsid w:val="00444C8C"/>
    <w:rsid w:val="00445922"/>
    <w:rsid w:val="00445AB2"/>
    <w:rsid w:val="00445D90"/>
    <w:rsid w:val="00445F37"/>
    <w:rsid w:val="00447046"/>
    <w:rsid w:val="004503C0"/>
    <w:rsid w:val="00450E3E"/>
    <w:rsid w:val="00451C23"/>
    <w:rsid w:val="00451E80"/>
    <w:rsid w:val="00452C26"/>
    <w:rsid w:val="00452F3D"/>
    <w:rsid w:val="004532A0"/>
    <w:rsid w:val="00453AEE"/>
    <w:rsid w:val="00453CC6"/>
    <w:rsid w:val="00453D0B"/>
    <w:rsid w:val="00453F40"/>
    <w:rsid w:val="00454301"/>
    <w:rsid w:val="004544AB"/>
    <w:rsid w:val="00454896"/>
    <w:rsid w:val="004557CE"/>
    <w:rsid w:val="00455D17"/>
    <w:rsid w:val="0045643B"/>
    <w:rsid w:val="0045756B"/>
    <w:rsid w:val="0046008E"/>
    <w:rsid w:val="00460365"/>
    <w:rsid w:val="0046047B"/>
    <w:rsid w:val="004616EB"/>
    <w:rsid w:val="004618B6"/>
    <w:rsid w:val="00461EF9"/>
    <w:rsid w:val="004621DA"/>
    <w:rsid w:val="004628C9"/>
    <w:rsid w:val="00462A7B"/>
    <w:rsid w:val="00462C84"/>
    <w:rsid w:val="00463318"/>
    <w:rsid w:val="00464958"/>
    <w:rsid w:val="00464E85"/>
    <w:rsid w:val="00465BF0"/>
    <w:rsid w:val="0046604A"/>
    <w:rsid w:val="00466143"/>
    <w:rsid w:val="0046645E"/>
    <w:rsid w:val="00466510"/>
    <w:rsid w:val="00466EE7"/>
    <w:rsid w:val="00467219"/>
    <w:rsid w:val="00467876"/>
    <w:rsid w:val="0047127D"/>
    <w:rsid w:val="00471383"/>
    <w:rsid w:val="00471652"/>
    <w:rsid w:val="00471D3D"/>
    <w:rsid w:val="00471D96"/>
    <w:rsid w:val="00472311"/>
    <w:rsid w:val="00472497"/>
    <w:rsid w:val="004729F2"/>
    <w:rsid w:val="00472A38"/>
    <w:rsid w:val="00473106"/>
    <w:rsid w:val="0047450C"/>
    <w:rsid w:val="004748FF"/>
    <w:rsid w:val="00474B2C"/>
    <w:rsid w:val="00474C4F"/>
    <w:rsid w:val="004751B1"/>
    <w:rsid w:val="00475321"/>
    <w:rsid w:val="00475373"/>
    <w:rsid w:val="00475E88"/>
    <w:rsid w:val="00476F1E"/>
    <w:rsid w:val="004776D6"/>
    <w:rsid w:val="00477E87"/>
    <w:rsid w:val="0048009E"/>
    <w:rsid w:val="00480682"/>
    <w:rsid w:val="00480EBA"/>
    <w:rsid w:val="004818B8"/>
    <w:rsid w:val="004830FC"/>
    <w:rsid w:val="004838FC"/>
    <w:rsid w:val="00483E62"/>
    <w:rsid w:val="00484B69"/>
    <w:rsid w:val="004858E0"/>
    <w:rsid w:val="00485D5D"/>
    <w:rsid w:val="00486202"/>
    <w:rsid w:val="00486CBB"/>
    <w:rsid w:val="00487E5E"/>
    <w:rsid w:val="004901AD"/>
    <w:rsid w:val="004909B5"/>
    <w:rsid w:val="00490A07"/>
    <w:rsid w:val="00490A6C"/>
    <w:rsid w:val="00490EE0"/>
    <w:rsid w:val="00491189"/>
    <w:rsid w:val="00491794"/>
    <w:rsid w:val="00491806"/>
    <w:rsid w:val="00492815"/>
    <w:rsid w:val="00492A9E"/>
    <w:rsid w:val="00492ABB"/>
    <w:rsid w:val="00492BFD"/>
    <w:rsid w:val="0049317C"/>
    <w:rsid w:val="004939C3"/>
    <w:rsid w:val="00493FEE"/>
    <w:rsid w:val="004942C5"/>
    <w:rsid w:val="004942E9"/>
    <w:rsid w:val="00495656"/>
    <w:rsid w:val="00495818"/>
    <w:rsid w:val="00495CBB"/>
    <w:rsid w:val="00495D72"/>
    <w:rsid w:val="004965D3"/>
    <w:rsid w:val="00496D71"/>
    <w:rsid w:val="00496EDA"/>
    <w:rsid w:val="0049704C"/>
    <w:rsid w:val="004971A8"/>
    <w:rsid w:val="00497479"/>
    <w:rsid w:val="00497688"/>
    <w:rsid w:val="004A0F51"/>
    <w:rsid w:val="004A1662"/>
    <w:rsid w:val="004A1959"/>
    <w:rsid w:val="004A1B8F"/>
    <w:rsid w:val="004A3378"/>
    <w:rsid w:val="004A44B2"/>
    <w:rsid w:val="004A463A"/>
    <w:rsid w:val="004A46DE"/>
    <w:rsid w:val="004A476F"/>
    <w:rsid w:val="004A4950"/>
    <w:rsid w:val="004A5065"/>
    <w:rsid w:val="004A57C2"/>
    <w:rsid w:val="004A63FD"/>
    <w:rsid w:val="004A6B3F"/>
    <w:rsid w:val="004A6E5B"/>
    <w:rsid w:val="004A73BF"/>
    <w:rsid w:val="004A7ADA"/>
    <w:rsid w:val="004A7E46"/>
    <w:rsid w:val="004B0228"/>
    <w:rsid w:val="004B0A7A"/>
    <w:rsid w:val="004B15FA"/>
    <w:rsid w:val="004B1B57"/>
    <w:rsid w:val="004B1BED"/>
    <w:rsid w:val="004B1E7D"/>
    <w:rsid w:val="004B2FA4"/>
    <w:rsid w:val="004B328B"/>
    <w:rsid w:val="004B353B"/>
    <w:rsid w:val="004B385E"/>
    <w:rsid w:val="004B40DF"/>
    <w:rsid w:val="004B4347"/>
    <w:rsid w:val="004B43F6"/>
    <w:rsid w:val="004B44AE"/>
    <w:rsid w:val="004B49D2"/>
    <w:rsid w:val="004B4A6D"/>
    <w:rsid w:val="004B4B11"/>
    <w:rsid w:val="004B5034"/>
    <w:rsid w:val="004B533F"/>
    <w:rsid w:val="004B5500"/>
    <w:rsid w:val="004B62F1"/>
    <w:rsid w:val="004B6432"/>
    <w:rsid w:val="004B6E70"/>
    <w:rsid w:val="004B6ED5"/>
    <w:rsid w:val="004B722E"/>
    <w:rsid w:val="004B78C8"/>
    <w:rsid w:val="004C0003"/>
    <w:rsid w:val="004C0B97"/>
    <w:rsid w:val="004C0BE5"/>
    <w:rsid w:val="004C0D59"/>
    <w:rsid w:val="004C0FA4"/>
    <w:rsid w:val="004C1571"/>
    <w:rsid w:val="004C1AAD"/>
    <w:rsid w:val="004C1F4E"/>
    <w:rsid w:val="004C1FC0"/>
    <w:rsid w:val="004C21A8"/>
    <w:rsid w:val="004C258C"/>
    <w:rsid w:val="004C298E"/>
    <w:rsid w:val="004C31C3"/>
    <w:rsid w:val="004C3AE7"/>
    <w:rsid w:val="004C3C09"/>
    <w:rsid w:val="004C3F89"/>
    <w:rsid w:val="004C40A9"/>
    <w:rsid w:val="004C4530"/>
    <w:rsid w:val="004C4E35"/>
    <w:rsid w:val="004C53CE"/>
    <w:rsid w:val="004C5590"/>
    <w:rsid w:val="004C55DD"/>
    <w:rsid w:val="004C61E3"/>
    <w:rsid w:val="004C6789"/>
    <w:rsid w:val="004C7398"/>
    <w:rsid w:val="004D0234"/>
    <w:rsid w:val="004D0AB8"/>
    <w:rsid w:val="004D0DE0"/>
    <w:rsid w:val="004D16AF"/>
    <w:rsid w:val="004D17EF"/>
    <w:rsid w:val="004D187B"/>
    <w:rsid w:val="004D1946"/>
    <w:rsid w:val="004D1FBB"/>
    <w:rsid w:val="004D21DF"/>
    <w:rsid w:val="004D2420"/>
    <w:rsid w:val="004D2865"/>
    <w:rsid w:val="004D30B5"/>
    <w:rsid w:val="004D34FE"/>
    <w:rsid w:val="004D47DB"/>
    <w:rsid w:val="004D47FF"/>
    <w:rsid w:val="004D4BE8"/>
    <w:rsid w:val="004D5258"/>
    <w:rsid w:val="004D59CA"/>
    <w:rsid w:val="004D5C8B"/>
    <w:rsid w:val="004E054F"/>
    <w:rsid w:val="004E0DD1"/>
    <w:rsid w:val="004E11B6"/>
    <w:rsid w:val="004E14DC"/>
    <w:rsid w:val="004E171E"/>
    <w:rsid w:val="004E218F"/>
    <w:rsid w:val="004E258C"/>
    <w:rsid w:val="004E2595"/>
    <w:rsid w:val="004E2598"/>
    <w:rsid w:val="004E26E8"/>
    <w:rsid w:val="004E2FDA"/>
    <w:rsid w:val="004E3852"/>
    <w:rsid w:val="004E4CEB"/>
    <w:rsid w:val="004E4F99"/>
    <w:rsid w:val="004E5317"/>
    <w:rsid w:val="004E591C"/>
    <w:rsid w:val="004E6334"/>
    <w:rsid w:val="004E6471"/>
    <w:rsid w:val="004E6BBB"/>
    <w:rsid w:val="004E6D0C"/>
    <w:rsid w:val="004E6F9A"/>
    <w:rsid w:val="004E7A1A"/>
    <w:rsid w:val="004E7EC4"/>
    <w:rsid w:val="004E7FF8"/>
    <w:rsid w:val="004F0359"/>
    <w:rsid w:val="004F04CD"/>
    <w:rsid w:val="004F06AB"/>
    <w:rsid w:val="004F071F"/>
    <w:rsid w:val="004F0959"/>
    <w:rsid w:val="004F09C4"/>
    <w:rsid w:val="004F0CEA"/>
    <w:rsid w:val="004F1095"/>
    <w:rsid w:val="004F1204"/>
    <w:rsid w:val="004F1378"/>
    <w:rsid w:val="004F16FD"/>
    <w:rsid w:val="004F19AA"/>
    <w:rsid w:val="004F204C"/>
    <w:rsid w:val="004F27A6"/>
    <w:rsid w:val="004F2AA5"/>
    <w:rsid w:val="004F2D62"/>
    <w:rsid w:val="004F362C"/>
    <w:rsid w:val="004F3977"/>
    <w:rsid w:val="004F415C"/>
    <w:rsid w:val="004F422A"/>
    <w:rsid w:val="004F44D7"/>
    <w:rsid w:val="004F44DE"/>
    <w:rsid w:val="004F4DE7"/>
    <w:rsid w:val="004F4FD2"/>
    <w:rsid w:val="004F51B4"/>
    <w:rsid w:val="004F52D0"/>
    <w:rsid w:val="004F5300"/>
    <w:rsid w:val="004F6033"/>
    <w:rsid w:val="004F6860"/>
    <w:rsid w:val="004F6CB8"/>
    <w:rsid w:val="004F6D8A"/>
    <w:rsid w:val="004F6F50"/>
    <w:rsid w:val="004F736F"/>
    <w:rsid w:val="004F7B36"/>
    <w:rsid w:val="004F7E33"/>
    <w:rsid w:val="005006F2"/>
    <w:rsid w:val="00500BA2"/>
    <w:rsid w:val="00500BEE"/>
    <w:rsid w:val="005018E0"/>
    <w:rsid w:val="00501A1A"/>
    <w:rsid w:val="00501B26"/>
    <w:rsid w:val="00502415"/>
    <w:rsid w:val="00503237"/>
    <w:rsid w:val="00503AB9"/>
    <w:rsid w:val="00503B05"/>
    <w:rsid w:val="00503F16"/>
    <w:rsid w:val="005045C2"/>
    <w:rsid w:val="00504B04"/>
    <w:rsid w:val="00504BA9"/>
    <w:rsid w:val="00505271"/>
    <w:rsid w:val="00505A59"/>
    <w:rsid w:val="00505B9C"/>
    <w:rsid w:val="005061FB"/>
    <w:rsid w:val="00506364"/>
    <w:rsid w:val="0050684F"/>
    <w:rsid w:val="00506D2F"/>
    <w:rsid w:val="00506DA3"/>
    <w:rsid w:val="005074E6"/>
    <w:rsid w:val="00507693"/>
    <w:rsid w:val="005078E1"/>
    <w:rsid w:val="00507B70"/>
    <w:rsid w:val="00507BBF"/>
    <w:rsid w:val="00507EAD"/>
    <w:rsid w:val="00510044"/>
    <w:rsid w:val="00510DFD"/>
    <w:rsid w:val="0051106D"/>
    <w:rsid w:val="00511591"/>
    <w:rsid w:val="00511C4C"/>
    <w:rsid w:val="00511F5A"/>
    <w:rsid w:val="005126E2"/>
    <w:rsid w:val="0051316F"/>
    <w:rsid w:val="005137FE"/>
    <w:rsid w:val="00513A70"/>
    <w:rsid w:val="00513AF1"/>
    <w:rsid w:val="00513AF6"/>
    <w:rsid w:val="005147E9"/>
    <w:rsid w:val="00514C43"/>
    <w:rsid w:val="0051504C"/>
    <w:rsid w:val="00515711"/>
    <w:rsid w:val="00515FF0"/>
    <w:rsid w:val="00516F90"/>
    <w:rsid w:val="00517472"/>
    <w:rsid w:val="00517498"/>
    <w:rsid w:val="005176CE"/>
    <w:rsid w:val="0051775B"/>
    <w:rsid w:val="00517D3B"/>
    <w:rsid w:val="005202DE"/>
    <w:rsid w:val="0052034D"/>
    <w:rsid w:val="00520475"/>
    <w:rsid w:val="00520EA7"/>
    <w:rsid w:val="00521403"/>
    <w:rsid w:val="00521A35"/>
    <w:rsid w:val="00521BA4"/>
    <w:rsid w:val="00522053"/>
    <w:rsid w:val="00522433"/>
    <w:rsid w:val="00522B48"/>
    <w:rsid w:val="00522EA9"/>
    <w:rsid w:val="005232C8"/>
    <w:rsid w:val="00523900"/>
    <w:rsid w:val="00523B80"/>
    <w:rsid w:val="00523CBF"/>
    <w:rsid w:val="00524220"/>
    <w:rsid w:val="005242F1"/>
    <w:rsid w:val="005243E1"/>
    <w:rsid w:val="00524670"/>
    <w:rsid w:val="005255DF"/>
    <w:rsid w:val="005258F4"/>
    <w:rsid w:val="00525CAD"/>
    <w:rsid w:val="00526225"/>
    <w:rsid w:val="005264C1"/>
    <w:rsid w:val="00526BB2"/>
    <w:rsid w:val="00526F6A"/>
    <w:rsid w:val="00527440"/>
    <w:rsid w:val="00527CB6"/>
    <w:rsid w:val="00530FC5"/>
    <w:rsid w:val="0053112D"/>
    <w:rsid w:val="0053147D"/>
    <w:rsid w:val="005316CB"/>
    <w:rsid w:val="00531A4B"/>
    <w:rsid w:val="00531B7D"/>
    <w:rsid w:val="00532B60"/>
    <w:rsid w:val="005337F5"/>
    <w:rsid w:val="00533B8C"/>
    <w:rsid w:val="0053470F"/>
    <w:rsid w:val="00534D94"/>
    <w:rsid w:val="00534F4D"/>
    <w:rsid w:val="005354B5"/>
    <w:rsid w:val="0053560F"/>
    <w:rsid w:val="00535BE7"/>
    <w:rsid w:val="005360FF"/>
    <w:rsid w:val="005365BD"/>
    <w:rsid w:val="00536883"/>
    <w:rsid w:val="005368BF"/>
    <w:rsid w:val="00536B0A"/>
    <w:rsid w:val="00536E3B"/>
    <w:rsid w:val="00536EEB"/>
    <w:rsid w:val="0053776F"/>
    <w:rsid w:val="00540E76"/>
    <w:rsid w:val="0054168B"/>
    <w:rsid w:val="005418D3"/>
    <w:rsid w:val="0054259B"/>
    <w:rsid w:val="00542CF4"/>
    <w:rsid w:val="00542D37"/>
    <w:rsid w:val="005431A3"/>
    <w:rsid w:val="00543931"/>
    <w:rsid w:val="00543B76"/>
    <w:rsid w:val="00543D16"/>
    <w:rsid w:val="0054472C"/>
    <w:rsid w:val="00544B4E"/>
    <w:rsid w:val="005455E3"/>
    <w:rsid w:val="00546296"/>
    <w:rsid w:val="005465D2"/>
    <w:rsid w:val="005468A1"/>
    <w:rsid w:val="00547682"/>
    <w:rsid w:val="00547836"/>
    <w:rsid w:val="00547B02"/>
    <w:rsid w:val="00547E20"/>
    <w:rsid w:val="00547ED5"/>
    <w:rsid w:val="00550737"/>
    <w:rsid w:val="00551113"/>
    <w:rsid w:val="0055143D"/>
    <w:rsid w:val="00551454"/>
    <w:rsid w:val="005517CF"/>
    <w:rsid w:val="0055194E"/>
    <w:rsid w:val="00551AA0"/>
    <w:rsid w:val="00552057"/>
    <w:rsid w:val="00552177"/>
    <w:rsid w:val="005525DB"/>
    <w:rsid w:val="00552A7D"/>
    <w:rsid w:val="00552F7D"/>
    <w:rsid w:val="00552FB7"/>
    <w:rsid w:val="0055426D"/>
    <w:rsid w:val="00555628"/>
    <w:rsid w:val="00555BBA"/>
    <w:rsid w:val="00556006"/>
    <w:rsid w:val="00556939"/>
    <w:rsid w:val="00557EFF"/>
    <w:rsid w:val="0056077A"/>
    <w:rsid w:val="00560F95"/>
    <w:rsid w:val="00560F99"/>
    <w:rsid w:val="0056144A"/>
    <w:rsid w:val="00561483"/>
    <w:rsid w:val="00561509"/>
    <w:rsid w:val="00561AB2"/>
    <w:rsid w:val="00561BDB"/>
    <w:rsid w:val="0056218D"/>
    <w:rsid w:val="00562C15"/>
    <w:rsid w:val="005631AD"/>
    <w:rsid w:val="00563274"/>
    <w:rsid w:val="00563721"/>
    <w:rsid w:val="00563729"/>
    <w:rsid w:val="00563ABB"/>
    <w:rsid w:val="00563E57"/>
    <w:rsid w:val="0056434A"/>
    <w:rsid w:val="005652CC"/>
    <w:rsid w:val="005657F5"/>
    <w:rsid w:val="005662A5"/>
    <w:rsid w:val="0056656E"/>
    <w:rsid w:val="00566ACE"/>
    <w:rsid w:val="00567D9B"/>
    <w:rsid w:val="0057072F"/>
    <w:rsid w:val="00570B11"/>
    <w:rsid w:val="00570C28"/>
    <w:rsid w:val="00570D81"/>
    <w:rsid w:val="00571327"/>
    <w:rsid w:val="0057157C"/>
    <w:rsid w:val="00571AA3"/>
    <w:rsid w:val="00572266"/>
    <w:rsid w:val="0057283A"/>
    <w:rsid w:val="0057325E"/>
    <w:rsid w:val="005736D1"/>
    <w:rsid w:val="00573B72"/>
    <w:rsid w:val="00573EA8"/>
    <w:rsid w:val="0057440C"/>
    <w:rsid w:val="005749EA"/>
    <w:rsid w:val="00574ACC"/>
    <w:rsid w:val="005765BC"/>
    <w:rsid w:val="00576612"/>
    <w:rsid w:val="00577579"/>
    <w:rsid w:val="005775B1"/>
    <w:rsid w:val="0057780D"/>
    <w:rsid w:val="00577A37"/>
    <w:rsid w:val="005802D0"/>
    <w:rsid w:val="005802F0"/>
    <w:rsid w:val="00580302"/>
    <w:rsid w:val="005809B7"/>
    <w:rsid w:val="00580B7B"/>
    <w:rsid w:val="00580DB4"/>
    <w:rsid w:val="0058177C"/>
    <w:rsid w:val="00581A82"/>
    <w:rsid w:val="00581AF0"/>
    <w:rsid w:val="00581E55"/>
    <w:rsid w:val="00582449"/>
    <w:rsid w:val="005826F2"/>
    <w:rsid w:val="00582C09"/>
    <w:rsid w:val="00583157"/>
    <w:rsid w:val="005833AC"/>
    <w:rsid w:val="0058374A"/>
    <w:rsid w:val="00583BB8"/>
    <w:rsid w:val="00583CCF"/>
    <w:rsid w:val="00583D51"/>
    <w:rsid w:val="00583F17"/>
    <w:rsid w:val="00584452"/>
    <w:rsid w:val="005861D7"/>
    <w:rsid w:val="00586CBF"/>
    <w:rsid w:val="00586DBE"/>
    <w:rsid w:val="005874A4"/>
    <w:rsid w:val="005874FE"/>
    <w:rsid w:val="00587964"/>
    <w:rsid w:val="00587A81"/>
    <w:rsid w:val="00587A85"/>
    <w:rsid w:val="00590393"/>
    <w:rsid w:val="005904A5"/>
    <w:rsid w:val="0059076C"/>
    <w:rsid w:val="00590985"/>
    <w:rsid w:val="00590ECE"/>
    <w:rsid w:val="00591705"/>
    <w:rsid w:val="00591918"/>
    <w:rsid w:val="0059209A"/>
    <w:rsid w:val="005924E5"/>
    <w:rsid w:val="0059254C"/>
    <w:rsid w:val="005927D2"/>
    <w:rsid w:val="0059286E"/>
    <w:rsid w:val="00592AAA"/>
    <w:rsid w:val="00592F52"/>
    <w:rsid w:val="00592F97"/>
    <w:rsid w:val="005936D0"/>
    <w:rsid w:val="00594077"/>
    <w:rsid w:val="00594571"/>
    <w:rsid w:val="00594574"/>
    <w:rsid w:val="0059463F"/>
    <w:rsid w:val="00594C7A"/>
    <w:rsid w:val="00594E6C"/>
    <w:rsid w:val="005950D1"/>
    <w:rsid w:val="00595702"/>
    <w:rsid w:val="00595836"/>
    <w:rsid w:val="00595CC3"/>
    <w:rsid w:val="00596035"/>
    <w:rsid w:val="0059622D"/>
    <w:rsid w:val="0059623A"/>
    <w:rsid w:val="005964B0"/>
    <w:rsid w:val="00596D92"/>
    <w:rsid w:val="005977D0"/>
    <w:rsid w:val="0059783C"/>
    <w:rsid w:val="00597FF2"/>
    <w:rsid w:val="005A0E5F"/>
    <w:rsid w:val="005A1A79"/>
    <w:rsid w:val="005A1B46"/>
    <w:rsid w:val="005A25E1"/>
    <w:rsid w:val="005A28FB"/>
    <w:rsid w:val="005A295D"/>
    <w:rsid w:val="005A2D98"/>
    <w:rsid w:val="005A3756"/>
    <w:rsid w:val="005A401F"/>
    <w:rsid w:val="005A4ABE"/>
    <w:rsid w:val="005A4C1E"/>
    <w:rsid w:val="005A4D4E"/>
    <w:rsid w:val="005A57D1"/>
    <w:rsid w:val="005A60CA"/>
    <w:rsid w:val="005A73EE"/>
    <w:rsid w:val="005A782B"/>
    <w:rsid w:val="005B0512"/>
    <w:rsid w:val="005B18C0"/>
    <w:rsid w:val="005B21DD"/>
    <w:rsid w:val="005B2628"/>
    <w:rsid w:val="005B2734"/>
    <w:rsid w:val="005B330D"/>
    <w:rsid w:val="005B337C"/>
    <w:rsid w:val="005B352F"/>
    <w:rsid w:val="005B3E22"/>
    <w:rsid w:val="005B438B"/>
    <w:rsid w:val="005B4E3B"/>
    <w:rsid w:val="005B520C"/>
    <w:rsid w:val="005B5CFE"/>
    <w:rsid w:val="005B5F8B"/>
    <w:rsid w:val="005B5FDA"/>
    <w:rsid w:val="005B66A1"/>
    <w:rsid w:val="005B678D"/>
    <w:rsid w:val="005B6B89"/>
    <w:rsid w:val="005B7257"/>
    <w:rsid w:val="005B742C"/>
    <w:rsid w:val="005B7448"/>
    <w:rsid w:val="005B7DB9"/>
    <w:rsid w:val="005C001E"/>
    <w:rsid w:val="005C0478"/>
    <w:rsid w:val="005C04B4"/>
    <w:rsid w:val="005C0758"/>
    <w:rsid w:val="005C0F0A"/>
    <w:rsid w:val="005C1818"/>
    <w:rsid w:val="005C1836"/>
    <w:rsid w:val="005C1D98"/>
    <w:rsid w:val="005C2371"/>
    <w:rsid w:val="005C29E9"/>
    <w:rsid w:val="005C3913"/>
    <w:rsid w:val="005C3F4E"/>
    <w:rsid w:val="005C5DDE"/>
    <w:rsid w:val="005C6A64"/>
    <w:rsid w:val="005C6C69"/>
    <w:rsid w:val="005C7528"/>
    <w:rsid w:val="005C7A8F"/>
    <w:rsid w:val="005D027F"/>
    <w:rsid w:val="005D046D"/>
    <w:rsid w:val="005D0FA0"/>
    <w:rsid w:val="005D1569"/>
    <w:rsid w:val="005D1E3F"/>
    <w:rsid w:val="005D2472"/>
    <w:rsid w:val="005D2941"/>
    <w:rsid w:val="005D3759"/>
    <w:rsid w:val="005D3775"/>
    <w:rsid w:val="005D39C5"/>
    <w:rsid w:val="005D4449"/>
    <w:rsid w:val="005D50E0"/>
    <w:rsid w:val="005D5858"/>
    <w:rsid w:val="005D591C"/>
    <w:rsid w:val="005D5D64"/>
    <w:rsid w:val="005D6709"/>
    <w:rsid w:val="005D6A5E"/>
    <w:rsid w:val="005D6F64"/>
    <w:rsid w:val="005D751B"/>
    <w:rsid w:val="005D7CD0"/>
    <w:rsid w:val="005E059D"/>
    <w:rsid w:val="005E0808"/>
    <w:rsid w:val="005E0941"/>
    <w:rsid w:val="005E13E3"/>
    <w:rsid w:val="005E1948"/>
    <w:rsid w:val="005E2091"/>
    <w:rsid w:val="005E26A5"/>
    <w:rsid w:val="005E29B4"/>
    <w:rsid w:val="005E2D77"/>
    <w:rsid w:val="005E2E83"/>
    <w:rsid w:val="005E30E1"/>
    <w:rsid w:val="005E3131"/>
    <w:rsid w:val="005E31F6"/>
    <w:rsid w:val="005E3AB1"/>
    <w:rsid w:val="005E5151"/>
    <w:rsid w:val="005E5E71"/>
    <w:rsid w:val="005E6981"/>
    <w:rsid w:val="005E79BC"/>
    <w:rsid w:val="005F01EB"/>
    <w:rsid w:val="005F030C"/>
    <w:rsid w:val="005F03A6"/>
    <w:rsid w:val="005F04B0"/>
    <w:rsid w:val="005F0568"/>
    <w:rsid w:val="005F1AD8"/>
    <w:rsid w:val="005F1BD1"/>
    <w:rsid w:val="005F217C"/>
    <w:rsid w:val="005F27AE"/>
    <w:rsid w:val="005F291C"/>
    <w:rsid w:val="005F2E3A"/>
    <w:rsid w:val="005F3544"/>
    <w:rsid w:val="005F3990"/>
    <w:rsid w:val="005F3A19"/>
    <w:rsid w:val="005F4213"/>
    <w:rsid w:val="005F4B02"/>
    <w:rsid w:val="005F5805"/>
    <w:rsid w:val="005F5DB4"/>
    <w:rsid w:val="005F5F24"/>
    <w:rsid w:val="005F6083"/>
    <w:rsid w:val="005F62F4"/>
    <w:rsid w:val="005F6E66"/>
    <w:rsid w:val="005F6F43"/>
    <w:rsid w:val="005F6F6B"/>
    <w:rsid w:val="005F72AC"/>
    <w:rsid w:val="005F7510"/>
    <w:rsid w:val="00600479"/>
    <w:rsid w:val="00600AED"/>
    <w:rsid w:val="00601DBC"/>
    <w:rsid w:val="00603685"/>
    <w:rsid w:val="006045D3"/>
    <w:rsid w:val="00605130"/>
    <w:rsid w:val="0060555F"/>
    <w:rsid w:val="006055F3"/>
    <w:rsid w:val="006056DC"/>
    <w:rsid w:val="00605C61"/>
    <w:rsid w:val="00606974"/>
    <w:rsid w:val="00606C74"/>
    <w:rsid w:val="0060709B"/>
    <w:rsid w:val="006074BD"/>
    <w:rsid w:val="00607961"/>
    <w:rsid w:val="006100C4"/>
    <w:rsid w:val="00610E73"/>
    <w:rsid w:val="006112EB"/>
    <w:rsid w:val="00611349"/>
    <w:rsid w:val="00611480"/>
    <w:rsid w:val="00611AD6"/>
    <w:rsid w:val="00611B8F"/>
    <w:rsid w:val="00611D29"/>
    <w:rsid w:val="0061215A"/>
    <w:rsid w:val="006122BA"/>
    <w:rsid w:val="00612A99"/>
    <w:rsid w:val="00612C7D"/>
    <w:rsid w:val="00612E2B"/>
    <w:rsid w:val="006131F1"/>
    <w:rsid w:val="00613228"/>
    <w:rsid w:val="00613313"/>
    <w:rsid w:val="00613AD3"/>
    <w:rsid w:val="00614284"/>
    <w:rsid w:val="0061492A"/>
    <w:rsid w:val="00614DBF"/>
    <w:rsid w:val="00615A65"/>
    <w:rsid w:val="00615ED9"/>
    <w:rsid w:val="00616832"/>
    <w:rsid w:val="00616EFA"/>
    <w:rsid w:val="00616FF2"/>
    <w:rsid w:val="00617401"/>
    <w:rsid w:val="00617D42"/>
    <w:rsid w:val="00620A88"/>
    <w:rsid w:val="00620F06"/>
    <w:rsid w:val="00621478"/>
    <w:rsid w:val="00621CDB"/>
    <w:rsid w:val="00621D69"/>
    <w:rsid w:val="0062206B"/>
    <w:rsid w:val="0062222B"/>
    <w:rsid w:val="0062249A"/>
    <w:rsid w:val="00622808"/>
    <w:rsid w:val="00622846"/>
    <w:rsid w:val="00622E89"/>
    <w:rsid w:val="00623229"/>
    <w:rsid w:val="00623540"/>
    <w:rsid w:val="006236D3"/>
    <w:rsid w:val="00623F1E"/>
    <w:rsid w:val="00624004"/>
    <w:rsid w:val="0062433B"/>
    <w:rsid w:val="00624419"/>
    <w:rsid w:val="0062473C"/>
    <w:rsid w:val="00624EB3"/>
    <w:rsid w:val="0062524E"/>
    <w:rsid w:val="0062527D"/>
    <w:rsid w:val="00625EF0"/>
    <w:rsid w:val="00625FCE"/>
    <w:rsid w:val="00626503"/>
    <w:rsid w:val="006265B8"/>
    <w:rsid w:val="00626885"/>
    <w:rsid w:val="00626B80"/>
    <w:rsid w:val="00626DFF"/>
    <w:rsid w:val="00627037"/>
    <w:rsid w:val="0062705C"/>
    <w:rsid w:val="00627085"/>
    <w:rsid w:val="00627564"/>
    <w:rsid w:val="00627AE4"/>
    <w:rsid w:val="00627B6C"/>
    <w:rsid w:val="00627EF7"/>
    <w:rsid w:val="0063079A"/>
    <w:rsid w:val="00630DE5"/>
    <w:rsid w:val="00630E10"/>
    <w:rsid w:val="00630E9D"/>
    <w:rsid w:val="0063138C"/>
    <w:rsid w:val="006315CB"/>
    <w:rsid w:val="00631E0B"/>
    <w:rsid w:val="00632B10"/>
    <w:rsid w:val="00633096"/>
    <w:rsid w:val="006330E7"/>
    <w:rsid w:val="0063346E"/>
    <w:rsid w:val="00633F16"/>
    <w:rsid w:val="00634992"/>
    <w:rsid w:val="00635625"/>
    <w:rsid w:val="0063683C"/>
    <w:rsid w:val="00636A27"/>
    <w:rsid w:val="00636B40"/>
    <w:rsid w:val="00636F1D"/>
    <w:rsid w:val="00637834"/>
    <w:rsid w:val="00637A3F"/>
    <w:rsid w:val="00640016"/>
    <w:rsid w:val="006403EC"/>
    <w:rsid w:val="00640E80"/>
    <w:rsid w:val="006418CA"/>
    <w:rsid w:val="00641D78"/>
    <w:rsid w:val="00641DCE"/>
    <w:rsid w:val="00641F37"/>
    <w:rsid w:val="00642649"/>
    <w:rsid w:val="006427D8"/>
    <w:rsid w:val="00642A15"/>
    <w:rsid w:val="0064379F"/>
    <w:rsid w:val="00644159"/>
    <w:rsid w:val="006448BA"/>
    <w:rsid w:val="00644B0E"/>
    <w:rsid w:val="00645210"/>
    <w:rsid w:val="006455E0"/>
    <w:rsid w:val="00645620"/>
    <w:rsid w:val="0064576D"/>
    <w:rsid w:val="00646074"/>
    <w:rsid w:val="006468B3"/>
    <w:rsid w:val="00646F91"/>
    <w:rsid w:val="00647611"/>
    <w:rsid w:val="00647B60"/>
    <w:rsid w:val="006500CD"/>
    <w:rsid w:val="006500D1"/>
    <w:rsid w:val="0065041E"/>
    <w:rsid w:val="00650580"/>
    <w:rsid w:val="00651166"/>
    <w:rsid w:val="006514F6"/>
    <w:rsid w:val="00651546"/>
    <w:rsid w:val="0065173D"/>
    <w:rsid w:val="0065180E"/>
    <w:rsid w:val="0065213B"/>
    <w:rsid w:val="00652158"/>
    <w:rsid w:val="0065236C"/>
    <w:rsid w:val="006525E8"/>
    <w:rsid w:val="00652781"/>
    <w:rsid w:val="00652B91"/>
    <w:rsid w:val="00652E5C"/>
    <w:rsid w:val="00653A4D"/>
    <w:rsid w:val="00653EC0"/>
    <w:rsid w:val="0065411C"/>
    <w:rsid w:val="006542C7"/>
    <w:rsid w:val="006546D1"/>
    <w:rsid w:val="006548EB"/>
    <w:rsid w:val="00655829"/>
    <w:rsid w:val="00655C9B"/>
    <w:rsid w:val="00656553"/>
    <w:rsid w:val="006566D8"/>
    <w:rsid w:val="00656CE6"/>
    <w:rsid w:val="00656E26"/>
    <w:rsid w:val="00657235"/>
    <w:rsid w:val="0065774F"/>
    <w:rsid w:val="0065791D"/>
    <w:rsid w:val="00660769"/>
    <w:rsid w:val="00661605"/>
    <w:rsid w:val="00661B03"/>
    <w:rsid w:val="00661EAB"/>
    <w:rsid w:val="00662B35"/>
    <w:rsid w:val="00662E89"/>
    <w:rsid w:val="00664C54"/>
    <w:rsid w:val="00665357"/>
    <w:rsid w:val="00665366"/>
    <w:rsid w:val="00665544"/>
    <w:rsid w:val="0066578E"/>
    <w:rsid w:val="00665A62"/>
    <w:rsid w:val="00665CC0"/>
    <w:rsid w:val="00665FB6"/>
    <w:rsid w:val="00666E63"/>
    <w:rsid w:val="006678DB"/>
    <w:rsid w:val="0067023B"/>
    <w:rsid w:val="006704C6"/>
    <w:rsid w:val="0067065D"/>
    <w:rsid w:val="006710DE"/>
    <w:rsid w:val="0067119D"/>
    <w:rsid w:val="00671264"/>
    <w:rsid w:val="006721E6"/>
    <w:rsid w:val="00672545"/>
    <w:rsid w:val="006726AB"/>
    <w:rsid w:val="00672739"/>
    <w:rsid w:val="006727A3"/>
    <w:rsid w:val="006727C4"/>
    <w:rsid w:val="006727EC"/>
    <w:rsid w:val="00673879"/>
    <w:rsid w:val="00673943"/>
    <w:rsid w:val="00674569"/>
    <w:rsid w:val="00676501"/>
    <w:rsid w:val="006771B4"/>
    <w:rsid w:val="00677F3E"/>
    <w:rsid w:val="006803C4"/>
    <w:rsid w:val="0068056E"/>
    <w:rsid w:val="00680B62"/>
    <w:rsid w:val="00680F61"/>
    <w:rsid w:val="00681419"/>
    <w:rsid w:val="00681639"/>
    <w:rsid w:val="0068187A"/>
    <w:rsid w:val="0068192B"/>
    <w:rsid w:val="00681A69"/>
    <w:rsid w:val="00681C17"/>
    <w:rsid w:val="00681D4D"/>
    <w:rsid w:val="00682633"/>
    <w:rsid w:val="0068454D"/>
    <w:rsid w:val="0068464C"/>
    <w:rsid w:val="0068487F"/>
    <w:rsid w:val="00684B60"/>
    <w:rsid w:val="00684D19"/>
    <w:rsid w:val="00685123"/>
    <w:rsid w:val="00685398"/>
    <w:rsid w:val="006854B4"/>
    <w:rsid w:val="00685A99"/>
    <w:rsid w:val="00685B4E"/>
    <w:rsid w:val="00685E63"/>
    <w:rsid w:val="00686246"/>
    <w:rsid w:val="006867F7"/>
    <w:rsid w:val="00686A54"/>
    <w:rsid w:val="00686ED8"/>
    <w:rsid w:val="0068740C"/>
    <w:rsid w:val="006874A7"/>
    <w:rsid w:val="00687599"/>
    <w:rsid w:val="0068790B"/>
    <w:rsid w:val="00687AF1"/>
    <w:rsid w:val="00687BFC"/>
    <w:rsid w:val="00687C3F"/>
    <w:rsid w:val="0069036E"/>
    <w:rsid w:val="006904DD"/>
    <w:rsid w:val="006908B4"/>
    <w:rsid w:val="00690AA2"/>
    <w:rsid w:val="006913E8"/>
    <w:rsid w:val="00692264"/>
    <w:rsid w:val="006927C6"/>
    <w:rsid w:val="00693F00"/>
    <w:rsid w:val="00694089"/>
    <w:rsid w:val="006944BD"/>
    <w:rsid w:val="00694C8B"/>
    <w:rsid w:val="00694EE2"/>
    <w:rsid w:val="0069529D"/>
    <w:rsid w:val="00695A56"/>
    <w:rsid w:val="0069642D"/>
    <w:rsid w:val="00696831"/>
    <w:rsid w:val="00696981"/>
    <w:rsid w:val="00697337"/>
    <w:rsid w:val="0069789A"/>
    <w:rsid w:val="00697B0C"/>
    <w:rsid w:val="006A0A07"/>
    <w:rsid w:val="006A0C2F"/>
    <w:rsid w:val="006A0FEA"/>
    <w:rsid w:val="006A13F8"/>
    <w:rsid w:val="006A17C2"/>
    <w:rsid w:val="006A17E5"/>
    <w:rsid w:val="006A1814"/>
    <w:rsid w:val="006A1F92"/>
    <w:rsid w:val="006A2088"/>
    <w:rsid w:val="006A23EE"/>
    <w:rsid w:val="006A23F5"/>
    <w:rsid w:val="006A29EC"/>
    <w:rsid w:val="006A2B0D"/>
    <w:rsid w:val="006A3616"/>
    <w:rsid w:val="006A41B9"/>
    <w:rsid w:val="006A4439"/>
    <w:rsid w:val="006A48B3"/>
    <w:rsid w:val="006A48CF"/>
    <w:rsid w:val="006A4F2F"/>
    <w:rsid w:val="006A6273"/>
    <w:rsid w:val="006A6D1D"/>
    <w:rsid w:val="006A7510"/>
    <w:rsid w:val="006A7CBB"/>
    <w:rsid w:val="006A7E44"/>
    <w:rsid w:val="006A7E4F"/>
    <w:rsid w:val="006B02AA"/>
    <w:rsid w:val="006B046A"/>
    <w:rsid w:val="006B0556"/>
    <w:rsid w:val="006B074D"/>
    <w:rsid w:val="006B081D"/>
    <w:rsid w:val="006B1095"/>
    <w:rsid w:val="006B1867"/>
    <w:rsid w:val="006B1B02"/>
    <w:rsid w:val="006B1C11"/>
    <w:rsid w:val="006B1DA6"/>
    <w:rsid w:val="006B2702"/>
    <w:rsid w:val="006B287F"/>
    <w:rsid w:val="006B2B30"/>
    <w:rsid w:val="006B2BEB"/>
    <w:rsid w:val="006B2BEF"/>
    <w:rsid w:val="006B3538"/>
    <w:rsid w:val="006B3C63"/>
    <w:rsid w:val="006B3CA9"/>
    <w:rsid w:val="006B3E21"/>
    <w:rsid w:val="006B4493"/>
    <w:rsid w:val="006B4AEB"/>
    <w:rsid w:val="006B5D38"/>
    <w:rsid w:val="006B62F7"/>
    <w:rsid w:val="006C0045"/>
    <w:rsid w:val="006C0ECF"/>
    <w:rsid w:val="006C181D"/>
    <w:rsid w:val="006C28DF"/>
    <w:rsid w:val="006C2CE0"/>
    <w:rsid w:val="006C3054"/>
    <w:rsid w:val="006C38F0"/>
    <w:rsid w:val="006C3A25"/>
    <w:rsid w:val="006C4031"/>
    <w:rsid w:val="006C448B"/>
    <w:rsid w:val="006C523F"/>
    <w:rsid w:val="006C5330"/>
    <w:rsid w:val="006C537D"/>
    <w:rsid w:val="006C53F8"/>
    <w:rsid w:val="006C55B6"/>
    <w:rsid w:val="006C5608"/>
    <w:rsid w:val="006C5684"/>
    <w:rsid w:val="006C57FA"/>
    <w:rsid w:val="006C62B3"/>
    <w:rsid w:val="006C6ABF"/>
    <w:rsid w:val="006C6FC3"/>
    <w:rsid w:val="006C7B10"/>
    <w:rsid w:val="006C7C39"/>
    <w:rsid w:val="006C7DB9"/>
    <w:rsid w:val="006D0D11"/>
    <w:rsid w:val="006D1A22"/>
    <w:rsid w:val="006D1A53"/>
    <w:rsid w:val="006D1EAD"/>
    <w:rsid w:val="006D209F"/>
    <w:rsid w:val="006D2D42"/>
    <w:rsid w:val="006D315F"/>
    <w:rsid w:val="006D3ADD"/>
    <w:rsid w:val="006D3EE0"/>
    <w:rsid w:val="006D46D6"/>
    <w:rsid w:val="006D4DFE"/>
    <w:rsid w:val="006D4E40"/>
    <w:rsid w:val="006D513C"/>
    <w:rsid w:val="006D53AA"/>
    <w:rsid w:val="006D549B"/>
    <w:rsid w:val="006D575E"/>
    <w:rsid w:val="006D57EC"/>
    <w:rsid w:val="006D58AF"/>
    <w:rsid w:val="006D5A4B"/>
    <w:rsid w:val="006D5C1B"/>
    <w:rsid w:val="006D5CA2"/>
    <w:rsid w:val="006D5F06"/>
    <w:rsid w:val="006D6049"/>
    <w:rsid w:val="006D700E"/>
    <w:rsid w:val="006D70F1"/>
    <w:rsid w:val="006E0CD9"/>
    <w:rsid w:val="006E0DA8"/>
    <w:rsid w:val="006E27A4"/>
    <w:rsid w:val="006E2CDC"/>
    <w:rsid w:val="006E2DFA"/>
    <w:rsid w:val="006E3598"/>
    <w:rsid w:val="006E372E"/>
    <w:rsid w:val="006E40B3"/>
    <w:rsid w:val="006E45A3"/>
    <w:rsid w:val="006E5306"/>
    <w:rsid w:val="006E53C5"/>
    <w:rsid w:val="006E5865"/>
    <w:rsid w:val="006E5CE3"/>
    <w:rsid w:val="006E5F6C"/>
    <w:rsid w:val="006E6170"/>
    <w:rsid w:val="006E6245"/>
    <w:rsid w:val="006E65D3"/>
    <w:rsid w:val="006E66A6"/>
    <w:rsid w:val="006E7A88"/>
    <w:rsid w:val="006F0050"/>
    <w:rsid w:val="006F022E"/>
    <w:rsid w:val="006F059C"/>
    <w:rsid w:val="006F0F58"/>
    <w:rsid w:val="006F1FBF"/>
    <w:rsid w:val="006F2568"/>
    <w:rsid w:val="006F275E"/>
    <w:rsid w:val="006F2818"/>
    <w:rsid w:val="006F2930"/>
    <w:rsid w:val="006F2A69"/>
    <w:rsid w:val="006F2BA1"/>
    <w:rsid w:val="006F34A0"/>
    <w:rsid w:val="006F355C"/>
    <w:rsid w:val="006F3A12"/>
    <w:rsid w:val="006F43BC"/>
    <w:rsid w:val="006F46DF"/>
    <w:rsid w:val="006F5187"/>
    <w:rsid w:val="006F597A"/>
    <w:rsid w:val="006F5EB6"/>
    <w:rsid w:val="006F5FDB"/>
    <w:rsid w:val="006F61A9"/>
    <w:rsid w:val="006F65FB"/>
    <w:rsid w:val="006F6AA8"/>
    <w:rsid w:val="006F7CB4"/>
    <w:rsid w:val="006F7CDE"/>
    <w:rsid w:val="00700073"/>
    <w:rsid w:val="00700211"/>
    <w:rsid w:val="00700217"/>
    <w:rsid w:val="00700232"/>
    <w:rsid w:val="0070037F"/>
    <w:rsid w:val="00700DD4"/>
    <w:rsid w:val="007014B2"/>
    <w:rsid w:val="00701AC7"/>
    <w:rsid w:val="00701E13"/>
    <w:rsid w:val="00702062"/>
    <w:rsid w:val="007026F8"/>
    <w:rsid w:val="00702A60"/>
    <w:rsid w:val="00702D72"/>
    <w:rsid w:val="00703376"/>
    <w:rsid w:val="007042EE"/>
    <w:rsid w:val="00704992"/>
    <w:rsid w:val="00706F10"/>
    <w:rsid w:val="007071DC"/>
    <w:rsid w:val="007072BF"/>
    <w:rsid w:val="007074F5"/>
    <w:rsid w:val="0070781C"/>
    <w:rsid w:val="0071081C"/>
    <w:rsid w:val="00710B62"/>
    <w:rsid w:val="00710BA9"/>
    <w:rsid w:val="0071149C"/>
    <w:rsid w:val="0071171A"/>
    <w:rsid w:val="007118E3"/>
    <w:rsid w:val="0071281B"/>
    <w:rsid w:val="007129E7"/>
    <w:rsid w:val="00712A34"/>
    <w:rsid w:val="00712D4B"/>
    <w:rsid w:val="00712E05"/>
    <w:rsid w:val="007130BB"/>
    <w:rsid w:val="00713227"/>
    <w:rsid w:val="00713C13"/>
    <w:rsid w:val="00713E88"/>
    <w:rsid w:val="00713FB2"/>
    <w:rsid w:val="00714571"/>
    <w:rsid w:val="0071467A"/>
    <w:rsid w:val="007148F4"/>
    <w:rsid w:val="00714EF6"/>
    <w:rsid w:val="0071778D"/>
    <w:rsid w:val="007177E7"/>
    <w:rsid w:val="007178F1"/>
    <w:rsid w:val="00717A62"/>
    <w:rsid w:val="00717D48"/>
    <w:rsid w:val="00717F25"/>
    <w:rsid w:val="00720287"/>
    <w:rsid w:val="00720F52"/>
    <w:rsid w:val="00721136"/>
    <w:rsid w:val="00721654"/>
    <w:rsid w:val="00721F4D"/>
    <w:rsid w:val="0072226B"/>
    <w:rsid w:val="00722365"/>
    <w:rsid w:val="00722397"/>
    <w:rsid w:val="007225CF"/>
    <w:rsid w:val="007226C0"/>
    <w:rsid w:val="007228E8"/>
    <w:rsid w:val="0072299F"/>
    <w:rsid w:val="00722A3A"/>
    <w:rsid w:val="00722D32"/>
    <w:rsid w:val="00723658"/>
    <w:rsid w:val="00723A62"/>
    <w:rsid w:val="00723FD1"/>
    <w:rsid w:val="0072416D"/>
    <w:rsid w:val="00724504"/>
    <w:rsid w:val="00724CE6"/>
    <w:rsid w:val="00724DE9"/>
    <w:rsid w:val="007252FC"/>
    <w:rsid w:val="007254EA"/>
    <w:rsid w:val="007257C8"/>
    <w:rsid w:val="00726451"/>
    <w:rsid w:val="007265A4"/>
    <w:rsid w:val="007267EA"/>
    <w:rsid w:val="00726882"/>
    <w:rsid w:val="00726B21"/>
    <w:rsid w:val="00726B78"/>
    <w:rsid w:val="00727BAB"/>
    <w:rsid w:val="00727C43"/>
    <w:rsid w:val="0073012E"/>
    <w:rsid w:val="0073062C"/>
    <w:rsid w:val="00731ED2"/>
    <w:rsid w:val="0073245F"/>
    <w:rsid w:val="00732814"/>
    <w:rsid w:val="00732934"/>
    <w:rsid w:val="00732B16"/>
    <w:rsid w:val="00732E3D"/>
    <w:rsid w:val="007332F0"/>
    <w:rsid w:val="0073378E"/>
    <w:rsid w:val="00734772"/>
    <w:rsid w:val="00734C4D"/>
    <w:rsid w:val="0073557D"/>
    <w:rsid w:val="007359EC"/>
    <w:rsid w:val="00735B07"/>
    <w:rsid w:val="00735DD5"/>
    <w:rsid w:val="0073610E"/>
    <w:rsid w:val="00736813"/>
    <w:rsid w:val="00736AB7"/>
    <w:rsid w:val="00736BC4"/>
    <w:rsid w:val="0073739D"/>
    <w:rsid w:val="00737DB2"/>
    <w:rsid w:val="00740355"/>
    <w:rsid w:val="00740477"/>
    <w:rsid w:val="00740529"/>
    <w:rsid w:val="0074094B"/>
    <w:rsid w:val="00740D76"/>
    <w:rsid w:val="007410D1"/>
    <w:rsid w:val="0074199D"/>
    <w:rsid w:val="00741AEC"/>
    <w:rsid w:val="00742115"/>
    <w:rsid w:val="00742512"/>
    <w:rsid w:val="00742952"/>
    <w:rsid w:val="007429B9"/>
    <w:rsid w:val="00742BE3"/>
    <w:rsid w:val="00742CBD"/>
    <w:rsid w:val="00742D91"/>
    <w:rsid w:val="00742F70"/>
    <w:rsid w:val="00742FF0"/>
    <w:rsid w:val="007434B3"/>
    <w:rsid w:val="00744061"/>
    <w:rsid w:val="00744293"/>
    <w:rsid w:val="00744651"/>
    <w:rsid w:val="00744777"/>
    <w:rsid w:val="00744BF5"/>
    <w:rsid w:val="00744D26"/>
    <w:rsid w:val="00745632"/>
    <w:rsid w:val="00745D15"/>
    <w:rsid w:val="00746467"/>
    <w:rsid w:val="007468A4"/>
    <w:rsid w:val="007469B4"/>
    <w:rsid w:val="00747853"/>
    <w:rsid w:val="00747DC6"/>
    <w:rsid w:val="00750299"/>
    <w:rsid w:val="0075066A"/>
    <w:rsid w:val="00750EDF"/>
    <w:rsid w:val="00750F67"/>
    <w:rsid w:val="007515C2"/>
    <w:rsid w:val="0075173D"/>
    <w:rsid w:val="00751DBF"/>
    <w:rsid w:val="00752F34"/>
    <w:rsid w:val="00752FEB"/>
    <w:rsid w:val="00753068"/>
    <w:rsid w:val="00753186"/>
    <w:rsid w:val="007531FE"/>
    <w:rsid w:val="007537B6"/>
    <w:rsid w:val="007544AD"/>
    <w:rsid w:val="0075478C"/>
    <w:rsid w:val="00754A97"/>
    <w:rsid w:val="007556C2"/>
    <w:rsid w:val="00755BD6"/>
    <w:rsid w:val="00755E00"/>
    <w:rsid w:val="00755E0E"/>
    <w:rsid w:val="00756B46"/>
    <w:rsid w:val="00756BB3"/>
    <w:rsid w:val="00756F98"/>
    <w:rsid w:val="0075715D"/>
    <w:rsid w:val="007572B0"/>
    <w:rsid w:val="00760B31"/>
    <w:rsid w:val="00762293"/>
    <w:rsid w:val="007630E0"/>
    <w:rsid w:val="007631CE"/>
    <w:rsid w:val="007637B6"/>
    <w:rsid w:val="007638D5"/>
    <w:rsid w:val="00763FDD"/>
    <w:rsid w:val="0076444E"/>
    <w:rsid w:val="00764458"/>
    <w:rsid w:val="00764770"/>
    <w:rsid w:val="00765656"/>
    <w:rsid w:val="007658C5"/>
    <w:rsid w:val="007659F0"/>
    <w:rsid w:val="00765C39"/>
    <w:rsid w:val="007666B3"/>
    <w:rsid w:val="007670A5"/>
    <w:rsid w:val="00767647"/>
    <w:rsid w:val="007678B3"/>
    <w:rsid w:val="00767F44"/>
    <w:rsid w:val="00770222"/>
    <w:rsid w:val="007705D8"/>
    <w:rsid w:val="0077089F"/>
    <w:rsid w:val="00770CF7"/>
    <w:rsid w:val="00771284"/>
    <w:rsid w:val="007712E0"/>
    <w:rsid w:val="00771604"/>
    <w:rsid w:val="007717E4"/>
    <w:rsid w:val="00771A49"/>
    <w:rsid w:val="007722B6"/>
    <w:rsid w:val="007728AA"/>
    <w:rsid w:val="0077378F"/>
    <w:rsid w:val="00773E42"/>
    <w:rsid w:val="0077434B"/>
    <w:rsid w:val="00774A1D"/>
    <w:rsid w:val="00774A92"/>
    <w:rsid w:val="00774AAE"/>
    <w:rsid w:val="00775250"/>
    <w:rsid w:val="00775871"/>
    <w:rsid w:val="00775997"/>
    <w:rsid w:val="00775D1F"/>
    <w:rsid w:val="00775DCC"/>
    <w:rsid w:val="0077648F"/>
    <w:rsid w:val="0077672F"/>
    <w:rsid w:val="00776E70"/>
    <w:rsid w:val="00776FBE"/>
    <w:rsid w:val="0077716C"/>
    <w:rsid w:val="007775DE"/>
    <w:rsid w:val="00777A67"/>
    <w:rsid w:val="00780CE8"/>
    <w:rsid w:val="0078148B"/>
    <w:rsid w:val="00781DEA"/>
    <w:rsid w:val="00781DFD"/>
    <w:rsid w:val="007828ED"/>
    <w:rsid w:val="00782B19"/>
    <w:rsid w:val="00782D1E"/>
    <w:rsid w:val="00782E12"/>
    <w:rsid w:val="00783091"/>
    <w:rsid w:val="0078324E"/>
    <w:rsid w:val="007838FA"/>
    <w:rsid w:val="00783908"/>
    <w:rsid w:val="00783BF1"/>
    <w:rsid w:val="00783F46"/>
    <w:rsid w:val="007846F9"/>
    <w:rsid w:val="00784AA7"/>
    <w:rsid w:val="00784C42"/>
    <w:rsid w:val="00784D7D"/>
    <w:rsid w:val="007852AE"/>
    <w:rsid w:val="007858A2"/>
    <w:rsid w:val="00785C05"/>
    <w:rsid w:val="007860AF"/>
    <w:rsid w:val="007864B5"/>
    <w:rsid w:val="00786650"/>
    <w:rsid w:val="007866A2"/>
    <w:rsid w:val="007872A2"/>
    <w:rsid w:val="00787B5A"/>
    <w:rsid w:val="00790078"/>
    <w:rsid w:val="007900F1"/>
    <w:rsid w:val="00790549"/>
    <w:rsid w:val="007911BB"/>
    <w:rsid w:val="00791270"/>
    <w:rsid w:val="00791C44"/>
    <w:rsid w:val="007921F3"/>
    <w:rsid w:val="007924CB"/>
    <w:rsid w:val="00792FB0"/>
    <w:rsid w:val="007930C2"/>
    <w:rsid w:val="00793901"/>
    <w:rsid w:val="0079393E"/>
    <w:rsid w:val="00793AD0"/>
    <w:rsid w:val="00794292"/>
    <w:rsid w:val="00794DFD"/>
    <w:rsid w:val="00795C83"/>
    <w:rsid w:val="0079642A"/>
    <w:rsid w:val="007965A7"/>
    <w:rsid w:val="00796663"/>
    <w:rsid w:val="007972EA"/>
    <w:rsid w:val="0079754E"/>
    <w:rsid w:val="00797804"/>
    <w:rsid w:val="00797B88"/>
    <w:rsid w:val="007A0B50"/>
    <w:rsid w:val="007A0E0D"/>
    <w:rsid w:val="007A1459"/>
    <w:rsid w:val="007A38AD"/>
    <w:rsid w:val="007A3A51"/>
    <w:rsid w:val="007A4480"/>
    <w:rsid w:val="007A4806"/>
    <w:rsid w:val="007A484C"/>
    <w:rsid w:val="007A4964"/>
    <w:rsid w:val="007A5132"/>
    <w:rsid w:val="007A6162"/>
    <w:rsid w:val="007A6AB6"/>
    <w:rsid w:val="007A6D6A"/>
    <w:rsid w:val="007A7116"/>
    <w:rsid w:val="007A71BD"/>
    <w:rsid w:val="007A7774"/>
    <w:rsid w:val="007A7B5E"/>
    <w:rsid w:val="007A7B7D"/>
    <w:rsid w:val="007B002C"/>
    <w:rsid w:val="007B0476"/>
    <w:rsid w:val="007B07C7"/>
    <w:rsid w:val="007B0C14"/>
    <w:rsid w:val="007B0C75"/>
    <w:rsid w:val="007B10A0"/>
    <w:rsid w:val="007B1485"/>
    <w:rsid w:val="007B1729"/>
    <w:rsid w:val="007B1A9A"/>
    <w:rsid w:val="007B259F"/>
    <w:rsid w:val="007B2840"/>
    <w:rsid w:val="007B310B"/>
    <w:rsid w:val="007B311B"/>
    <w:rsid w:val="007B36E0"/>
    <w:rsid w:val="007B3AA1"/>
    <w:rsid w:val="007B3CD4"/>
    <w:rsid w:val="007B4228"/>
    <w:rsid w:val="007B442C"/>
    <w:rsid w:val="007B448F"/>
    <w:rsid w:val="007B45D3"/>
    <w:rsid w:val="007B4A75"/>
    <w:rsid w:val="007B55F1"/>
    <w:rsid w:val="007B599F"/>
    <w:rsid w:val="007B5D61"/>
    <w:rsid w:val="007B602C"/>
    <w:rsid w:val="007B6099"/>
    <w:rsid w:val="007B65AF"/>
    <w:rsid w:val="007B6C0A"/>
    <w:rsid w:val="007B700B"/>
    <w:rsid w:val="007B78CC"/>
    <w:rsid w:val="007B7B5A"/>
    <w:rsid w:val="007C019F"/>
    <w:rsid w:val="007C0273"/>
    <w:rsid w:val="007C1012"/>
    <w:rsid w:val="007C119E"/>
    <w:rsid w:val="007C11AC"/>
    <w:rsid w:val="007C1A4B"/>
    <w:rsid w:val="007C23FE"/>
    <w:rsid w:val="007C24F4"/>
    <w:rsid w:val="007C33D9"/>
    <w:rsid w:val="007C3547"/>
    <w:rsid w:val="007C3570"/>
    <w:rsid w:val="007C3589"/>
    <w:rsid w:val="007C372C"/>
    <w:rsid w:val="007C4300"/>
    <w:rsid w:val="007C4F8D"/>
    <w:rsid w:val="007C53A3"/>
    <w:rsid w:val="007C6AA6"/>
    <w:rsid w:val="007C75C2"/>
    <w:rsid w:val="007C77A8"/>
    <w:rsid w:val="007C78D8"/>
    <w:rsid w:val="007C7F8A"/>
    <w:rsid w:val="007D0470"/>
    <w:rsid w:val="007D057A"/>
    <w:rsid w:val="007D06D5"/>
    <w:rsid w:val="007D077C"/>
    <w:rsid w:val="007D0C16"/>
    <w:rsid w:val="007D1C7E"/>
    <w:rsid w:val="007D222C"/>
    <w:rsid w:val="007D246D"/>
    <w:rsid w:val="007D2CAB"/>
    <w:rsid w:val="007D3480"/>
    <w:rsid w:val="007D4032"/>
    <w:rsid w:val="007D46C9"/>
    <w:rsid w:val="007D4816"/>
    <w:rsid w:val="007D4AFA"/>
    <w:rsid w:val="007D4DA1"/>
    <w:rsid w:val="007D5287"/>
    <w:rsid w:val="007D5336"/>
    <w:rsid w:val="007D5B64"/>
    <w:rsid w:val="007D63F2"/>
    <w:rsid w:val="007D6E6C"/>
    <w:rsid w:val="007D7115"/>
    <w:rsid w:val="007D766A"/>
    <w:rsid w:val="007E0A94"/>
    <w:rsid w:val="007E0D78"/>
    <w:rsid w:val="007E13F7"/>
    <w:rsid w:val="007E1801"/>
    <w:rsid w:val="007E1BA7"/>
    <w:rsid w:val="007E1D96"/>
    <w:rsid w:val="007E1FE3"/>
    <w:rsid w:val="007E242F"/>
    <w:rsid w:val="007E285B"/>
    <w:rsid w:val="007E2A0C"/>
    <w:rsid w:val="007E2C3A"/>
    <w:rsid w:val="007E380B"/>
    <w:rsid w:val="007E3913"/>
    <w:rsid w:val="007E3DE0"/>
    <w:rsid w:val="007E4233"/>
    <w:rsid w:val="007E4349"/>
    <w:rsid w:val="007E4C75"/>
    <w:rsid w:val="007E58FC"/>
    <w:rsid w:val="007E5910"/>
    <w:rsid w:val="007E75D0"/>
    <w:rsid w:val="007F01F2"/>
    <w:rsid w:val="007F02BD"/>
    <w:rsid w:val="007F0B70"/>
    <w:rsid w:val="007F0C35"/>
    <w:rsid w:val="007F1ED6"/>
    <w:rsid w:val="007F2134"/>
    <w:rsid w:val="007F2FA3"/>
    <w:rsid w:val="007F3B16"/>
    <w:rsid w:val="007F3B9C"/>
    <w:rsid w:val="007F4174"/>
    <w:rsid w:val="007F4677"/>
    <w:rsid w:val="007F4B28"/>
    <w:rsid w:val="007F4C19"/>
    <w:rsid w:val="007F4D5D"/>
    <w:rsid w:val="007F4EDD"/>
    <w:rsid w:val="007F5A58"/>
    <w:rsid w:val="007F6249"/>
    <w:rsid w:val="007F63AD"/>
    <w:rsid w:val="007F6463"/>
    <w:rsid w:val="007F71F4"/>
    <w:rsid w:val="007F7F62"/>
    <w:rsid w:val="0080048C"/>
    <w:rsid w:val="00800A11"/>
    <w:rsid w:val="00800F08"/>
    <w:rsid w:val="0080103C"/>
    <w:rsid w:val="00803554"/>
    <w:rsid w:val="00803788"/>
    <w:rsid w:val="008037B6"/>
    <w:rsid w:val="0080405B"/>
    <w:rsid w:val="00804E9C"/>
    <w:rsid w:val="00805131"/>
    <w:rsid w:val="00806657"/>
    <w:rsid w:val="00806940"/>
    <w:rsid w:val="00806DEC"/>
    <w:rsid w:val="00807170"/>
    <w:rsid w:val="00807505"/>
    <w:rsid w:val="0081021B"/>
    <w:rsid w:val="0081045D"/>
    <w:rsid w:val="00810687"/>
    <w:rsid w:val="00810B1C"/>
    <w:rsid w:val="00811156"/>
    <w:rsid w:val="008116C5"/>
    <w:rsid w:val="008126C4"/>
    <w:rsid w:val="00812F46"/>
    <w:rsid w:val="00813565"/>
    <w:rsid w:val="0081382E"/>
    <w:rsid w:val="00814252"/>
    <w:rsid w:val="00814558"/>
    <w:rsid w:val="008145DA"/>
    <w:rsid w:val="00814AC9"/>
    <w:rsid w:val="0081553A"/>
    <w:rsid w:val="00816296"/>
    <w:rsid w:val="008163CC"/>
    <w:rsid w:val="0081695A"/>
    <w:rsid w:val="00820865"/>
    <w:rsid w:val="00820B31"/>
    <w:rsid w:val="008210ED"/>
    <w:rsid w:val="00821A8C"/>
    <w:rsid w:val="00822085"/>
    <w:rsid w:val="008220FC"/>
    <w:rsid w:val="00822B14"/>
    <w:rsid w:val="008230EA"/>
    <w:rsid w:val="00823D46"/>
    <w:rsid w:val="00823EE3"/>
    <w:rsid w:val="0082444C"/>
    <w:rsid w:val="00826025"/>
    <w:rsid w:val="00826195"/>
    <w:rsid w:val="00826368"/>
    <w:rsid w:val="00826BFB"/>
    <w:rsid w:val="008274F5"/>
    <w:rsid w:val="008279E9"/>
    <w:rsid w:val="00827B3B"/>
    <w:rsid w:val="00830005"/>
    <w:rsid w:val="00830376"/>
    <w:rsid w:val="00830F49"/>
    <w:rsid w:val="0083104B"/>
    <w:rsid w:val="00831E4F"/>
    <w:rsid w:val="008322E8"/>
    <w:rsid w:val="00833599"/>
    <w:rsid w:val="008337E7"/>
    <w:rsid w:val="00833EB0"/>
    <w:rsid w:val="00834281"/>
    <w:rsid w:val="0083435C"/>
    <w:rsid w:val="00835865"/>
    <w:rsid w:val="00835F56"/>
    <w:rsid w:val="00836403"/>
    <w:rsid w:val="008366F1"/>
    <w:rsid w:val="00836C32"/>
    <w:rsid w:val="00836EA1"/>
    <w:rsid w:val="00836FE2"/>
    <w:rsid w:val="008371FD"/>
    <w:rsid w:val="00837412"/>
    <w:rsid w:val="008377B0"/>
    <w:rsid w:val="00837B41"/>
    <w:rsid w:val="00837C76"/>
    <w:rsid w:val="00837C85"/>
    <w:rsid w:val="00840388"/>
    <w:rsid w:val="00840C36"/>
    <w:rsid w:val="00840C8A"/>
    <w:rsid w:val="00840DB8"/>
    <w:rsid w:val="00840FD3"/>
    <w:rsid w:val="008413BF"/>
    <w:rsid w:val="00841EE8"/>
    <w:rsid w:val="00842A46"/>
    <w:rsid w:val="00842E06"/>
    <w:rsid w:val="00842E9B"/>
    <w:rsid w:val="00843055"/>
    <w:rsid w:val="0084317B"/>
    <w:rsid w:val="00843508"/>
    <w:rsid w:val="00843871"/>
    <w:rsid w:val="008438EE"/>
    <w:rsid w:val="00843D66"/>
    <w:rsid w:val="00844040"/>
    <w:rsid w:val="00844264"/>
    <w:rsid w:val="0084444B"/>
    <w:rsid w:val="00844ED5"/>
    <w:rsid w:val="0084553E"/>
    <w:rsid w:val="008458B0"/>
    <w:rsid w:val="00845E94"/>
    <w:rsid w:val="00846059"/>
    <w:rsid w:val="008466F6"/>
    <w:rsid w:val="008471B2"/>
    <w:rsid w:val="0084749B"/>
    <w:rsid w:val="008478FE"/>
    <w:rsid w:val="00847DB6"/>
    <w:rsid w:val="00847E23"/>
    <w:rsid w:val="00847E5F"/>
    <w:rsid w:val="0085066A"/>
    <w:rsid w:val="00850BB0"/>
    <w:rsid w:val="00851101"/>
    <w:rsid w:val="0085115F"/>
    <w:rsid w:val="008513B7"/>
    <w:rsid w:val="008522C6"/>
    <w:rsid w:val="00852318"/>
    <w:rsid w:val="00852807"/>
    <w:rsid w:val="00852826"/>
    <w:rsid w:val="0085295B"/>
    <w:rsid w:val="0085335E"/>
    <w:rsid w:val="00853C05"/>
    <w:rsid w:val="00853E58"/>
    <w:rsid w:val="008540AA"/>
    <w:rsid w:val="00854BD4"/>
    <w:rsid w:val="008550EF"/>
    <w:rsid w:val="008551B9"/>
    <w:rsid w:val="00855903"/>
    <w:rsid w:val="00855D2B"/>
    <w:rsid w:val="00855D69"/>
    <w:rsid w:val="00855DAF"/>
    <w:rsid w:val="00856099"/>
    <w:rsid w:val="0085672B"/>
    <w:rsid w:val="00857470"/>
    <w:rsid w:val="00857938"/>
    <w:rsid w:val="00857B09"/>
    <w:rsid w:val="00857D5E"/>
    <w:rsid w:val="00860391"/>
    <w:rsid w:val="00860625"/>
    <w:rsid w:val="00860950"/>
    <w:rsid w:val="00860FC2"/>
    <w:rsid w:val="00861507"/>
    <w:rsid w:val="0086177B"/>
    <w:rsid w:val="00861F8A"/>
    <w:rsid w:val="008622FF"/>
    <w:rsid w:val="0086247E"/>
    <w:rsid w:val="00864478"/>
    <w:rsid w:val="008645ED"/>
    <w:rsid w:val="00864AFE"/>
    <w:rsid w:val="00865206"/>
    <w:rsid w:val="008652D1"/>
    <w:rsid w:val="008655B6"/>
    <w:rsid w:val="00865E24"/>
    <w:rsid w:val="00866098"/>
    <w:rsid w:val="008669C3"/>
    <w:rsid w:val="00866CEA"/>
    <w:rsid w:val="00867793"/>
    <w:rsid w:val="00867FAE"/>
    <w:rsid w:val="00870227"/>
    <w:rsid w:val="00870374"/>
    <w:rsid w:val="00870653"/>
    <w:rsid w:val="00870BED"/>
    <w:rsid w:val="00870E9B"/>
    <w:rsid w:val="00871D6A"/>
    <w:rsid w:val="00872095"/>
    <w:rsid w:val="00872136"/>
    <w:rsid w:val="00872900"/>
    <w:rsid w:val="008729B8"/>
    <w:rsid w:val="00872BA1"/>
    <w:rsid w:val="0087324F"/>
    <w:rsid w:val="0087403C"/>
    <w:rsid w:val="008744CC"/>
    <w:rsid w:val="008748B0"/>
    <w:rsid w:val="00874A69"/>
    <w:rsid w:val="00874F94"/>
    <w:rsid w:val="00875320"/>
    <w:rsid w:val="00875763"/>
    <w:rsid w:val="00875AE9"/>
    <w:rsid w:val="00875C0A"/>
    <w:rsid w:val="00875FCD"/>
    <w:rsid w:val="0087652B"/>
    <w:rsid w:val="00876A5B"/>
    <w:rsid w:val="00876C0C"/>
    <w:rsid w:val="0087761B"/>
    <w:rsid w:val="0087787C"/>
    <w:rsid w:val="00877972"/>
    <w:rsid w:val="00877F91"/>
    <w:rsid w:val="00880400"/>
    <w:rsid w:val="00880820"/>
    <w:rsid w:val="00880EBB"/>
    <w:rsid w:val="00880FA5"/>
    <w:rsid w:val="008811E5"/>
    <w:rsid w:val="008812CF"/>
    <w:rsid w:val="00881C3A"/>
    <w:rsid w:val="0088222C"/>
    <w:rsid w:val="00882C61"/>
    <w:rsid w:val="00882C8D"/>
    <w:rsid w:val="00882E91"/>
    <w:rsid w:val="00883C4D"/>
    <w:rsid w:val="00883E8D"/>
    <w:rsid w:val="00884488"/>
    <w:rsid w:val="00884763"/>
    <w:rsid w:val="00884C06"/>
    <w:rsid w:val="00884EE7"/>
    <w:rsid w:val="00885024"/>
    <w:rsid w:val="008858E8"/>
    <w:rsid w:val="00885C5F"/>
    <w:rsid w:val="00885C90"/>
    <w:rsid w:val="008870A5"/>
    <w:rsid w:val="00887449"/>
    <w:rsid w:val="00887911"/>
    <w:rsid w:val="0088794F"/>
    <w:rsid w:val="008879AE"/>
    <w:rsid w:val="00887E7E"/>
    <w:rsid w:val="0089006B"/>
    <w:rsid w:val="00890141"/>
    <w:rsid w:val="00890332"/>
    <w:rsid w:val="00890AE0"/>
    <w:rsid w:val="00890C44"/>
    <w:rsid w:val="00891216"/>
    <w:rsid w:val="008916DC"/>
    <w:rsid w:val="0089196C"/>
    <w:rsid w:val="00891FC4"/>
    <w:rsid w:val="008920EE"/>
    <w:rsid w:val="00892195"/>
    <w:rsid w:val="008922F5"/>
    <w:rsid w:val="00892662"/>
    <w:rsid w:val="008938DF"/>
    <w:rsid w:val="00893CE6"/>
    <w:rsid w:val="008953BD"/>
    <w:rsid w:val="00896396"/>
    <w:rsid w:val="008969EB"/>
    <w:rsid w:val="00896C5E"/>
    <w:rsid w:val="00897074"/>
    <w:rsid w:val="00897596"/>
    <w:rsid w:val="0089794B"/>
    <w:rsid w:val="00897DC5"/>
    <w:rsid w:val="008A07F4"/>
    <w:rsid w:val="008A11E2"/>
    <w:rsid w:val="008A1356"/>
    <w:rsid w:val="008A177B"/>
    <w:rsid w:val="008A20BA"/>
    <w:rsid w:val="008A2153"/>
    <w:rsid w:val="008A23A3"/>
    <w:rsid w:val="008A2C4A"/>
    <w:rsid w:val="008A3450"/>
    <w:rsid w:val="008A3BBF"/>
    <w:rsid w:val="008A3D2A"/>
    <w:rsid w:val="008A4033"/>
    <w:rsid w:val="008A4326"/>
    <w:rsid w:val="008A5034"/>
    <w:rsid w:val="008A52C9"/>
    <w:rsid w:val="008A64A8"/>
    <w:rsid w:val="008A6F52"/>
    <w:rsid w:val="008A7297"/>
    <w:rsid w:val="008A7D02"/>
    <w:rsid w:val="008B0AFA"/>
    <w:rsid w:val="008B1505"/>
    <w:rsid w:val="008B1542"/>
    <w:rsid w:val="008B1AC8"/>
    <w:rsid w:val="008B1AD8"/>
    <w:rsid w:val="008B1D9A"/>
    <w:rsid w:val="008B231D"/>
    <w:rsid w:val="008B2860"/>
    <w:rsid w:val="008B31E3"/>
    <w:rsid w:val="008B372E"/>
    <w:rsid w:val="008B3AB0"/>
    <w:rsid w:val="008B3B31"/>
    <w:rsid w:val="008B3E92"/>
    <w:rsid w:val="008B52F3"/>
    <w:rsid w:val="008B75B0"/>
    <w:rsid w:val="008B7775"/>
    <w:rsid w:val="008B7D47"/>
    <w:rsid w:val="008C0245"/>
    <w:rsid w:val="008C0B68"/>
    <w:rsid w:val="008C1294"/>
    <w:rsid w:val="008C12F8"/>
    <w:rsid w:val="008C15A3"/>
    <w:rsid w:val="008C192C"/>
    <w:rsid w:val="008C1DBA"/>
    <w:rsid w:val="008C3279"/>
    <w:rsid w:val="008C3579"/>
    <w:rsid w:val="008C3FA0"/>
    <w:rsid w:val="008C4026"/>
    <w:rsid w:val="008C470D"/>
    <w:rsid w:val="008C47CF"/>
    <w:rsid w:val="008C4D68"/>
    <w:rsid w:val="008C4EA7"/>
    <w:rsid w:val="008C4FA4"/>
    <w:rsid w:val="008C541A"/>
    <w:rsid w:val="008C5E5F"/>
    <w:rsid w:val="008C5FE4"/>
    <w:rsid w:val="008C60B2"/>
    <w:rsid w:val="008C6579"/>
    <w:rsid w:val="008C671B"/>
    <w:rsid w:val="008C7676"/>
    <w:rsid w:val="008D049F"/>
    <w:rsid w:val="008D110F"/>
    <w:rsid w:val="008D13AD"/>
    <w:rsid w:val="008D1D77"/>
    <w:rsid w:val="008D1F7E"/>
    <w:rsid w:val="008D2616"/>
    <w:rsid w:val="008D2962"/>
    <w:rsid w:val="008D2A82"/>
    <w:rsid w:val="008D2BCB"/>
    <w:rsid w:val="008D2DE5"/>
    <w:rsid w:val="008D2E13"/>
    <w:rsid w:val="008D3045"/>
    <w:rsid w:val="008D3823"/>
    <w:rsid w:val="008D3BEE"/>
    <w:rsid w:val="008D3D79"/>
    <w:rsid w:val="008D44B9"/>
    <w:rsid w:val="008D45A2"/>
    <w:rsid w:val="008D4F2D"/>
    <w:rsid w:val="008D547B"/>
    <w:rsid w:val="008D5AC4"/>
    <w:rsid w:val="008D5C79"/>
    <w:rsid w:val="008D6426"/>
    <w:rsid w:val="008D65AC"/>
    <w:rsid w:val="008D6947"/>
    <w:rsid w:val="008D7310"/>
    <w:rsid w:val="008D755C"/>
    <w:rsid w:val="008D7CF3"/>
    <w:rsid w:val="008D7DB8"/>
    <w:rsid w:val="008E0238"/>
    <w:rsid w:val="008E0DA6"/>
    <w:rsid w:val="008E0FCD"/>
    <w:rsid w:val="008E2F23"/>
    <w:rsid w:val="008E388E"/>
    <w:rsid w:val="008E3D88"/>
    <w:rsid w:val="008E4393"/>
    <w:rsid w:val="008E4C62"/>
    <w:rsid w:val="008E5812"/>
    <w:rsid w:val="008E5E95"/>
    <w:rsid w:val="008E6151"/>
    <w:rsid w:val="008E6357"/>
    <w:rsid w:val="008E647C"/>
    <w:rsid w:val="008E6B67"/>
    <w:rsid w:val="008E6E79"/>
    <w:rsid w:val="008E74C8"/>
    <w:rsid w:val="008E75AE"/>
    <w:rsid w:val="008E7689"/>
    <w:rsid w:val="008E7EDC"/>
    <w:rsid w:val="008F024C"/>
    <w:rsid w:val="008F0275"/>
    <w:rsid w:val="008F056E"/>
    <w:rsid w:val="008F094E"/>
    <w:rsid w:val="008F2112"/>
    <w:rsid w:val="008F214A"/>
    <w:rsid w:val="008F2183"/>
    <w:rsid w:val="008F2650"/>
    <w:rsid w:val="008F31C6"/>
    <w:rsid w:val="008F391D"/>
    <w:rsid w:val="008F3C29"/>
    <w:rsid w:val="008F3CF5"/>
    <w:rsid w:val="008F3D21"/>
    <w:rsid w:val="008F3E29"/>
    <w:rsid w:val="008F4ECC"/>
    <w:rsid w:val="008F5026"/>
    <w:rsid w:val="008F5C97"/>
    <w:rsid w:val="008F6101"/>
    <w:rsid w:val="008F709E"/>
    <w:rsid w:val="008F772B"/>
    <w:rsid w:val="009002A9"/>
    <w:rsid w:val="0090161B"/>
    <w:rsid w:val="00901B93"/>
    <w:rsid w:val="00901BDF"/>
    <w:rsid w:val="00901C6C"/>
    <w:rsid w:val="009022B9"/>
    <w:rsid w:val="009022E0"/>
    <w:rsid w:val="00902DF2"/>
    <w:rsid w:val="00903883"/>
    <w:rsid w:val="00904485"/>
    <w:rsid w:val="0090489C"/>
    <w:rsid w:val="0090491F"/>
    <w:rsid w:val="00904C3C"/>
    <w:rsid w:val="00904DF6"/>
    <w:rsid w:val="009055EF"/>
    <w:rsid w:val="00905987"/>
    <w:rsid w:val="00905B4B"/>
    <w:rsid w:val="00905B99"/>
    <w:rsid w:val="0090650B"/>
    <w:rsid w:val="0090685A"/>
    <w:rsid w:val="00906C20"/>
    <w:rsid w:val="009075D7"/>
    <w:rsid w:val="00907764"/>
    <w:rsid w:val="00907CEA"/>
    <w:rsid w:val="00907FD8"/>
    <w:rsid w:val="009109D4"/>
    <w:rsid w:val="00910BC3"/>
    <w:rsid w:val="0091191F"/>
    <w:rsid w:val="00911A88"/>
    <w:rsid w:val="00911B78"/>
    <w:rsid w:val="00911E5D"/>
    <w:rsid w:val="00911EA1"/>
    <w:rsid w:val="00912FE2"/>
    <w:rsid w:val="009130BC"/>
    <w:rsid w:val="0091387F"/>
    <w:rsid w:val="0091389E"/>
    <w:rsid w:val="00913E56"/>
    <w:rsid w:val="009140CA"/>
    <w:rsid w:val="00914247"/>
    <w:rsid w:val="00914CFE"/>
    <w:rsid w:val="009155ED"/>
    <w:rsid w:val="0091572A"/>
    <w:rsid w:val="00915B34"/>
    <w:rsid w:val="00915D0E"/>
    <w:rsid w:val="00916A57"/>
    <w:rsid w:val="00916BC1"/>
    <w:rsid w:val="0091744D"/>
    <w:rsid w:val="0091778D"/>
    <w:rsid w:val="00917B2F"/>
    <w:rsid w:val="00917E6C"/>
    <w:rsid w:val="00920339"/>
    <w:rsid w:val="00920421"/>
    <w:rsid w:val="009204BD"/>
    <w:rsid w:val="009209F3"/>
    <w:rsid w:val="00920AE9"/>
    <w:rsid w:val="00920C05"/>
    <w:rsid w:val="00920CDF"/>
    <w:rsid w:val="00920D3C"/>
    <w:rsid w:val="00920EE5"/>
    <w:rsid w:val="00921611"/>
    <w:rsid w:val="009216BA"/>
    <w:rsid w:val="00921F5C"/>
    <w:rsid w:val="0092201B"/>
    <w:rsid w:val="0092242C"/>
    <w:rsid w:val="00922D86"/>
    <w:rsid w:val="00922E8E"/>
    <w:rsid w:val="00923283"/>
    <w:rsid w:val="00923444"/>
    <w:rsid w:val="009238D6"/>
    <w:rsid w:val="00923E22"/>
    <w:rsid w:val="00924248"/>
    <w:rsid w:val="0092448C"/>
    <w:rsid w:val="009246B5"/>
    <w:rsid w:val="0092576C"/>
    <w:rsid w:val="00925CED"/>
    <w:rsid w:val="00925E98"/>
    <w:rsid w:val="00926084"/>
    <w:rsid w:val="0092620B"/>
    <w:rsid w:val="00927BA6"/>
    <w:rsid w:val="00930836"/>
    <w:rsid w:val="00930C5D"/>
    <w:rsid w:val="00931351"/>
    <w:rsid w:val="0093282D"/>
    <w:rsid w:val="00932FF3"/>
    <w:rsid w:val="00933366"/>
    <w:rsid w:val="009333C0"/>
    <w:rsid w:val="00933B24"/>
    <w:rsid w:val="0093447C"/>
    <w:rsid w:val="00934B7A"/>
    <w:rsid w:val="0093510E"/>
    <w:rsid w:val="00935FE4"/>
    <w:rsid w:val="009369C7"/>
    <w:rsid w:val="00936B89"/>
    <w:rsid w:val="00936BBB"/>
    <w:rsid w:val="00936EB8"/>
    <w:rsid w:val="00936EE0"/>
    <w:rsid w:val="00937188"/>
    <w:rsid w:val="009376E3"/>
    <w:rsid w:val="00937829"/>
    <w:rsid w:val="009378CF"/>
    <w:rsid w:val="009400F6"/>
    <w:rsid w:val="00940105"/>
    <w:rsid w:val="00940695"/>
    <w:rsid w:val="0094161E"/>
    <w:rsid w:val="009419E2"/>
    <w:rsid w:val="00941AD6"/>
    <w:rsid w:val="00941F32"/>
    <w:rsid w:val="009421C7"/>
    <w:rsid w:val="00942DF5"/>
    <w:rsid w:val="00942EDB"/>
    <w:rsid w:val="00943051"/>
    <w:rsid w:val="009433C3"/>
    <w:rsid w:val="00944161"/>
    <w:rsid w:val="009447E7"/>
    <w:rsid w:val="0094505C"/>
    <w:rsid w:val="00945140"/>
    <w:rsid w:val="00945939"/>
    <w:rsid w:val="00945CA5"/>
    <w:rsid w:val="00945CF8"/>
    <w:rsid w:val="00945DC2"/>
    <w:rsid w:val="00945E66"/>
    <w:rsid w:val="009466BD"/>
    <w:rsid w:val="009470C6"/>
    <w:rsid w:val="00947184"/>
    <w:rsid w:val="0094723A"/>
    <w:rsid w:val="00947A34"/>
    <w:rsid w:val="00947B97"/>
    <w:rsid w:val="00947F14"/>
    <w:rsid w:val="009505D7"/>
    <w:rsid w:val="00950655"/>
    <w:rsid w:val="00950DCC"/>
    <w:rsid w:val="0095142A"/>
    <w:rsid w:val="0095242C"/>
    <w:rsid w:val="00952481"/>
    <w:rsid w:val="00952B7A"/>
    <w:rsid w:val="00953A9D"/>
    <w:rsid w:val="0095474C"/>
    <w:rsid w:val="00955507"/>
    <w:rsid w:val="009555BC"/>
    <w:rsid w:val="0095595C"/>
    <w:rsid w:val="00955D0C"/>
    <w:rsid w:val="00955E65"/>
    <w:rsid w:val="00956045"/>
    <w:rsid w:val="009566CD"/>
    <w:rsid w:val="00956801"/>
    <w:rsid w:val="00960D1F"/>
    <w:rsid w:val="009616DD"/>
    <w:rsid w:val="0096195F"/>
    <w:rsid w:val="00961AEB"/>
    <w:rsid w:val="00961F18"/>
    <w:rsid w:val="009624EE"/>
    <w:rsid w:val="0096259A"/>
    <w:rsid w:val="00962EE2"/>
    <w:rsid w:val="0096314D"/>
    <w:rsid w:val="009631DE"/>
    <w:rsid w:val="00963B44"/>
    <w:rsid w:val="009647AA"/>
    <w:rsid w:val="00964B27"/>
    <w:rsid w:val="00964DC6"/>
    <w:rsid w:val="0096512E"/>
    <w:rsid w:val="00965187"/>
    <w:rsid w:val="009657E4"/>
    <w:rsid w:val="0096591F"/>
    <w:rsid w:val="00965B7D"/>
    <w:rsid w:val="00965D47"/>
    <w:rsid w:val="00967132"/>
    <w:rsid w:val="00967150"/>
    <w:rsid w:val="0096736A"/>
    <w:rsid w:val="00967552"/>
    <w:rsid w:val="00967CDB"/>
    <w:rsid w:val="00970A40"/>
    <w:rsid w:val="00971089"/>
    <w:rsid w:val="00971105"/>
    <w:rsid w:val="00971460"/>
    <w:rsid w:val="00971979"/>
    <w:rsid w:val="00972366"/>
    <w:rsid w:val="00972DB3"/>
    <w:rsid w:val="009735A1"/>
    <w:rsid w:val="009738C4"/>
    <w:rsid w:val="00973AEE"/>
    <w:rsid w:val="00973BCC"/>
    <w:rsid w:val="00973C0B"/>
    <w:rsid w:val="009744E3"/>
    <w:rsid w:val="00974A8E"/>
    <w:rsid w:val="009754E3"/>
    <w:rsid w:val="00975855"/>
    <w:rsid w:val="00975983"/>
    <w:rsid w:val="00975ABD"/>
    <w:rsid w:val="00975C37"/>
    <w:rsid w:val="00975DC2"/>
    <w:rsid w:val="00976253"/>
    <w:rsid w:val="009764F5"/>
    <w:rsid w:val="00976547"/>
    <w:rsid w:val="0097654D"/>
    <w:rsid w:val="009768C3"/>
    <w:rsid w:val="00976EE3"/>
    <w:rsid w:val="009775BD"/>
    <w:rsid w:val="00977899"/>
    <w:rsid w:val="00977BB9"/>
    <w:rsid w:val="009800E2"/>
    <w:rsid w:val="00980448"/>
    <w:rsid w:val="00980BC7"/>
    <w:rsid w:val="00981801"/>
    <w:rsid w:val="00981A15"/>
    <w:rsid w:val="009821FE"/>
    <w:rsid w:val="00982634"/>
    <w:rsid w:val="0098464C"/>
    <w:rsid w:val="009851B2"/>
    <w:rsid w:val="00985633"/>
    <w:rsid w:val="009857B2"/>
    <w:rsid w:val="00985DFA"/>
    <w:rsid w:val="009866BC"/>
    <w:rsid w:val="00986977"/>
    <w:rsid w:val="00986D34"/>
    <w:rsid w:val="009873ED"/>
    <w:rsid w:val="00987892"/>
    <w:rsid w:val="009900C2"/>
    <w:rsid w:val="00990391"/>
    <w:rsid w:val="00990F4B"/>
    <w:rsid w:val="0099150B"/>
    <w:rsid w:val="00992082"/>
    <w:rsid w:val="00992460"/>
    <w:rsid w:val="009926AB"/>
    <w:rsid w:val="009929F7"/>
    <w:rsid w:val="00993182"/>
    <w:rsid w:val="0099335C"/>
    <w:rsid w:val="009939DB"/>
    <w:rsid w:val="00993D44"/>
    <w:rsid w:val="00994164"/>
    <w:rsid w:val="0099431C"/>
    <w:rsid w:val="009944B8"/>
    <w:rsid w:val="0099475E"/>
    <w:rsid w:val="00994CEE"/>
    <w:rsid w:val="00995121"/>
    <w:rsid w:val="00995FBA"/>
    <w:rsid w:val="0099626D"/>
    <w:rsid w:val="00996523"/>
    <w:rsid w:val="00996548"/>
    <w:rsid w:val="009972CA"/>
    <w:rsid w:val="009973D5"/>
    <w:rsid w:val="00997657"/>
    <w:rsid w:val="00997700"/>
    <w:rsid w:val="00997910"/>
    <w:rsid w:val="00997EBE"/>
    <w:rsid w:val="009A0082"/>
    <w:rsid w:val="009A0AC8"/>
    <w:rsid w:val="009A114A"/>
    <w:rsid w:val="009A22C3"/>
    <w:rsid w:val="009A24B1"/>
    <w:rsid w:val="009A2671"/>
    <w:rsid w:val="009A2E9B"/>
    <w:rsid w:val="009A35A6"/>
    <w:rsid w:val="009A3F62"/>
    <w:rsid w:val="009A4034"/>
    <w:rsid w:val="009A4224"/>
    <w:rsid w:val="009A44FA"/>
    <w:rsid w:val="009A490B"/>
    <w:rsid w:val="009A49E3"/>
    <w:rsid w:val="009A6123"/>
    <w:rsid w:val="009A7B09"/>
    <w:rsid w:val="009A7E71"/>
    <w:rsid w:val="009B029C"/>
    <w:rsid w:val="009B080A"/>
    <w:rsid w:val="009B0870"/>
    <w:rsid w:val="009B0C5E"/>
    <w:rsid w:val="009B10DC"/>
    <w:rsid w:val="009B1124"/>
    <w:rsid w:val="009B13E0"/>
    <w:rsid w:val="009B14B9"/>
    <w:rsid w:val="009B15EA"/>
    <w:rsid w:val="009B1BBC"/>
    <w:rsid w:val="009B2157"/>
    <w:rsid w:val="009B294E"/>
    <w:rsid w:val="009B2C62"/>
    <w:rsid w:val="009B2DCA"/>
    <w:rsid w:val="009B2ED3"/>
    <w:rsid w:val="009B335B"/>
    <w:rsid w:val="009B3D68"/>
    <w:rsid w:val="009B426F"/>
    <w:rsid w:val="009B4899"/>
    <w:rsid w:val="009B519D"/>
    <w:rsid w:val="009B547C"/>
    <w:rsid w:val="009B5C51"/>
    <w:rsid w:val="009B5CC4"/>
    <w:rsid w:val="009B6816"/>
    <w:rsid w:val="009B7173"/>
    <w:rsid w:val="009B7331"/>
    <w:rsid w:val="009B75FC"/>
    <w:rsid w:val="009B76FB"/>
    <w:rsid w:val="009B7D25"/>
    <w:rsid w:val="009B7ED9"/>
    <w:rsid w:val="009B7EE4"/>
    <w:rsid w:val="009B7FD9"/>
    <w:rsid w:val="009C045A"/>
    <w:rsid w:val="009C0AA2"/>
    <w:rsid w:val="009C0BC7"/>
    <w:rsid w:val="009C1596"/>
    <w:rsid w:val="009C1BA2"/>
    <w:rsid w:val="009C1E28"/>
    <w:rsid w:val="009C1E32"/>
    <w:rsid w:val="009C2023"/>
    <w:rsid w:val="009C2704"/>
    <w:rsid w:val="009C2C98"/>
    <w:rsid w:val="009C307A"/>
    <w:rsid w:val="009C33F2"/>
    <w:rsid w:val="009C363C"/>
    <w:rsid w:val="009C3CFB"/>
    <w:rsid w:val="009C3FA8"/>
    <w:rsid w:val="009C4057"/>
    <w:rsid w:val="009C4300"/>
    <w:rsid w:val="009C496C"/>
    <w:rsid w:val="009C4A08"/>
    <w:rsid w:val="009C4D34"/>
    <w:rsid w:val="009C4D4F"/>
    <w:rsid w:val="009C4FD6"/>
    <w:rsid w:val="009C5B45"/>
    <w:rsid w:val="009C64E8"/>
    <w:rsid w:val="009C670F"/>
    <w:rsid w:val="009C6967"/>
    <w:rsid w:val="009C6BE3"/>
    <w:rsid w:val="009C74EA"/>
    <w:rsid w:val="009C75A7"/>
    <w:rsid w:val="009C7774"/>
    <w:rsid w:val="009D0790"/>
    <w:rsid w:val="009D09A8"/>
    <w:rsid w:val="009D0D2E"/>
    <w:rsid w:val="009D0EE3"/>
    <w:rsid w:val="009D1103"/>
    <w:rsid w:val="009D12F9"/>
    <w:rsid w:val="009D18B9"/>
    <w:rsid w:val="009D25B1"/>
    <w:rsid w:val="009D2A3B"/>
    <w:rsid w:val="009D3449"/>
    <w:rsid w:val="009D364D"/>
    <w:rsid w:val="009D3813"/>
    <w:rsid w:val="009D38D3"/>
    <w:rsid w:val="009D39E5"/>
    <w:rsid w:val="009D3ADF"/>
    <w:rsid w:val="009D40AB"/>
    <w:rsid w:val="009D4A46"/>
    <w:rsid w:val="009D4B77"/>
    <w:rsid w:val="009D4EA1"/>
    <w:rsid w:val="009D5F41"/>
    <w:rsid w:val="009D6543"/>
    <w:rsid w:val="009D667B"/>
    <w:rsid w:val="009D6F6E"/>
    <w:rsid w:val="009E01B7"/>
    <w:rsid w:val="009E0F9F"/>
    <w:rsid w:val="009E1BD3"/>
    <w:rsid w:val="009E241B"/>
    <w:rsid w:val="009E2644"/>
    <w:rsid w:val="009E2C40"/>
    <w:rsid w:val="009E304A"/>
    <w:rsid w:val="009E31C4"/>
    <w:rsid w:val="009E3ACF"/>
    <w:rsid w:val="009E3F71"/>
    <w:rsid w:val="009E4468"/>
    <w:rsid w:val="009E44CA"/>
    <w:rsid w:val="009E4876"/>
    <w:rsid w:val="009E4981"/>
    <w:rsid w:val="009E552D"/>
    <w:rsid w:val="009E58D6"/>
    <w:rsid w:val="009E61BC"/>
    <w:rsid w:val="009E620A"/>
    <w:rsid w:val="009E6642"/>
    <w:rsid w:val="009E6763"/>
    <w:rsid w:val="009E71BB"/>
    <w:rsid w:val="009E79B4"/>
    <w:rsid w:val="009F0419"/>
    <w:rsid w:val="009F0947"/>
    <w:rsid w:val="009F0B77"/>
    <w:rsid w:val="009F19EF"/>
    <w:rsid w:val="009F1F22"/>
    <w:rsid w:val="009F2845"/>
    <w:rsid w:val="009F37E0"/>
    <w:rsid w:val="009F38D6"/>
    <w:rsid w:val="009F3B71"/>
    <w:rsid w:val="009F3C97"/>
    <w:rsid w:val="009F3DF2"/>
    <w:rsid w:val="009F472B"/>
    <w:rsid w:val="009F56F4"/>
    <w:rsid w:val="009F632E"/>
    <w:rsid w:val="009F67FF"/>
    <w:rsid w:val="009F6A57"/>
    <w:rsid w:val="009F6F73"/>
    <w:rsid w:val="009F76AB"/>
    <w:rsid w:val="009F797F"/>
    <w:rsid w:val="009F79F6"/>
    <w:rsid w:val="009F7B6F"/>
    <w:rsid w:val="00A00290"/>
    <w:rsid w:val="00A00F72"/>
    <w:rsid w:val="00A00F9F"/>
    <w:rsid w:val="00A018BA"/>
    <w:rsid w:val="00A01EA3"/>
    <w:rsid w:val="00A02B54"/>
    <w:rsid w:val="00A02F0A"/>
    <w:rsid w:val="00A03AF3"/>
    <w:rsid w:val="00A03DB4"/>
    <w:rsid w:val="00A03F8A"/>
    <w:rsid w:val="00A04A8D"/>
    <w:rsid w:val="00A052B0"/>
    <w:rsid w:val="00A05AF1"/>
    <w:rsid w:val="00A05EED"/>
    <w:rsid w:val="00A063C4"/>
    <w:rsid w:val="00A06728"/>
    <w:rsid w:val="00A06F02"/>
    <w:rsid w:val="00A07C6D"/>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B37"/>
    <w:rsid w:val="00A15C6F"/>
    <w:rsid w:val="00A15C87"/>
    <w:rsid w:val="00A15D04"/>
    <w:rsid w:val="00A16190"/>
    <w:rsid w:val="00A17B2C"/>
    <w:rsid w:val="00A17BA4"/>
    <w:rsid w:val="00A17FFE"/>
    <w:rsid w:val="00A20379"/>
    <w:rsid w:val="00A210FA"/>
    <w:rsid w:val="00A2111D"/>
    <w:rsid w:val="00A21280"/>
    <w:rsid w:val="00A215CA"/>
    <w:rsid w:val="00A2183A"/>
    <w:rsid w:val="00A221C5"/>
    <w:rsid w:val="00A22DE2"/>
    <w:rsid w:val="00A23328"/>
    <w:rsid w:val="00A2360E"/>
    <w:rsid w:val="00A23908"/>
    <w:rsid w:val="00A2397E"/>
    <w:rsid w:val="00A239F6"/>
    <w:rsid w:val="00A23F73"/>
    <w:rsid w:val="00A2413E"/>
    <w:rsid w:val="00A241A2"/>
    <w:rsid w:val="00A24231"/>
    <w:rsid w:val="00A2488E"/>
    <w:rsid w:val="00A249E6"/>
    <w:rsid w:val="00A25755"/>
    <w:rsid w:val="00A2579C"/>
    <w:rsid w:val="00A25A9B"/>
    <w:rsid w:val="00A25ECB"/>
    <w:rsid w:val="00A26363"/>
    <w:rsid w:val="00A2673B"/>
    <w:rsid w:val="00A269D0"/>
    <w:rsid w:val="00A26C33"/>
    <w:rsid w:val="00A26D56"/>
    <w:rsid w:val="00A27347"/>
    <w:rsid w:val="00A274C7"/>
    <w:rsid w:val="00A27D12"/>
    <w:rsid w:val="00A27D43"/>
    <w:rsid w:val="00A27E77"/>
    <w:rsid w:val="00A3054D"/>
    <w:rsid w:val="00A3067E"/>
    <w:rsid w:val="00A30B2D"/>
    <w:rsid w:val="00A31108"/>
    <w:rsid w:val="00A315D7"/>
    <w:rsid w:val="00A3194F"/>
    <w:rsid w:val="00A325B6"/>
    <w:rsid w:val="00A32F1E"/>
    <w:rsid w:val="00A33208"/>
    <w:rsid w:val="00A33483"/>
    <w:rsid w:val="00A33F29"/>
    <w:rsid w:val="00A33F81"/>
    <w:rsid w:val="00A343C4"/>
    <w:rsid w:val="00A350F9"/>
    <w:rsid w:val="00A35706"/>
    <w:rsid w:val="00A3582B"/>
    <w:rsid w:val="00A36408"/>
    <w:rsid w:val="00A36474"/>
    <w:rsid w:val="00A36604"/>
    <w:rsid w:val="00A36907"/>
    <w:rsid w:val="00A4005F"/>
    <w:rsid w:val="00A405A6"/>
    <w:rsid w:val="00A40616"/>
    <w:rsid w:val="00A406CB"/>
    <w:rsid w:val="00A407D1"/>
    <w:rsid w:val="00A40D27"/>
    <w:rsid w:val="00A40E37"/>
    <w:rsid w:val="00A414A0"/>
    <w:rsid w:val="00A416FA"/>
    <w:rsid w:val="00A41B13"/>
    <w:rsid w:val="00A41DCD"/>
    <w:rsid w:val="00A425A3"/>
    <w:rsid w:val="00A42A30"/>
    <w:rsid w:val="00A42C33"/>
    <w:rsid w:val="00A437E0"/>
    <w:rsid w:val="00A43BE7"/>
    <w:rsid w:val="00A4457F"/>
    <w:rsid w:val="00A454F9"/>
    <w:rsid w:val="00A4607D"/>
    <w:rsid w:val="00A4619E"/>
    <w:rsid w:val="00A466CC"/>
    <w:rsid w:val="00A467F7"/>
    <w:rsid w:val="00A46D36"/>
    <w:rsid w:val="00A46D49"/>
    <w:rsid w:val="00A46EE8"/>
    <w:rsid w:val="00A47349"/>
    <w:rsid w:val="00A50672"/>
    <w:rsid w:val="00A51DA1"/>
    <w:rsid w:val="00A51F08"/>
    <w:rsid w:val="00A52037"/>
    <w:rsid w:val="00A52FCF"/>
    <w:rsid w:val="00A532B6"/>
    <w:rsid w:val="00A532F7"/>
    <w:rsid w:val="00A537A3"/>
    <w:rsid w:val="00A540B4"/>
    <w:rsid w:val="00A5457B"/>
    <w:rsid w:val="00A55273"/>
    <w:rsid w:val="00A55577"/>
    <w:rsid w:val="00A555A4"/>
    <w:rsid w:val="00A55DD1"/>
    <w:rsid w:val="00A5628F"/>
    <w:rsid w:val="00A566D7"/>
    <w:rsid w:val="00A568F0"/>
    <w:rsid w:val="00A56C30"/>
    <w:rsid w:val="00A57148"/>
    <w:rsid w:val="00A573BA"/>
    <w:rsid w:val="00A606A2"/>
    <w:rsid w:val="00A6092F"/>
    <w:rsid w:val="00A60938"/>
    <w:rsid w:val="00A60B5B"/>
    <w:rsid w:val="00A60C47"/>
    <w:rsid w:val="00A6147B"/>
    <w:rsid w:val="00A61BCB"/>
    <w:rsid w:val="00A61C92"/>
    <w:rsid w:val="00A61D3F"/>
    <w:rsid w:val="00A61DFF"/>
    <w:rsid w:val="00A621C5"/>
    <w:rsid w:val="00A6236C"/>
    <w:rsid w:val="00A62A06"/>
    <w:rsid w:val="00A62D29"/>
    <w:rsid w:val="00A631A4"/>
    <w:rsid w:val="00A63F5C"/>
    <w:rsid w:val="00A654D5"/>
    <w:rsid w:val="00A66B57"/>
    <w:rsid w:val="00A67904"/>
    <w:rsid w:val="00A7025E"/>
    <w:rsid w:val="00A70708"/>
    <w:rsid w:val="00A71D96"/>
    <w:rsid w:val="00A72155"/>
    <w:rsid w:val="00A72194"/>
    <w:rsid w:val="00A72445"/>
    <w:rsid w:val="00A7276D"/>
    <w:rsid w:val="00A73E43"/>
    <w:rsid w:val="00A73EBC"/>
    <w:rsid w:val="00A73F97"/>
    <w:rsid w:val="00A74020"/>
    <w:rsid w:val="00A740A7"/>
    <w:rsid w:val="00A742A7"/>
    <w:rsid w:val="00A74587"/>
    <w:rsid w:val="00A745EF"/>
    <w:rsid w:val="00A74F40"/>
    <w:rsid w:val="00A75DF1"/>
    <w:rsid w:val="00A761A6"/>
    <w:rsid w:val="00A76382"/>
    <w:rsid w:val="00A76705"/>
    <w:rsid w:val="00A76D1F"/>
    <w:rsid w:val="00A76D33"/>
    <w:rsid w:val="00A76F86"/>
    <w:rsid w:val="00A7726B"/>
    <w:rsid w:val="00A77C27"/>
    <w:rsid w:val="00A77CCC"/>
    <w:rsid w:val="00A8099C"/>
    <w:rsid w:val="00A83201"/>
    <w:rsid w:val="00A83847"/>
    <w:rsid w:val="00A83A03"/>
    <w:rsid w:val="00A849D7"/>
    <w:rsid w:val="00A84EB1"/>
    <w:rsid w:val="00A84F07"/>
    <w:rsid w:val="00A85477"/>
    <w:rsid w:val="00A857A9"/>
    <w:rsid w:val="00A85A77"/>
    <w:rsid w:val="00A85CC4"/>
    <w:rsid w:val="00A85E5F"/>
    <w:rsid w:val="00A860AD"/>
    <w:rsid w:val="00A862CC"/>
    <w:rsid w:val="00A8632C"/>
    <w:rsid w:val="00A86703"/>
    <w:rsid w:val="00A8690C"/>
    <w:rsid w:val="00A86C47"/>
    <w:rsid w:val="00A86D3D"/>
    <w:rsid w:val="00A86F78"/>
    <w:rsid w:val="00A8728F"/>
    <w:rsid w:val="00A9106C"/>
    <w:rsid w:val="00A91288"/>
    <w:rsid w:val="00A913CC"/>
    <w:rsid w:val="00A92458"/>
    <w:rsid w:val="00A92461"/>
    <w:rsid w:val="00A92635"/>
    <w:rsid w:val="00A92B39"/>
    <w:rsid w:val="00A93061"/>
    <w:rsid w:val="00A938E4"/>
    <w:rsid w:val="00A93AF1"/>
    <w:rsid w:val="00A93B53"/>
    <w:rsid w:val="00A93DFB"/>
    <w:rsid w:val="00A93FDD"/>
    <w:rsid w:val="00A94240"/>
    <w:rsid w:val="00A94439"/>
    <w:rsid w:val="00A94AF8"/>
    <w:rsid w:val="00A94D1B"/>
    <w:rsid w:val="00A9572A"/>
    <w:rsid w:val="00A95FF9"/>
    <w:rsid w:val="00A971DB"/>
    <w:rsid w:val="00A975A6"/>
    <w:rsid w:val="00A97D99"/>
    <w:rsid w:val="00AA003F"/>
    <w:rsid w:val="00AA0841"/>
    <w:rsid w:val="00AA1162"/>
    <w:rsid w:val="00AA13FE"/>
    <w:rsid w:val="00AA19F6"/>
    <w:rsid w:val="00AA1CD9"/>
    <w:rsid w:val="00AA2068"/>
    <w:rsid w:val="00AA2091"/>
    <w:rsid w:val="00AA30FD"/>
    <w:rsid w:val="00AA3399"/>
    <w:rsid w:val="00AA35B9"/>
    <w:rsid w:val="00AA4226"/>
    <w:rsid w:val="00AA446B"/>
    <w:rsid w:val="00AA48A6"/>
    <w:rsid w:val="00AA5FBD"/>
    <w:rsid w:val="00AA64B9"/>
    <w:rsid w:val="00AB0353"/>
    <w:rsid w:val="00AB0B5F"/>
    <w:rsid w:val="00AB0C5A"/>
    <w:rsid w:val="00AB159B"/>
    <w:rsid w:val="00AB1B0D"/>
    <w:rsid w:val="00AB1C57"/>
    <w:rsid w:val="00AB1EE3"/>
    <w:rsid w:val="00AB2A60"/>
    <w:rsid w:val="00AB2A6B"/>
    <w:rsid w:val="00AB3AFB"/>
    <w:rsid w:val="00AB3B61"/>
    <w:rsid w:val="00AB41D5"/>
    <w:rsid w:val="00AB427C"/>
    <w:rsid w:val="00AB46B1"/>
    <w:rsid w:val="00AB48B4"/>
    <w:rsid w:val="00AB4BBF"/>
    <w:rsid w:val="00AB4E4A"/>
    <w:rsid w:val="00AB5641"/>
    <w:rsid w:val="00AB579A"/>
    <w:rsid w:val="00AB6083"/>
    <w:rsid w:val="00AB6257"/>
    <w:rsid w:val="00AB65EF"/>
    <w:rsid w:val="00AB6962"/>
    <w:rsid w:val="00AB6B89"/>
    <w:rsid w:val="00AB74EB"/>
    <w:rsid w:val="00AC0276"/>
    <w:rsid w:val="00AC06BE"/>
    <w:rsid w:val="00AC0A8C"/>
    <w:rsid w:val="00AC1BCB"/>
    <w:rsid w:val="00AC1EF2"/>
    <w:rsid w:val="00AC22D3"/>
    <w:rsid w:val="00AC34BB"/>
    <w:rsid w:val="00AC439B"/>
    <w:rsid w:val="00AC45AB"/>
    <w:rsid w:val="00AC4610"/>
    <w:rsid w:val="00AC4B43"/>
    <w:rsid w:val="00AC4C96"/>
    <w:rsid w:val="00AC4DFE"/>
    <w:rsid w:val="00AC52A7"/>
    <w:rsid w:val="00AC548F"/>
    <w:rsid w:val="00AC5BB6"/>
    <w:rsid w:val="00AC5BE4"/>
    <w:rsid w:val="00AC61CF"/>
    <w:rsid w:val="00AC6276"/>
    <w:rsid w:val="00AC6583"/>
    <w:rsid w:val="00AC660C"/>
    <w:rsid w:val="00AC6CE4"/>
    <w:rsid w:val="00AC7212"/>
    <w:rsid w:val="00AC73C2"/>
    <w:rsid w:val="00AC765F"/>
    <w:rsid w:val="00AC77CA"/>
    <w:rsid w:val="00AC780C"/>
    <w:rsid w:val="00AC7A1C"/>
    <w:rsid w:val="00AD0822"/>
    <w:rsid w:val="00AD08DC"/>
    <w:rsid w:val="00AD0F38"/>
    <w:rsid w:val="00AD15E1"/>
    <w:rsid w:val="00AD1EA0"/>
    <w:rsid w:val="00AD2645"/>
    <w:rsid w:val="00AD280C"/>
    <w:rsid w:val="00AD2FEA"/>
    <w:rsid w:val="00AD340E"/>
    <w:rsid w:val="00AD375D"/>
    <w:rsid w:val="00AD48BD"/>
    <w:rsid w:val="00AD5842"/>
    <w:rsid w:val="00AD589E"/>
    <w:rsid w:val="00AE012A"/>
    <w:rsid w:val="00AE0373"/>
    <w:rsid w:val="00AE118A"/>
    <w:rsid w:val="00AE173B"/>
    <w:rsid w:val="00AE1EE2"/>
    <w:rsid w:val="00AE21C7"/>
    <w:rsid w:val="00AE24CD"/>
    <w:rsid w:val="00AE281B"/>
    <w:rsid w:val="00AE300D"/>
    <w:rsid w:val="00AE303B"/>
    <w:rsid w:val="00AE3912"/>
    <w:rsid w:val="00AE5237"/>
    <w:rsid w:val="00AE5726"/>
    <w:rsid w:val="00AE5A9F"/>
    <w:rsid w:val="00AE5E62"/>
    <w:rsid w:val="00AE628D"/>
    <w:rsid w:val="00AE663A"/>
    <w:rsid w:val="00AE6BB1"/>
    <w:rsid w:val="00AE6EE1"/>
    <w:rsid w:val="00AE6F3A"/>
    <w:rsid w:val="00AE7115"/>
    <w:rsid w:val="00AE75AA"/>
    <w:rsid w:val="00AE7A5A"/>
    <w:rsid w:val="00AE7D5A"/>
    <w:rsid w:val="00AF0167"/>
    <w:rsid w:val="00AF01F6"/>
    <w:rsid w:val="00AF0992"/>
    <w:rsid w:val="00AF0E86"/>
    <w:rsid w:val="00AF1018"/>
    <w:rsid w:val="00AF1FE6"/>
    <w:rsid w:val="00AF1FF2"/>
    <w:rsid w:val="00AF2152"/>
    <w:rsid w:val="00AF233B"/>
    <w:rsid w:val="00AF2351"/>
    <w:rsid w:val="00AF2AE3"/>
    <w:rsid w:val="00AF2B52"/>
    <w:rsid w:val="00AF2E98"/>
    <w:rsid w:val="00AF30A6"/>
    <w:rsid w:val="00AF3864"/>
    <w:rsid w:val="00AF40AC"/>
    <w:rsid w:val="00AF4609"/>
    <w:rsid w:val="00AF5060"/>
    <w:rsid w:val="00AF6509"/>
    <w:rsid w:val="00AF671F"/>
    <w:rsid w:val="00AF7A35"/>
    <w:rsid w:val="00B00017"/>
    <w:rsid w:val="00B00282"/>
    <w:rsid w:val="00B00503"/>
    <w:rsid w:val="00B013FF"/>
    <w:rsid w:val="00B01506"/>
    <w:rsid w:val="00B01A5B"/>
    <w:rsid w:val="00B01C8D"/>
    <w:rsid w:val="00B020E6"/>
    <w:rsid w:val="00B02404"/>
    <w:rsid w:val="00B02695"/>
    <w:rsid w:val="00B03588"/>
    <w:rsid w:val="00B03A8A"/>
    <w:rsid w:val="00B03C75"/>
    <w:rsid w:val="00B04005"/>
    <w:rsid w:val="00B04220"/>
    <w:rsid w:val="00B046A3"/>
    <w:rsid w:val="00B04897"/>
    <w:rsid w:val="00B05541"/>
    <w:rsid w:val="00B0568B"/>
    <w:rsid w:val="00B05929"/>
    <w:rsid w:val="00B059E4"/>
    <w:rsid w:val="00B05D9F"/>
    <w:rsid w:val="00B0607E"/>
    <w:rsid w:val="00B06419"/>
    <w:rsid w:val="00B079A1"/>
    <w:rsid w:val="00B07DBB"/>
    <w:rsid w:val="00B10003"/>
    <w:rsid w:val="00B100A1"/>
    <w:rsid w:val="00B10F95"/>
    <w:rsid w:val="00B11304"/>
    <w:rsid w:val="00B123B5"/>
    <w:rsid w:val="00B12817"/>
    <w:rsid w:val="00B12D27"/>
    <w:rsid w:val="00B1380B"/>
    <w:rsid w:val="00B138A1"/>
    <w:rsid w:val="00B149BE"/>
    <w:rsid w:val="00B14D8F"/>
    <w:rsid w:val="00B15316"/>
    <w:rsid w:val="00B15352"/>
    <w:rsid w:val="00B16117"/>
    <w:rsid w:val="00B1666D"/>
    <w:rsid w:val="00B16971"/>
    <w:rsid w:val="00B16985"/>
    <w:rsid w:val="00B169FC"/>
    <w:rsid w:val="00B170EE"/>
    <w:rsid w:val="00B175F0"/>
    <w:rsid w:val="00B178E5"/>
    <w:rsid w:val="00B17AEC"/>
    <w:rsid w:val="00B17FA7"/>
    <w:rsid w:val="00B20F6C"/>
    <w:rsid w:val="00B215B1"/>
    <w:rsid w:val="00B21D0B"/>
    <w:rsid w:val="00B222BA"/>
    <w:rsid w:val="00B223D7"/>
    <w:rsid w:val="00B2298A"/>
    <w:rsid w:val="00B22D7A"/>
    <w:rsid w:val="00B2302D"/>
    <w:rsid w:val="00B2343B"/>
    <w:rsid w:val="00B23642"/>
    <w:rsid w:val="00B2388B"/>
    <w:rsid w:val="00B23AE7"/>
    <w:rsid w:val="00B24504"/>
    <w:rsid w:val="00B248A8"/>
    <w:rsid w:val="00B249AF"/>
    <w:rsid w:val="00B25105"/>
    <w:rsid w:val="00B25633"/>
    <w:rsid w:val="00B25718"/>
    <w:rsid w:val="00B25E16"/>
    <w:rsid w:val="00B2614C"/>
    <w:rsid w:val="00B26399"/>
    <w:rsid w:val="00B2669E"/>
    <w:rsid w:val="00B26CF4"/>
    <w:rsid w:val="00B26F1B"/>
    <w:rsid w:val="00B26F51"/>
    <w:rsid w:val="00B27448"/>
    <w:rsid w:val="00B27F21"/>
    <w:rsid w:val="00B30DD7"/>
    <w:rsid w:val="00B31E76"/>
    <w:rsid w:val="00B32218"/>
    <w:rsid w:val="00B324AF"/>
    <w:rsid w:val="00B3289A"/>
    <w:rsid w:val="00B33495"/>
    <w:rsid w:val="00B33910"/>
    <w:rsid w:val="00B345DB"/>
    <w:rsid w:val="00B3519D"/>
    <w:rsid w:val="00B356B1"/>
    <w:rsid w:val="00B35AD0"/>
    <w:rsid w:val="00B35B62"/>
    <w:rsid w:val="00B36371"/>
    <w:rsid w:val="00B36500"/>
    <w:rsid w:val="00B3670C"/>
    <w:rsid w:val="00B368D9"/>
    <w:rsid w:val="00B36904"/>
    <w:rsid w:val="00B3696B"/>
    <w:rsid w:val="00B36D34"/>
    <w:rsid w:val="00B371AA"/>
    <w:rsid w:val="00B37837"/>
    <w:rsid w:val="00B37B39"/>
    <w:rsid w:val="00B37F9B"/>
    <w:rsid w:val="00B40203"/>
    <w:rsid w:val="00B40526"/>
    <w:rsid w:val="00B40CB0"/>
    <w:rsid w:val="00B40E24"/>
    <w:rsid w:val="00B41A06"/>
    <w:rsid w:val="00B41A0D"/>
    <w:rsid w:val="00B41A82"/>
    <w:rsid w:val="00B41CE6"/>
    <w:rsid w:val="00B434C7"/>
    <w:rsid w:val="00B434D1"/>
    <w:rsid w:val="00B43835"/>
    <w:rsid w:val="00B43865"/>
    <w:rsid w:val="00B4463B"/>
    <w:rsid w:val="00B45314"/>
    <w:rsid w:val="00B4591B"/>
    <w:rsid w:val="00B45C4A"/>
    <w:rsid w:val="00B461B4"/>
    <w:rsid w:val="00B466B7"/>
    <w:rsid w:val="00B468AE"/>
    <w:rsid w:val="00B503CC"/>
    <w:rsid w:val="00B5059B"/>
    <w:rsid w:val="00B50AA8"/>
    <w:rsid w:val="00B50D07"/>
    <w:rsid w:val="00B5145D"/>
    <w:rsid w:val="00B51BE9"/>
    <w:rsid w:val="00B51C94"/>
    <w:rsid w:val="00B51CF9"/>
    <w:rsid w:val="00B52646"/>
    <w:rsid w:val="00B52A42"/>
    <w:rsid w:val="00B52E15"/>
    <w:rsid w:val="00B53D2C"/>
    <w:rsid w:val="00B5425F"/>
    <w:rsid w:val="00B56E8F"/>
    <w:rsid w:val="00B57132"/>
    <w:rsid w:val="00B5751B"/>
    <w:rsid w:val="00B5755C"/>
    <w:rsid w:val="00B577D0"/>
    <w:rsid w:val="00B60378"/>
    <w:rsid w:val="00B60673"/>
    <w:rsid w:val="00B612F2"/>
    <w:rsid w:val="00B6189E"/>
    <w:rsid w:val="00B619D8"/>
    <w:rsid w:val="00B625E3"/>
    <w:rsid w:val="00B629A5"/>
    <w:rsid w:val="00B62D62"/>
    <w:rsid w:val="00B62DC9"/>
    <w:rsid w:val="00B62F2A"/>
    <w:rsid w:val="00B6346A"/>
    <w:rsid w:val="00B6360C"/>
    <w:rsid w:val="00B63723"/>
    <w:rsid w:val="00B6507B"/>
    <w:rsid w:val="00B650AE"/>
    <w:rsid w:val="00B65255"/>
    <w:rsid w:val="00B654E3"/>
    <w:rsid w:val="00B65B79"/>
    <w:rsid w:val="00B65FF1"/>
    <w:rsid w:val="00B661AF"/>
    <w:rsid w:val="00B663E6"/>
    <w:rsid w:val="00B66447"/>
    <w:rsid w:val="00B665E2"/>
    <w:rsid w:val="00B66CC1"/>
    <w:rsid w:val="00B66F01"/>
    <w:rsid w:val="00B6735F"/>
    <w:rsid w:val="00B67E72"/>
    <w:rsid w:val="00B7057A"/>
    <w:rsid w:val="00B70652"/>
    <w:rsid w:val="00B70741"/>
    <w:rsid w:val="00B70CE7"/>
    <w:rsid w:val="00B70D76"/>
    <w:rsid w:val="00B70DF5"/>
    <w:rsid w:val="00B71462"/>
    <w:rsid w:val="00B71A48"/>
    <w:rsid w:val="00B71A9E"/>
    <w:rsid w:val="00B71B5E"/>
    <w:rsid w:val="00B7244D"/>
    <w:rsid w:val="00B7278F"/>
    <w:rsid w:val="00B72BFF"/>
    <w:rsid w:val="00B72D91"/>
    <w:rsid w:val="00B72DA3"/>
    <w:rsid w:val="00B72FA2"/>
    <w:rsid w:val="00B73926"/>
    <w:rsid w:val="00B73CB5"/>
    <w:rsid w:val="00B73D29"/>
    <w:rsid w:val="00B7423A"/>
    <w:rsid w:val="00B7449C"/>
    <w:rsid w:val="00B746FD"/>
    <w:rsid w:val="00B74D01"/>
    <w:rsid w:val="00B74DC7"/>
    <w:rsid w:val="00B74FD9"/>
    <w:rsid w:val="00B74FF1"/>
    <w:rsid w:val="00B75209"/>
    <w:rsid w:val="00B75DCA"/>
    <w:rsid w:val="00B75EBF"/>
    <w:rsid w:val="00B75ED1"/>
    <w:rsid w:val="00B762D8"/>
    <w:rsid w:val="00B7643C"/>
    <w:rsid w:val="00B76596"/>
    <w:rsid w:val="00B769FA"/>
    <w:rsid w:val="00B77723"/>
    <w:rsid w:val="00B7791E"/>
    <w:rsid w:val="00B77AEA"/>
    <w:rsid w:val="00B80F69"/>
    <w:rsid w:val="00B81780"/>
    <w:rsid w:val="00B81DE5"/>
    <w:rsid w:val="00B82514"/>
    <w:rsid w:val="00B82F4F"/>
    <w:rsid w:val="00B836D5"/>
    <w:rsid w:val="00B848B6"/>
    <w:rsid w:val="00B85013"/>
    <w:rsid w:val="00B854E7"/>
    <w:rsid w:val="00B855F2"/>
    <w:rsid w:val="00B856F8"/>
    <w:rsid w:val="00B868AD"/>
    <w:rsid w:val="00B8776D"/>
    <w:rsid w:val="00B877D1"/>
    <w:rsid w:val="00B878C7"/>
    <w:rsid w:val="00B87D82"/>
    <w:rsid w:val="00B900CB"/>
    <w:rsid w:val="00B9039D"/>
    <w:rsid w:val="00B905AE"/>
    <w:rsid w:val="00B90B51"/>
    <w:rsid w:val="00B9100D"/>
    <w:rsid w:val="00B913D2"/>
    <w:rsid w:val="00B917AD"/>
    <w:rsid w:val="00B9195A"/>
    <w:rsid w:val="00B91F42"/>
    <w:rsid w:val="00B920D0"/>
    <w:rsid w:val="00B92170"/>
    <w:rsid w:val="00B9217E"/>
    <w:rsid w:val="00B92720"/>
    <w:rsid w:val="00B92865"/>
    <w:rsid w:val="00B92DA3"/>
    <w:rsid w:val="00B934BC"/>
    <w:rsid w:val="00B93851"/>
    <w:rsid w:val="00B939E6"/>
    <w:rsid w:val="00B93E9E"/>
    <w:rsid w:val="00B93FA7"/>
    <w:rsid w:val="00B94453"/>
    <w:rsid w:val="00B945B1"/>
    <w:rsid w:val="00B9479A"/>
    <w:rsid w:val="00B94B62"/>
    <w:rsid w:val="00B94F3B"/>
    <w:rsid w:val="00B95368"/>
    <w:rsid w:val="00B95B3B"/>
    <w:rsid w:val="00B9644C"/>
    <w:rsid w:val="00B9653C"/>
    <w:rsid w:val="00B97104"/>
    <w:rsid w:val="00B97164"/>
    <w:rsid w:val="00B9728D"/>
    <w:rsid w:val="00B97375"/>
    <w:rsid w:val="00B97862"/>
    <w:rsid w:val="00BA0638"/>
    <w:rsid w:val="00BA0824"/>
    <w:rsid w:val="00BA09DE"/>
    <w:rsid w:val="00BA0EEE"/>
    <w:rsid w:val="00BA1315"/>
    <w:rsid w:val="00BA1537"/>
    <w:rsid w:val="00BA1620"/>
    <w:rsid w:val="00BA1644"/>
    <w:rsid w:val="00BA1EEA"/>
    <w:rsid w:val="00BA251D"/>
    <w:rsid w:val="00BA27E1"/>
    <w:rsid w:val="00BA2D55"/>
    <w:rsid w:val="00BA30DF"/>
    <w:rsid w:val="00BA31FC"/>
    <w:rsid w:val="00BA41B1"/>
    <w:rsid w:val="00BA4655"/>
    <w:rsid w:val="00BA4DB8"/>
    <w:rsid w:val="00BA5D93"/>
    <w:rsid w:val="00BA5FCB"/>
    <w:rsid w:val="00BA6A5B"/>
    <w:rsid w:val="00BA708B"/>
    <w:rsid w:val="00BA7A13"/>
    <w:rsid w:val="00BA7FDB"/>
    <w:rsid w:val="00BB0C93"/>
    <w:rsid w:val="00BB17C3"/>
    <w:rsid w:val="00BB19B2"/>
    <w:rsid w:val="00BB1BA2"/>
    <w:rsid w:val="00BB286C"/>
    <w:rsid w:val="00BB2A8C"/>
    <w:rsid w:val="00BB2B90"/>
    <w:rsid w:val="00BB2D85"/>
    <w:rsid w:val="00BB2E01"/>
    <w:rsid w:val="00BB30EE"/>
    <w:rsid w:val="00BB31CC"/>
    <w:rsid w:val="00BB332F"/>
    <w:rsid w:val="00BB4792"/>
    <w:rsid w:val="00BB4D63"/>
    <w:rsid w:val="00BB50C0"/>
    <w:rsid w:val="00BB5286"/>
    <w:rsid w:val="00BB52FF"/>
    <w:rsid w:val="00BB5994"/>
    <w:rsid w:val="00BB5D74"/>
    <w:rsid w:val="00BB5E8F"/>
    <w:rsid w:val="00BB5FD4"/>
    <w:rsid w:val="00BB640C"/>
    <w:rsid w:val="00BB6761"/>
    <w:rsid w:val="00BB6A0E"/>
    <w:rsid w:val="00BB6BCD"/>
    <w:rsid w:val="00BB6E96"/>
    <w:rsid w:val="00BB768F"/>
    <w:rsid w:val="00BC0691"/>
    <w:rsid w:val="00BC0BFD"/>
    <w:rsid w:val="00BC2ADB"/>
    <w:rsid w:val="00BC2EE0"/>
    <w:rsid w:val="00BC5477"/>
    <w:rsid w:val="00BC5C90"/>
    <w:rsid w:val="00BC684B"/>
    <w:rsid w:val="00BC68E8"/>
    <w:rsid w:val="00BC7740"/>
    <w:rsid w:val="00BC7A27"/>
    <w:rsid w:val="00BD06C3"/>
    <w:rsid w:val="00BD1005"/>
    <w:rsid w:val="00BD13AD"/>
    <w:rsid w:val="00BD17AA"/>
    <w:rsid w:val="00BD1903"/>
    <w:rsid w:val="00BD1A7A"/>
    <w:rsid w:val="00BD1E0E"/>
    <w:rsid w:val="00BD22F8"/>
    <w:rsid w:val="00BD2518"/>
    <w:rsid w:val="00BD2E79"/>
    <w:rsid w:val="00BD2EB5"/>
    <w:rsid w:val="00BD31F1"/>
    <w:rsid w:val="00BD33BA"/>
    <w:rsid w:val="00BD3866"/>
    <w:rsid w:val="00BD3B79"/>
    <w:rsid w:val="00BD3BA8"/>
    <w:rsid w:val="00BD435A"/>
    <w:rsid w:val="00BD43BB"/>
    <w:rsid w:val="00BD453B"/>
    <w:rsid w:val="00BD4822"/>
    <w:rsid w:val="00BD50E9"/>
    <w:rsid w:val="00BD5C21"/>
    <w:rsid w:val="00BD610C"/>
    <w:rsid w:val="00BD6319"/>
    <w:rsid w:val="00BD6B37"/>
    <w:rsid w:val="00BD6B4F"/>
    <w:rsid w:val="00BD6F3F"/>
    <w:rsid w:val="00BD72A2"/>
    <w:rsid w:val="00BD7669"/>
    <w:rsid w:val="00BD7AE1"/>
    <w:rsid w:val="00BE0172"/>
    <w:rsid w:val="00BE0234"/>
    <w:rsid w:val="00BE05CB"/>
    <w:rsid w:val="00BE0B5E"/>
    <w:rsid w:val="00BE0FF9"/>
    <w:rsid w:val="00BE1080"/>
    <w:rsid w:val="00BE12A4"/>
    <w:rsid w:val="00BE15E4"/>
    <w:rsid w:val="00BE1B41"/>
    <w:rsid w:val="00BE1D7F"/>
    <w:rsid w:val="00BE1D86"/>
    <w:rsid w:val="00BE1D8E"/>
    <w:rsid w:val="00BE23C5"/>
    <w:rsid w:val="00BE291D"/>
    <w:rsid w:val="00BE3B0A"/>
    <w:rsid w:val="00BE3BC2"/>
    <w:rsid w:val="00BE4008"/>
    <w:rsid w:val="00BE4095"/>
    <w:rsid w:val="00BE43FA"/>
    <w:rsid w:val="00BE4953"/>
    <w:rsid w:val="00BE4A6D"/>
    <w:rsid w:val="00BE4D7F"/>
    <w:rsid w:val="00BE5245"/>
    <w:rsid w:val="00BE5F91"/>
    <w:rsid w:val="00BE61FC"/>
    <w:rsid w:val="00BE6C9B"/>
    <w:rsid w:val="00BE6F72"/>
    <w:rsid w:val="00BE711B"/>
    <w:rsid w:val="00BE77DB"/>
    <w:rsid w:val="00BF0FB0"/>
    <w:rsid w:val="00BF10FD"/>
    <w:rsid w:val="00BF190D"/>
    <w:rsid w:val="00BF19EA"/>
    <w:rsid w:val="00BF2AF5"/>
    <w:rsid w:val="00BF2BE8"/>
    <w:rsid w:val="00BF31D6"/>
    <w:rsid w:val="00BF327D"/>
    <w:rsid w:val="00BF3577"/>
    <w:rsid w:val="00BF3748"/>
    <w:rsid w:val="00BF3791"/>
    <w:rsid w:val="00BF3C3B"/>
    <w:rsid w:val="00BF3CE9"/>
    <w:rsid w:val="00BF478F"/>
    <w:rsid w:val="00BF48FB"/>
    <w:rsid w:val="00BF4963"/>
    <w:rsid w:val="00BF49E8"/>
    <w:rsid w:val="00BF4F3F"/>
    <w:rsid w:val="00BF50CE"/>
    <w:rsid w:val="00BF54B0"/>
    <w:rsid w:val="00BF5AA0"/>
    <w:rsid w:val="00BF5B7E"/>
    <w:rsid w:val="00BF5D94"/>
    <w:rsid w:val="00BF6049"/>
    <w:rsid w:val="00BF64B0"/>
    <w:rsid w:val="00BF6965"/>
    <w:rsid w:val="00BF7E28"/>
    <w:rsid w:val="00C000CB"/>
    <w:rsid w:val="00C001C7"/>
    <w:rsid w:val="00C003D1"/>
    <w:rsid w:val="00C00CD5"/>
    <w:rsid w:val="00C0117C"/>
    <w:rsid w:val="00C016EC"/>
    <w:rsid w:val="00C0178C"/>
    <w:rsid w:val="00C01B23"/>
    <w:rsid w:val="00C01B42"/>
    <w:rsid w:val="00C01E91"/>
    <w:rsid w:val="00C02B2C"/>
    <w:rsid w:val="00C02BD0"/>
    <w:rsid w:val="00C0319D"/>
    <w:rsid w:val="00C04222"/>
    <w:rsid w:val="00C05019"/>
    <w:rsid w:val="00C0521A"/>
    <w:rsid w:val="00C054B4"/>
    <w:rsid w:val="00C05FFF"/>
    <w:rsid w:val="00C06950"/>
    <w:rsid w:val="00C06F98"/>
    <w:rsid w:val="00C0716E"/>
    <w:rsid w:val="00C077D0"/>
    <w:rsid w:val="00C07A94"/>
    <w:rsid w:val="00C07C58"/>
    <w:rsid w:val="00C10B8E"/>
    <w:rsid w:val="00C119FF"/>
    <w:rsid w:val="00C12762"/>
    <w:rsid w:val="00C13BD1"/>
    <w:rsid w:val="00C13FC0"/>
    <w:rsid w:val="00C13FFB"/>
    <w:rsid w:val="00C145B2"/>
    <w:rsid w:val="00C14960"/>
    <w:rsid w:val="00C14C24"/>
    <w:rsid w:val="00C14C6F"/>
    <w:rsid w:val="00C14F2C"/>
    <w:rsid w:val="00C151A3"/>
    <w:rsid w:val="00C1526D"/>
    <w:rsid w:val="00C153E9"/>
    <w:rsid w:val="00C1549C"/>
    <w:rsid w:val="00C1585C"/>
    <w:rsid w:val="00C1631B"/>
    <w:rsid w:val="00C1631C"/>
    <w:rsid w:val="00C16BA2"/>
    <w:rsid w:val="00C16D19"/>
    <w:rsid w:val="00C172B2"/>
    <w:rsid w:val="00C17A04"/>
    <w:rsid w:val="00C17A9B"/>
    <w:rsid w:val="00C200A9"/>
    <w:rsid w:val="00C20853"/>
    <w:rsid w:val="00C2106E"/>
    <w:rsid w:val="00C21A49"/>
    <w:rsid w:val="00C21B66"/>
    <w:rsid w:val="00C22FB2"/>
    <w:rsid w:val="00C2316A"/>
    <w:rsid w:val="00C2374E"/>
    <w:rsid w:val="00C23778"/>
    <w:rsid w:val="00C23B38"/>
    <w:rsid w:val="00C2479A"/>
    <w:rsid w:val="00C2497C"/>
    <w:rsid w:val="00C24DAD"/>
    <w:rsid w:val="00C25C2D"/>
    <w:rsid w:val="00C26B08"/>
    <w:rsid w:val="00C26BEF"/>
    <w:rsid w:val="00C27306"/>
    <w:rsid w:val="00C2753A"/>
    <w:rsid w:val="00C2788D"/>
    <w:rsid w:val="00C278D7"/>
    <w:rsid w:val="00C27C57"/>
    <w:rsid w:val="00C27CB1"/>
    <w:rsid w:val="00C30293"/>
    <w:rsid w:val="00C3045F"/>
    <w:rsid w:val="00C304B3"/>
    <w:rsid w:val="00C30860"/>
    <w:rsid w:val="00C311DC"/>
    <w:rsid w:val="00C31437"/>
    <w:rsid w:val="00C320A2"/>
    <w:rsid w:val="00C328E7"/>
    <w:rsid w:val="00C32D35"/>
    <w:rsid w:val="00C32E3C"/>
    <w:rsid w:val="00C33451"/>
    <w:rsid w:val="00C33930"/>
    <w:rsid w:val="00C33B47"/>
    <w:rsid w:val="00C34430"/>
    <w:rsid w:val="00C3480A"/>
    <w:rsid w:val="00C34831"/>
    <w:rsid w:val="00C34B21"/>
    <w:rsid w:val="00C34D68"/>
    <w:rsid w:val="00C35AF6"/>
    <w:rsid w:val="00C35BC7"/>
    <w:rsid w:val="00C35C1C"/>
    <w:rsid w:val="00C35DEB"/>
    <w:rsid w:val="00C3600F"/>
    <w:rsid w:val="00C367E2"/>
    <w:rsid w:val="00C36C68"/>
    <w:rsid w:val="00C370CD"/>
    <w:rsid w:val="00C40120"/>
    <w:rsid w:val="00C402E1"/>
    <w:rsid w:val="00C406E2"/>
    <w:rsid w:val="00C40771"/>
    <w:rsid w:val="00C40887"/>
    <w:rsid w:val="00C40F09"/>
    <w:rsid w:val="00C41A69"/>
    <w:rsid w:val="00C41BDC"/>
    <w:rsid w:val="00C429C6"/>
    <w:rsid w:val="00C42CA6"/>
    <w:rsid w:val="00C42ED5"/>
    <w:rsid w:val="00C431B8"/>
    <w:rsid w:val="00C43451"/>
    <w:rsid w:val="00C439F7"/>
    <w:rsid w:val="00C43C18"/>
    <w:rsid w:val="00C44C73"/>
    <w:rsid w:val="00C44E61"/>
    <w:rsid w:val="00C45E07"/>
    <w:rsid w:val="00C4649C"/>
    <w:rsid w:val="00C46B7F"/>
    <w:rsid w:val="00C476F8"/>
    <w:rsid w:val="00C47D2C"/>
    <w:rsid w:val="00C47E1E"/>
    <w:rsid w:val="00C500A0"/>
    <w:rsid w:val="00C5050E"/>
    <w:rsid w:val="00C5063E"/>
    <w:rsid w:val="00C5102F"/>
    <w:rsid w:val="00C512F7"/>
    <w:rsid w:val="00C51731"/>
    <w:rsid w:val="00C51DA7"/>
    <w:rsid w:val="00C51FE1"/>
    <w:rsid w:val="00C52710"/>
    <w:rsid w:val="00C52780"/>
    <w:rsid w:val="00C52C12"/>
    <w:rsid w:val="00C52EC0"/>
    <w:rsid w:val="00C52FC1"/>
    <w:rsid w:val="00C5332D"/>
    <w:rsid w:val="00C53398"/>
    <w:rsid w:val="00C5357A"/>
    <w:rsid w:val="00C5407C"/>
    <w:rsid w:val="00C55CCF"/>
    <w:rsid w:val="00C55EB3"/>
    <w:rsid w:val="00C56933"/>
    <w:rsid w:val="00C5698E"/>
    <w:rsid w:val="00C56DB1"/>
    <w:rsid w:val="00C57C75"/>
    <w:rsid w:val="00C6082D"/>
    <w:rsid w:val="00C60AB0"/>
    <w:rsid w:val="00C60FBE"/>
    <w:rsid w:val="00C618BD"/>
    <w:rsid w:val="00C6191D"/>
    <w:rsid w:val="00C61CCA"/>
    <w:rsid w:val="00C62CC4"/>
    <w:rsid w:val="00C63081"/>
    <w:rsid w:val="00C630EC"/>
    <w:rsid w:val="00C63403"/>
    <w:rsid w:val="00C63B59"/>
    <w:rsid w:val="00C63DF5"/>
    <w:rsid w:val="00C63E27"/>
    <w:rsid w:val="00C6414D"/>
    <w:rsid w:val="00C6497A"/>
    <w:rsid w:val="00C64A26"/>
    <w:rsid w:val="00C64E90"/>
    <w:rsid w:val="00C65691"/>
    <w:rsid w:val="00C66201"/>
    <w:rsid w:val="00C673F6"/>
    <w:rsid w:val="00C6745C"/>
    <w:rsid w:val="00C677A1"/>
    <w:rsid w:val="00C67BB2"/>
    <w:rsid w:val="00C67CCF"/>
    <w:rsid w:val="00C67FF8"/>
    <w:rsid w:val="00C70213"/>
    <w:rsid w:val="00C70363"/>
    <w:rsid w:val="00C7104B"/>
    <w:rsid w:val="00C7166A"/>
    <w:rsid w:val="00C7223B"/>
    <w:rsid w:val="00C72452"/>
    <w:rsid w:val="00C72844"/>
    <w:rsid w:val="00C73521"/>
    <w:rsid w:val="00C7365B"/>
    <w:rsid w:val="00C7377B"/>
    <w:rsid w:val="00C738AF"/>
    <w:rsid w:val="00C73C68"/>
    <w:rsid w:val="00C73EB5"/>
    <w:rsid w:val="00C744C6"/>
    <w:rsid w:val="00C74722"/>
    <w:rsid w:val="00C7479A"/>
    <w:rsid w:val="00C748D0"/>
    <w:rsid w:val="00C74D7E"/>
    <w:rsid w:val="00C74F2D"/>
    <w:rsid w:val="00C75722"/>
    <w:rsid w:val="00C7651E"/>
    <w:rsid w:val="00C76C49"/>
    <w:rsid w:val="00C77292"/>
    <w:rsid w:val="00C77AA2"/>
    <w:rsid w:val="00C801CF"/>
    <w:rsid w:val="00C81814"/>
    <w:rsid w:val="00C81C3C"/>
    <w:rsid w:val="00C81F21"/>
    <w:rsid w:val="00C82048"/>
    <w:rsid w:val="00C82533"/>
    <w:rsid w:val="00C82738"/>
    <w:rsid w:val="00C82ED8"/>
    <w:rsid w:val="00C831A2"/>
    <w:rsid w:val="00C833A5"/>
    <w:rsid w:val="00C83546"/>
    <w:rsid w:val="00C83858"/>
    <w:rsid w:val="00C84341"/>
    <w:rsid w:val="00C84A9F"/>
    <w:rsid w:val="00C85061"/>
    <w:rsid w:val="00C85161"/>
    <w:rsid w:val="00C856C0"/>
    <w:rsid w:val="00C85B4F"/>
    <w:rsid w:val="00C85DC3"/>
    <w:rsid w:val="00C865BA"/>
    <w:rsid w:val="00C87339"/>
    <w:rsid w:val="00C87BC6"/>
    <w:rsid w:val="00C90A99"/>
    <w:rsid w:val="00C90AD7"/>
    <w:rsid w:val="00C90C4C"/>
    <w:rsid w:val="00C914C8"/>
    <w:rsid w:val="00C91709"/>
    <w:rsid w:val="00C92015"/>
    <w:rsid w:val="00C9215C"/>
    <w:rsid w:val="00C92200"/>
    <w:rsid w:val="00C925CC"/>
    <w:rsid w:val="00C93167"/>
    <w:rsid w:val="00C931A1"/>
    <w:rsid w:val="00C9386F"/>
    <w:rsid w:val="00C941F2"/>
    <w:rsid w:val="00C942BC"/>
    <w:rsid w:val="00C94C02"/>
    <w:rsid w:val="00C94FCB"/>
    <w:rsid w:val="00C958D3"/>
    <w:rsid w:val="00C95C46"/>
    <w:rsid w:val="00C96043"/>
    <w:rsid w:val="00C96418"/>
    <w:rsid w:val="00C9649E"/>
    <w:rsid w:val="00C964C4"/>
    <w:rsid w:val="00C96C58"/>
    <w:rsid w:val="00C96C9C"/>
    <w:rsid w:val="00C97150"/>
    <w:rsid w:val="00C97506"/>
    <w:rsid w:val="00C97FE6"/>
    <w:rsid w:val="00CA0590"/>
    <w:rsid w:val="00CA1947"/>
    <w:rsid w:val="00CA1B0B"/>
    <w:rsid w:val="00CA25EF"/>
    <w:rsid w:val="00CA3269"/>
    <w:rsid w:val="00CA39FF"/>
    <w:rsid w:val="00CA3FAD"/>
    <w:rsid w:val="00CA49D6"/>
    <w:rsid w:val="00CA4ADC"/>
    <w:rsid w:val="00CA5117"/>
    <w:rsid w:val="00CA62C5"/>
    <w:rsid w:val="00CA723B"/>
    <w:rsid w:val="00CA73DB"/>
    <w:rsid w:val="00CA7616"/>
    <w:rsid w:val="00CA765D"/>
    <w:rsid w:val="00CB12AB"/>
    <w:rsid w:val="00CB1EA0"/>
    <w:rsid w:val="00CB1FD3"/>
    <w:rsid w:val="00CB21D1"/>
    <w:rsid w:val="00CB27F8"/>
    <w:rsid w:val="00CB2DCA"/>
    <w:rsid w:val="00CB319F"/>
    <w:rsid w:val="00CB321A"/>
    <w:rsid w:val="00CB3941"/>
    <w:rsid w:val="00CB3C6A"/>
    <w:rsid w:val="00CB3EFC"/>
    <w:rsid w:val="00CB40F1"/>
    <w:rsid w:val="00CB45F4"/>
    <w:rsid w:val="00CB473D"/>
    <w:rsid w:val="00CB4C22"/>
    <w:rsid w:val="00CB4D8C"/>
    <w:rsid w:val="00CB4FBC"/>
    <w:rsid w:val="00CB5744"/>
    <w:rsid w:val="00CB5AA0"/>
    <w:rsid w:val="00CB5B66"/>
    <w:rsid w:val="00CB5BED"/>
    <w:rsid w:val="00CB6142"/>
    <w:rsid w:val="00CB6211"/>
    <w:rsid w:val="00CB6BE7"/>
    <w:rsid w:val="00CB7D22"/>
    <w:rsid w:val="00CB7E78"/>
    <w:rsid w:val="00CB7F60"/>
    <w:rsid w:val="00CC012F"/>
    <w:rsid w:val="00CC0D8A"/>
    <w:rsid w:val="00CC0DDC"/>
    <w:rsid w:val="00CC1AFA"/>
    <w:rsid w:val="00CC1CD6"/>
    <w:rsid w:val="00CC1FB3"/>
    <w:rsid w:val="00CC23A9"/>
    <w:rsid w:val="00CC23B8"/>
    <w:rsid w:val="00CC2505"/>
    <w:rsid w:val="00CC2622"/>
    <w:rsid w:val="00CC32F1"/>
    <w:rsid w:val="00CC39A8"/>
    <w:rsid w:val="00CC4607"/>
    <w:rsid w:val="00CC4F8D"/>
    <w:rsid w:val="00CC4FEA"/>
    <w:rsid w:val="00CC5A60"/>
    <w:rsid w:val="00CC6406"/>
    <w:rsid w:val="00CC7624"/>
    <w:rsid w:val="00CC7D1F"/>
    <w:rsid w:val="00CD0174"/>
    <w:rsid w:val="00CD0364"/>
    <w:rsid w:val="00CD03D8"/>
    <w:rsid w:val="00CD088E"/>
    <w:rsid w:val="00CD1172"/>
    <w:rsid w:val="00CD1525"/>
    <w:rsid w:val="00CD154F"/>
    <w:rsid w:val="00CD1C2B"/>
    <w:rsid w:val="00CD1E33"/>
    <w:rsid w:val="00CD2796"/>
    <w:rsid w:val="00CD2B86"/>
    <w:rsid w:val="00CD2EAF"/>
    <w:rsid w:val="00CD2F69"/>
    <w:rsid w:val="00CD3380"/>
    <w:rsid w:val="00CD341E"/>
    <w:rsid w:val="00CD35F3"/>
    <w:rsid w:val="00CD37A2"/>
    <w:rsid w:val="00CD3A9C"/>
    <w:rsid w:val="00CD3FC6"/>
    <w:rsid w:val="00CD423E"/>
    <w:rsid w:val="00CD426A"/>
    <w:rsid w:val="00CD455B"/>
    <w:rsid w:val="00CD45BE"/>
    <w:rsid w:val="00CD4638"/>
    <w:rsid w:val="00CD485C"/>
    <w:rsid w:val="00CD4976"/>
    <w:rsid w:val="00CD4981"/>
    <w:rsid w:val="00CD49F0"/>
    <w:rsid w:val="00CD53E9"/>
    <w:rsid w:val="00CD57C3"/>
    <w:rsid w:val="00CD5814"/>
    <w:rsid w:val="00CD588D"/>
    <w:rsid w:val="00CD5F5F"/>
    <w:rsid w:val="00CD5F71"/>
    <w:rsid w:val="00CD62A2"/>
    <w:rsid w:val="00CD6387"/>
    <w:rsid w:val="00CD645D"/>
    <w:rsid w:val="00CD67AD"/>
    <w:rsid w:val="00CD7B1E"/>
    <w:rsid w:val="00CE0939"/>
    <w:rsid w:val="00CE0E4E"/>
    <w:rsid w:val="00CE1574"/>
    <w:rsid w:val="00CE1F71"/>
    <w:rsid w:val="00CE211B"/>
    <w:rsid w:val="00CE24FC"/>
    <w:rsid w:val="00CE2B6B"/>
    <w:rsid w:val="00CE2B97"/>
    <w:rsid w:val="00CE2E67"/>
    <w:rsid w:val="00CE3A31"/>
    <w:rsid w:val="00CE402F"/>
    <w:rsid w:val="00CE416F"/>
    <w:rsid w:val="00CE4287"/>
    <w:rsid w:val="00CE4B1E"/>
    <w:rsid w:val="00CE4C70"/>
    <w:rsid w:val="00CE4F67"/>
    <w:rsid w:val="00CE61ED"/>
    <w:rsid w:val="00CE6C74"/>
    <w:rsid w:val="00CE6DF5"/>
    <w:rsid w:val="00CE6DF7"/>
    <w:rsid w:val="00CE6F9B"/>
    <w:rsid w:val="00CE713B"/>
    <w:rsid w:val="00CE7325"/>
    <w:rsid w:val="00CE75F2"/>
    <w:rsid w:val="00CE776E"/>
    <w:rsid w:val="00CE779F"/>
    <w:rsid w:val="00CE7AFB"/>
    <w:rsid w:val="00CE7DAE"/>
    <w:rsid w:val="00CF03C7"/>
    <w:rsid w:val="00CF0514"/>
    <w:rsid w:val="00CF0603"/>
    <w:rsid w:val="00CF0728"/>
    <w:rsid w:val="00CF20AA"/>
    <w:rsid w:val="00CF2673"/>
    <w:rsid w:val="00CF29A6"/>
    <w:rsid w:val="00CF2E5E"/>
    <w:rsid w:val="00CF3630"/>
    <w:rsid w:val="00CF3B94"/>
    <w:rsid w:val="00CF4071"/>
    <w:rsid w:val="00CF44EA"/>
    <w:rsid w:val="00CF4535"/>
    <w:rsid w:val="00CF46F6"/>
    <w:rsid w:val="00CF4A3D"/>
    <w:rsid w:val="00CF56E5"/>
    <w:rsid w:val="00CF60D0"/>
    <w:rsid w:val="00CF6937"/>
    <w:rsid w:val="00CF6D32"/>
    <w:rsid w:val="00CF6E39"/>
    <w:rsid w:val="00CF6FD7"/>
    <w:rsid w:val="00CF784B"/>
    <w:rsid w:val="00CF7994"/>
    <w:rsid w:val="00D007A4"/>
    <w:rsid w:val="00D00811"/>
    <w:rsid w:val="00D00936"/>
    <w:rsid w:val="00D009BE"/>
    <w:rsid w:val="00D00A3E"/>
    <w:rsid w:val="00D00BF0"/>
    <w:rsid w:val="00D0106E"/>
    <w:rsid w:val="00D0137A"/>
    <w:rsid w:val="00D01AC8"/>
    <w:rsid w:val="00D01D16"/>
    <w:rsid w:val="00D024D8"/>
    <w:rsid w:val="00D03633"/>
    <w:rsid w:val="00D0372F"/>
    <w:rsid w:val="00D03BF1"/>
    <w:rsid w:val="00D04532"/>
    <w:rsid w:val="00D04E2D"/>
    <w:rsid w:val="00D05179"/>
    <w:rsid w:val="00D05B51"/>
    <w:rsid w:val="00D06413"/>
    <w:rsid w:val="00D069B4"/>
    <w:rsid w:val="00D06DC3"/>
    <w:rsid w:val="00D070F6"/>
    <w:rsid w:val="00D07B99"/>
    <w:rsid w:val="00D07CBF"/>
    <w:rsid w:val="00D100DC"/>
    <w:rsid w:val="00D10124"/>
    <w:rsid w:val="00D103F4"/>
    <w:rsid w:val="00D10532"/>
    <w:rsid w:val="00D10921"/>
    <w:rsid w:val="00D1092C"/>
    <w:rsid w:val="00D10AC1"/>
    <w:rsid w:val="00D11778"/>
    <w:rsid w:val="00D12802"/>
    <w:rsid w:val="00D12B1F"/>
    <w:rsid w:val="00D1380E"/>
    <w:rsid w:val="00D14303"/>
    <w:rsid w:val="00D144D7"/>
    <w:rsid w:val="00D14D65"/>
    <w:rsid w:val="00D15D4E"/>
    <w:rsid w:val="00D15D69"/>
    <w:rsid w:val="00D15E7B"/>
    <w:rsid w:val="00D160C4"/>
    <w:rsid w:val="00D16608"/>
    <w:rsid w:val="00D166F8"/>
    <w:rsid w:val="00D16A9C"/>
    <w:rsid w:val="00D16F1C"/>
    <w:rsid w:val="00D17631"/>
    <w:rsid w:val="00D17FD1"/>
    <w:rsid w:val="00D20498"/>
    <w:rsid w:val="00D20CF2"/>
    <w:rsid w:val="00D20D8E"/>
    <w:rsid w:val="00D228F1"/>
    <w:rsid w:val="00D22B62"/>
    <w:rsid w:val="00D23350"/>
    <w:rsid w:val="00D2361C"/>
    <w:rsid w:val="00D237E9"/>
    <w:rsid w:val="00D239AB"/>
    <w:rsid w:val="00D245DF"/>
    <w:rsid w:val="00D2504F"/>
    <w:rsid w:val="00D260BE"/>
    <w:rsid w:val="00D2657A"/>
    <w:rsid w:val="00D26E58"/>
    <w:rsid w:val="00D26EB6"/>
    <w:rsid w:val="00D26F5D"/>
    <w:rsid w:val="00D2711D"/>
    <w:rsid w:val="00D27E04"/>
    <w:rsid w:val="00D30875"/>
    <w:rsid w:val="00D30A82"/>
    <w:rsid w:val="00D30B40"/>
    <w:rsid w:val="00D312F1"/>
    <w:rsid w:val="00D3149C"/>
    <w:rsid w:val="00D318FD"/>
    <w:rsid w:val="00D31955"/>
    <w:rsid w:val="00D31E5A"/>
    <w:rsid w:val="00D327C7"/>
    <w:rsid w:val="00D327DD"/>
    <w:rsid w:val="00D32941"/>
    <w:rsid w:val="00D32B54"/>
    <w:rsid w:val="00D32C6D"/>
    <w:rsid w:val="00D32D4D"/>
    <w:rsid w:val="00D335C4"/>
    <w:rsid w:val="00D33B2B"/>
    <w:rsid w:val="00D3432A"/>
    <w:rsid w:val="00D343D3"/>
    <w:rsid w:val="00D34786"/>
    <w:rsid w:val="00D34E7E"/>
    <w:rsid w:val="00D34F5A"/>
    <w:rsid w:val="00D3543B"/>
    <w:rsid w:val="00D35662"/>
    <w:rsid w:val="00D35C2E"/>
    <w:rsid w:val="00D36447"/>
    <w:rsid w:val="00D36646"/>
    <w:rsid w:val="00D36830"/>
    <w:rsid w:val="00D36B14"/>
    <w:rsid w:val="00D36D22"/>
    <w:rsid w:val="00D36D30"/>
    <w:rsid w:val="00D37AC9"/>
    <w:rsid w:val="00D40B35"/>
    <w:rsid w:val="00D41ABA"/>
    <w:rsid w:val="00D41BED"/>
    <w:rsid w:val="00D41E84"/>
    <w:rsid w:val="00D426BE"/>
    <w:rsid w:val="00D42B40"/>
    <w:rsid w:val="00D42B73"/>
    <w:rsid w:val="00D432E3"/>
    <w:rsid w:val="00D436BB"/>
    <w:rsid w:val="00D45220"/>
    <w:rsid w:val="00D455BF"/>
    <w:rsid w:val="00D45D37"/>
    <w:rsid w:val="00D45F1B"/>
    <w:rsid w:val="00D4620A"/>
    <w:rsid w:val="00D468EF"/>
    <w:rsid w:val="00D474E7"/>
    <w:rsid w:val="00D477DB"/>
    <w:rsid w:val="00D47985"/>
    <w:rsid w:val="00D479FF"/>
    <w:rsid w:val="00D47C4C"/>
    <w:rsid w:val="00D50059"/>
    <w:rsid w:val="00D50A32"/>
    <w:rsid w:val="00D50B0D"/>
    <w:rsid w:val="00D50B7A"/>
    <w:rsid w:val="00D51558"/>
    <w:rsid w:val="00D5162C"/>
    <w:rsid w:val="00D51920"/>
    <w:rsid w:val="00D52676"/>
    <w:rsid w:val="00D52BF6"/>
    <w:rsid w:val="00D532C8"/>
    <w:rsid w:val="00D53382"/>
    <w:rsid w:val="00D534CB"/>
    <w:rsid w:val="00D5372E"/>
    <w:rsid w:val="00D539B2"/>
    <w:rsid w:val="00D53B7B"/>
    <w:rsid w:val="00D5437D"/>
    <w:rsid w:val="00D549AC"/>
    <w:rsid w:val="00D54A39"/>
    <w:rsid w:val="00D54CCD"/>
    <w:rsid w:val="00D55193"/>
    <w:rsid w:val="00D55756"/>
    <w:rsid w:val="00D55950"/>
    <w:rsid w:val="00D559E5"/>
    <w:rsid w:val="00D55AC7"/>
    <w:rsid w:val="00D55EE3"/>
    <w:rsid w:val="00D56167"/>
    <w:rsid w:val="00D5682E"/>
    <w:rsid w:val="00D57351"/>
    <w:rsid w:val="00D57607"/>
    <w:rsid w:val="00D576A5"/>
    <w:rsid w:val="00D60626"/>
    <w:rsid w:val="00D60896"/>
    <w:rsid w:val="00D60DC8"/>
    <w:rsid w:val="00D61339"/>
    <w:rsid w:val="00D615FD"/>
    <w:rsid w:val="00D61672"/>
    <w:rsid w:val="00D625DE"/>
    <w:rsid w:val="00D626F7"/>
    <w:rsid w:val="00D63037"/>
    <w:rsid w:val="00D6308F"/>
    <w:rsid w:val="00D631E5"/>
    <w:rsid w:val="00D6349C"/>
    <w:rsid w:val="00D6368E"/>
    <w:rsid w:val="00D63E83"/>
    <w:rsid w:val="00D64051"/>
    <w:rsid w:val="00D643B7"/>
    <w:rsid w:val="00D64413"/>
    <w:rsid w:val="00D64802"/>
    <w:rsid w:val="00D650EF"/>
    <w:rsid w:val="00D655A3"/>
    <w:rsid w:val="00D65A7A"/>
    <w:rsid w:val="00D65AE5"/>
    <w:rsid w:val="00D65DB7"/>
    <w:rsid w:val="00D65F79"/>
    <w:rsid w:val="00D66083"/>
    <w:rsid w:val="00D66737"/>
    <w:rsid w:val="00D6699B"/>
    <w:rsid w:val="00D66F17"/>
    <w:rsid w:val="00D674DE"/>
    <w:rsid w:val="00D67582"/>
    <w:rsid w:val="00D67862"/>
    <w:rsid w:val="00D67994"/>
    <w:rsid w:val="00D67BC4"/>
    <w:rsid w:val="00D67F7C"/>
    <w:rsid w:val="00D7063D"/>
    <w:rsid w:val="00D70F4D"/>
    <w:rsid w:val="00D71726"/>
    <w:rsid w:val="00D71EA7"/>
    <w:rsid w:val="00D72117"/>
    <w:rsid w:val="00D72B42"/>
    <w:rsid w:val="00D736E1"/>
    <w:rsid w:val="00D73DAC"/>
    <w:rsid w:val="00D74192"/>
    <w:rsid w:val="00D74512"/>
    <w:rsid w:val="00D749D5"/>
    <w:rsid w:val="00D74BFF"/>
    <w:rsid w:val="00D75133"/>
    <w:rsid w:val="00D751D6"/>
    <w:rsid w:val="00D757A4"/>
    <w:rsid w:val="00D75821"/>
    <w:rsid w:val="00D75966"/>
    <w:rsid w:val="00D760CD"/>
    <w:rsid w:val="00D76172"/>
    <w:rsid w:val="00D76A65"/>
    <w:rsid w:val="00D76C10"/>
    <w:rsid w:val="00D7729F"/>
    <w:rsid w:val="00D77AB5"/>
    <w:rsid w:val="00D80F0E"/>
    <w:rsid w:val="00D82A7E"/>
    <w:rsid w:val="00D82AD2"/>
    <w:rsid w:val="00D82BAC"/>
    <w:rsid w:val="00D8354A"/>
    <w:rsid w:val="00D83CC8"/>
    <w:rsid w:val="00D845D4"/>
    <w:rsid w:val="00D84CDA"/>
    <w:rsid w:val="00D84D23"/>
    <w:rsid w:val="00D8540D"/>
    <w:rsid w:val="00D855A5"/>
    <w:rsid w:val="00D85A74"/>
    <w:rsid w:val="00D85B88"/>
    <w:rsid w:val="00D86D29"/>
    <w:rsid w:val="00D87364"/>
    <w:rsid w:val="00D877B6"/>
    <w:rsid w:val="00D87BF9"/>
    <w:rsid w:val="00D87FAB"/>
    <w:rsid w:val="00D909E4"/>
    <w:rsid w:val="00D90B5E"/>
    <w:rsid w:val="00D90D55"/>
    <w:rsid w:val="00D91012"/>
    <w:rsid w:val="00D9106A"/>
    <w:rsid w:val="00D914BE"/>
    <w:rsid w:val="00D9211F"/>
    <w:rsid w:val="00D92924"/>
    <w:rsid w:val="00D92CB1"/>
    <w:rsid w:val="00D92CEB"/>
    <w:rsid w:val="00D92DB3"/>
    <w:rsid w:val="00D93052"/>
    <w:rsid w:val="00D9325F"/>
    <w:rsid w:val="00D93B1D"/>
    <w:rsid w:val="00D9535B"/>
    <w:rsid w:val="00D957E0"/>
    <w:rsid w:val="00D95C09"/>
    <w:rsid w:val="00D96153"/>
    <w:rsid w:val="00D9656C"/>
    <w:rsid w:val="00D96C26"/>
    <w:rsid w:val="00D96E29"/>
    <w:rsid w:val="00D9709D"/>
    <w:rsid w:val="00D9717F"/>
    <w:rsid w:val="00D97224"/>
    <w:rsid w:val="00D974DC"/>
    <w:rsid w:val="00D975CB"/>
    <w:rsid w:val="00D978CA"/>
    <w:rsid w:val="00D97BEE"/>
    <w:rsid w:val="00DA05FD"/>
    <w:rsid w:val="00DA0E9F"/>
    <w:rsid w:val="00DA0F37"/>
    <w:rsid w:val="00DA0F5D"/>
    <w:rsid w:val="00DA1EC0"/>
    <w:rsid w:val="00DA1FB1"/>
    <w:rsid w:val="00DA23FD"/>
    <w:rsid w:val="00DA2741"/>
    <w:rsid w:val="00DA385B"/>
    <w:rsid w:val="00DA3E13"/>
    <w:rsid w:val="00DA43D5"/>
    <w:rsid w:val="00DA45F8"/>
    <w:rsid w:val="00DA4A49"/>
    <w:rsid w:val="00DA4A76"/>
    <w:rsid w:val="00DA4F05"/>
    <w:rsid w:val="00DA522C"/>
    <w:rsid w:val="00DA5F75"/>
    <w:rsid w:val="00DA6769"/>
    <w:rsid w:val="00DA6C0C"/>
    <w:rsid w:val="00DA7AFD"/>
    <w:rsid w:val="00DA7F17"/>
    <w:rsid w:val="00DB018E"/>
    <w:rsid w:val="00DB0190"/>
    <w:rsid w:val="00DB0592"/>
    <w:rsid w:val="00DB08D1"/>
    <w:rsid w:val="00DB09C1"/>
    <w:rsid w:val="00DB0DCF"/>
    <w:rsid w:val="00DB0F34"/>
    <w:rsid w:val="00DB14E5"/>
    <w:rsid w:val="00DB1BE6"/>
    <w:rsid w:val="00DB1E1C"/>
    <w:rsid w:val="00DB20A7"/>
    <w:rsid w:val="00DB2900"/>
    <w:rsid w:val="00DB2C84"/>
    <w:rsid w:val="00DB2FA2"/>
    <w:rsid w:val="00DB4091"/>
    <w:rsid w:val="00DB4364"/>
    <w:rsid w:val="00DB4708"/>
    <w:rsid w:val="00DB478C"/>
    <w:rsid w:val="00DB4ED5"/>
    <w:rsid w:val="00DB5019"/>
    <w:rsid w:val="00DB5470"/>
    <w:rsid w:val="00DB5A97"/>
    <w:rsid w:val="00DB5F0E"/>
    <w:rsid w:val="00DB65C5"/>
    <w:rsid w:val="00DB6851"/>
    <w:rsid w:val="00DB6A52"/>
    <w:rsid w:val="00DB77CC"/>
    <w:rsid w:val="00DB7C24"/>
    <w:rsid w:val="00DC02E9"/>
    <w:rsid w:val="00DC0603"/>
    <w:rsid w:val="00DC09B4"/>
    <w:rsid w:val="00DC0B3C"/>
    <w:rsid w:val="00DC13A1"/>
    <w:rsid w:val="00DC2257"/>
    <w:rsid w:val="00DC280B"/>
    <w:rsid w:val="00DC2AE6"/>
    <w:rsid w:val="00DC2D26"/>
    <w:rsid w:val="00DC2DE8"/>
    <w:rsid w:val="00DC3464"/>
    <w:rsid w:val="00DC569F"/>
    <w:rsid w:val="00DC62D0"/>
    <w:rsid w:val="00DC639F"/>
    <w:rsid w:val="00DC67BB"/>
    <w:rsid w:val="00DC6AFE"/>
    <w:rsid w:val="00DC705F"/>
    <w:rsid w:val="00DC76ED"/>
    <w:rsid w:val="00DD0230"/>
    <w:rsid w:val="00DD056C"/>
    <w:rsid w:val="00DD05B8"/>
    <w:rsid w:val="00DD0AD2"/>
    <w:rsid w:val="00DD1840"/>
    <w:rsid w:val="00DD1942"/>
    <w:rsid w:val="00DD1B73"/>
    <w:rsid w:val="00DD2D05"/>
    <w:rsid w:val="00DD440D"/>
    <w:rsid w:val="00DD4A70"/>
    <w:rsid w:val="00DD4B60"/>
    <w:rsid w:val="00DD573C"/>
    <w:rsid w:val="00DD66EF"/>
    <w:rsid w:val="00DD71C2"/>
    <w:rsid w:val="00DD7DF3"/>
    <w:rsid w:val="00DE097F"/>
    <w:rsid w:val="00DE1462"/>
    <w:rsid w:val="00DE355C"/>
    <w:rsid w:val="00DE4000"/>
    <w:rsid w:val="00DE5375"/>
    <w:rsid w:val="00DE53D2"/>
    <w:rsid w:val="00DE57A9"/>
    <w:rsid w:val="00DE7AFE"/>
    <w:rsid w:val="00DE7CB2"/>
    <w:rsid w:val="00DE7D26"/>
    <w:rsid w:val="00DE7F67"/>
    <w:rsid w:val="00DF100C"/>
    <w:rsid w:val="00DF1432"/>
    <w:rsid w:val="00DF1585"/>
    <w:rsid w:val="00DF163E"/>
    <w:rsid w:val="00DF17B8"/>
    <w:rsid w:val="00DF286F"/>
    <w:rsid w:val="00DF2CDF"/>
    <w:rsid w:val="00DF318C"/>
    <w:rsid w:val="00DF34E5"/>
    <w:rsid w:val="00DF3B3F"/>
    <w:rsid w:val="00DF3C53"/>
    <w:rsid w:val="00DF3D20"/>
    <w:rsid w:val="00DF3DE3"/>
    <w:rsid w:val="00DF48A3"/>
    <w:rsid w:val="00DF4FA3"/>
    <w:rsid w:val="00DF5084"/>
    <w:rsid w:val="00DF5527"/>
    <w:rsid w:val="00DF583C"/>
    <w:rsid w:val="00DF5A3E"/>
    <w:rsid w:val="00DF5B20"/>
    <w:rsid w:val="00DF5C28"/>
    <w:rsid w:val="00DF6A92"/>
    <w:rsid w:val="00DF6E1F"/>
    <w:rsid w:val="00DF73DE"/>
    <w:rsid w:val="00DF78D5"/>
    <w:rsid w:val="00DF7963"/>
    <w:rsid w:val="00DF7D86"/>
    <w:rsid w:val="00E00358"/>
    <w:rsid w:val="00E00F0D"/>
    <w:rsid w:val="00E01345"/>
    <w:rsid w:val="00E01739"/>
    <w:rsid w:val="00E03B93"/>
    <w:rsid w:val="00E03E9E"/>
    <w:rsid w:val="00E04239"/>
    <w:rsid w:val="00E0473B"/>
    <w:rsid w:val="00E04745"/>
    <w:rsid w:val="00E049A9"/>
    <w:rsid w:val="00E04C25"/>
    <w:rsid w:val="00E05202"/>
    <w:rsid w:val="00E05DE8"/>
    <w:rsid w:val="00E06D9B"/>
    <w:rsid w:val="00E07491"/>
    <w:rsid w:val="00E0760E"/>
    <w:rsid w:val="00E076F8"/>
    <w:rsid w:val="00E07C2C"/>
    <w:rsid w:val="00E10DB5"/>
    <w:rsid w:val="00E10E60"/>
    <w:rsid w:val="00E10F6C"/>
    <w:rsid w:val="00E1152A"/>
    <w:rsid w:val="00E11FDE"/>
    <w:rsid w:val="00E12CD7"/>
    <w:rsid w:val="00E12EB5"/>
    <w:rsid w:val="00E13269"/>
    <w:rsid w:val="00E1351D"/>
    <w:rsid w:val="00E135DE"/>
    <w:rsid w:val="00E137B2"/>
    <w:rsid w:val="00E139CE"/>
    <w:rsid w:val="00E13CB7"/>
    <w:rsid w:val="00E14565"/>
    <w:rsid w:val="00E14A3B"/>
    <w:rsid w:val="00E14A98"/>
    <w:rsid w:val="00E15725"/>
    <w:rsid w:val="00E15BAC"/>
    <w:rsid w:val="00E15FC0"/>
    <w:rsid w:val="00E16227"/>
    <w:rsid w:val="00E162A1"/>
    <w:rsid w:val="00E164FB"/>
    <w:rsid w:val="00E165B3"/>
    <w:rsid w:val="00E1669E"/>
    <w:rsid w:val="00E16898"/>
    <w:rsid w:val="00E168AB"/>
    <w:rsid w:val="00E1695B"/>
    <w:rsid w:val="00E1777D"/>
    <w:rsid w:val="00E20144"/>
    <w:rsid w:val="00E20E54"/>
    <w:rsid w:val="00E2107E"/>
    <w:rsid w:val="00E211B8"/>
    <w:rsid w:val="00E224AA"/>
    <w:rsid w:val="00E22C8E"/>
    <w:rsid w:val="00E2322F"/>
    <w:rsid w:val="00E238F4"/>
    <w:rsid w:val="00E23B2B"/>
    <w:rsid w:val="00E240A3"/>
    <w:rsid w:val="00E2496B"/>
    <w:rsid w:val="00E258FD"/>
    <w:rsid w:val="00E25916"/>
    <w:rsid w:val="00E25A92"/>
    <w:rsid w:val="00E25F48"/>
    <w:rsid w:val="00E263DE"/>
    <w:rsid w:val="00E264C9"/>
    <w:rsid w:val="00E26A4D"/>
    <w:rsid w:val="00E26D3C"/>
    <w:rsid w:val="00E26F6C"/>
    <w:rsid w:val="00E26FED"/>
    <w:rsid w:val="00E30FA1"/>
    <w:rsid w:val="00E30FF0"/>
    <w:rsid w:val="00E31167"/>
    <w:rsid w:val="00E314B5"/>
    <w:rsid w:val="00E32164"/>
    <w:rsid w:val="00E322E8"/>
    <w:rsid w:val="00E32779"/>
    <w:rsid w:val="00E33427"/>
    <w:rsid w:val="00E33854"/>
    <w:rsid w:val="00E338FD"/>
    <w:rsid w:val="00E33A07"/>
    <w:rsid w:val="00E33DBA"/>
    <w:rsid w:val="00E3475A"/>
    <w:rsid w:val="00E34B44"/>
    <w:rsid w:val="00E3501F"/>
    <w:rsid w:val="00E4031B"/>
    <w:rsid w:val="00E409A9"/>
    <w:rsid w:val="00E41489"/>
    <w:rsid w:val="00E4189E"/>
    <w:rsid w:val="00E42F7B"/>
    <w:rsid w:val="00E436D4"/>
    <w:rsid w:val="00E4421B"/>
    <w:rsid w:val="00E44279"/>
    <w:rsid w:val="00E44DC1"/>
    <w:rsid w:val="00E454DF"/>
    <w:rsid w:val="00E47490"/>
    <w:rsid w:val="00E506CC"/>
    <w:rsid w:val="00E507F8"/>
    <w:rsid w:val="00E5135E"/>
    <w:rsid w:val="00E51A29"/>
    <w:rsid w:val="00E52B45"/>
    <w:rsid w:val="00E53132"/>
    <w:rsid w:val="00E53720"/>
    <w:rsid w:val="00E54066"/>
    <w:rsid w:val="00E543F4"/>
    <w:rsid w:val="00E54893"/>
    <w:rsid w:val="00E54A63"/>
    <w:rsid w:val="00E54C75"/>
    <w:rsid w:val="00E54D5F"/>
    <w:rsid w:val="00E550A6"/>
    <w:rsid w:val="00E555D3"/>
    <w:rsid w:val="00E55B09"/>
    <w:rsid w:val="00E55E44"/>
    <w:rsid w:val="00E5643A"/>
    <w:rsid w:val="00E56DD3"/>
    <w:rsid w:val="00E573F4"/>
    <w:rsid w:val="00E57B19"/>
    <w:rsid w:val="00E601AB"/>
    <w:rsid w:val="00E60799"/>
    <w:rsid w:val="00E60A94"/>
    <w:rsid w:val="00E61ED0"/>
    <w:rsid w:val="00E62155"/>
    <w:rsid w:val="00E62CA0"/>
    <w:rsid w:val="00E63701"/>
    <w:rsid w:val="00E63C18"/>
    <w:rsid w:val="00E659A0"/>
    <w:rsid w:val="00E65D32"/>
    <w:rsid w:val="00E6602A"/>
    <w:rsid w:val="00E660E3"/>
    <w:rsid w:val="00E661E3"/>
    <w:rsid w:val="00E6629C"/>
    <w:rsid w:val="00E666FA"/>
    <w:rsid w:val="00E66DBB"/>
    <w:rsid w:val="00E675DB"/>
    <w:rsid w:val="00E67B48"/>
    <w:rsid w:val="00E70015"/>
    <w:rsid w:val="00E701E8"/>
    <w:rsid w:val="00E72B31"/>
    <w:rsid w:val="00E730C2"/>
    <w:rsid w:val="00E73125"/>
    <w:rsid w:val="00E73342"/>
    <w:rsid w:val="00E7371F"/>
    <w:rsid w:val="00E73A58"/>
    <w:rsid w:val="00E73C2F"/>
    <w:rsid w:val="00E746FD"/>
    <w:rsid w:val="00E7549B"/>
    <w:rsid w:val="00E76267"/>
    <w:rsid w:val="00E76377"/>
    <w:rsid w:val="00E767E5"/>
    <w:rsid w:val="00E77986"/>
    <w:rsid w:val="00E77BD1"/>
    <w:rsid w:val="00E80AD7"/>
    <w:rsid w:val="00E80FD0"/>
    <w:rsid w:val="00E817AC"/>
    <w:rsid w:val="00E81AE9"/>
    <w:rsid w:val="00E820E4"/>
    <w:rsid w:val="00E82E4B"/>
    <w:rsid w:val="00E82F5A"/>
    <w:rsid w:val="00E83101"/>
    <w:rsid w:val="00E83198"/>
    <w:rsid w:val="00E83B0F"/>
    <w:rsid w:val="00E83C12"/>
    <w:rsid w:val="00E83C39"/>
    <w:rsid w:val="00E84096"/>
    <w:rsid w:val="00E840C6"/>
    <w:rsid w:val="00E85138"/>
    <w:rsid w:val="00E857F4"/>
    <w:rsid w:val="00E860C6"/>
    <w:rsid w:val="00E87498"/>
    <w:rsid w:val="00E87DDE"/>
    <w:rsid w:val="00E90AAE"/>
    <w:rsid w:val="00E90EC2"/>
    <w:rsid w:val="00E91592"/>
    <w:rsid w:val="00E91889"/>
    <w:rsid w:val="00E923D5"/>
    <w:rsid w:val="00E92656"/>
    <w:rsid w:val="00E93865"/>
    <w:rsid w:val="00E93B45"/>
    <w:rsid w:val="00E93D6B"/>
    <w:rsid w:val="00E95AF5"/>
    <w:rsid w:val="00E95C6D"/>
    <w:rsid w:val="00E95FA8"/>
    <w:rsid w:val="00E967F8"/>
    <w:rsid w:val="00E97469"/>
    <w:rsid w:val="00E97715"/>
    <w:rsid w:val="00EA03E5"/>
    <w:rsid w:val="00EA04F8"/>
    <w:rsid w:val="00EA22CD"/>
    <w:rsid w:val="00EA23CB"/>
    <w:rsid w:val="00EA2618"/>
    <w:rsid w:val="00EA279C"/>
    <w:rsid w:val="00EA2AFD"/>
    <w:rsid w:val="00EA2B3D"/>
    <w:rsid w:val="00EA3CA1"/>
    <w:rsid w:val="00EA40E1"/>
    <w:rsid w:val="00EA4AA4"/>
    <w:rsid w:val="00EA4FA2"/>
    <w:rsid w:val="00EA55AE"/>
    <w:rsid w:val="00EA62F3"/>
    <w:rsid w:val="00EA6544"/>
    <w:rsid w:val="00EA6A85"/>
    <w:rsid w:val="00EA7252"/>
    <w:rsid w:val="00EA72B0"/>
    <w:rsid w:val="00EA74CD"/>
    <w:rsid w:val="00EA7820"/>
    <w:rsid w:val="00EA7934"/>
    <w:rsid w:val="00EA7C8B"/>
    <w:rsid w:val="00EA7F8A"/>
    <w:rsid w:val="00EB00AC"/>
    <w:rsid w:val="00EB01F1"/>
    <w:rsid w:val="00EB06AA"/>
    <w:rsid w:val="00EB091A"/>
    <w:rsid w:val="00EB095B"/>
    <w:rsid w:val="00EB1588"/>
    <w:rsid w:val="00EB1BDA"/>
    <w:rsid w:val="00EB24E7"/>
    <w:rsid w:val="00EB25E1"/>
    <w:rsid w:val="00EB2620"/>
    <w:rsid w:val="00EB2767"/>
    <w:rsid w:val="00EB28EB"/>
    <w:rsid w:val="00EB35C2"/>
    <w:rsid w:val="00EB397D"/>
    <w:rsid w:val="00EB3C61"/>
    <w:rsid w:val="00EB3DF7"/>
    <w:rsid w:val="00EB40EA"/>
    <w:rsid w:val="00EB4757"/>
    <w:rsid w:val="00EB500A"/>
    <w:rsid w:val="00EB5025"/>
    <w:rsid w:val="00EB5273"/>
    <w:rsid w:val="00EB5562"/>
    <w:rsid w:val="00EB5738"/>
    <w:rsid w:val="00EB65B7"/>
    <w:rsid w:val="00EB689B"/>
    <w:rsid w:val="00EB6A84"/>
    <w:rsid w:val="00EB6D09"/>
    <w:rsid w:val="00EC0358"/>
    <w:rsid w:val="00EC0A68"/>
    <w:rsid w:val="00EC0B13"/>
    <w:rsid w:val="00EC16C1"/>
    <w:rsid w:val="00EC18F1"/>
    <w:rsid w:val="00EC1CF8"/>
    <w:rsid w:val="00EC27F9"/>
    <w:rsid w:val="00EC2818"/>
    <w:rsid w:val="00EC3C81"/>
    <w:rsid w:val="00EC3F51"/>
    <w:rsid w:val="00EC404B"/>
    <w:rsid w:val="00EC41EF"/>
    <w:rsid w:val="00EC4BF5"/>
    <w:rsid w:val="00EC57C4"/>
    <w:rsid w:val="00EC63D8"/>
    <w:rsid w:val="00EC6624"/>
    <w:rsid w:val="00EC66CD"/>
    <w:rsid w:val="00EC77DF"/>
    <w:rsid w:val="00ED0294"/>
    <w:rsid w:val="00ED092F"/>
    <w:rsid w:val="00ED0AD8"/>
    <w:rsid w:val="00ED0B26"/>
    <w:rsid w:val="00ED0D57"/>
    <w:rsid w:val="00ED1298"/>
    <w:rsid w:val="00ED1374"/>
    <w:rsid w:val="00ED29C6"/>
    <w:rsid w:val="00ED2F03"/>
    <w:rsid w:val="00ED2F69"/>
    <w:rsid w:val="00ED322B"/>
    <w:rsid w:val="00ED326A"/>
    <w:rsid w:val="00ED360E"/>
    <w:rsid w:val="00ED36B4"/>
    <w:rsid w:val="00ED3CC1"/>
    <w:rsid w:val="00ED3F12"/>
    <w:rsid w:val="00ED46E7"/>
    <w:rsid w:val="00ED49C4"/>
    <w:rsid w:val="00ED5B4E"/>
    <w:rsid w:val="00ED6943"/>
    <w:rsid w:val="00ED70B9"/>
    <w:rsid w:val="00ED7526"/>
    <w:rsid w:val="00ED78EF"/>
    <w:rsid w:val="00ED7E3F"/>
    <w:rsid w:val="00EE057A"/>
    <w:rsid w:val="00EE096E"/>
    <w:rsid w:val="00EE0C92"/>
    <w:rsid w:val="00EE0D84"/>
    <w:rsid w:val="00EE12A4"/>
    <w:rsid w:val="00EE13EB"/>
    <w:rsid w:val="00EE1758"/>
    <w:rsid w:val="00EE1C37"/>
    <w:rsid w:val="00EE1D8B"/>
    <w:rsid w:val="00EE1DDD"/>
    <w:rsid w:val="00EE2446"/>
    <w:rsid w:val="00EE3F36"/>
    <w:rsid w:val="00EE40A8"/>
    <w:rsid w:val="00EE4809"/>
    <w:rsid w:val="00EE4923"/>
    <w:rsid w:val="00EE4C58"/>
    <w:rsid w:val="00EE4CDA"/>
    <w:rsid w:val="00EE639D"/>
    <w:rsid w:val="00EE6873"/>
    <w:rsid w:val="00EE7189"/>
    <w:rsid w:val="00EE7331"/>
    <w:rsid w:val="00EE77F0"/>
    <w:rsid w:val="00EE7A8B"/>
    <w:rsid w:val="00EE7D3E"/>
    <w:rsid w:val="00EF01AB"/>
    <w:rsid w:val="00EF0745"/>
    <w:rsid w:val="00EF1133"/>
    <w:rsid w:val="00EF1527"/>
    <w:rsid w:val="00EF157A"/>
    <w:rsid w:val="00EF2024"/>
    <w:rsid w:val="00EF2C55"/>
    <w:rsid w:val="00EF2E10"/>
    <w:rsid w:val="00EF2FC8"/>
    <w:rsid w:val="00EF3087"/>
    <w:rsid w:val="00EF34C8"/>
    <w:rsid w:val="00EF3EDF"/>
    <w:rsid w:val="00EF44EA"/>
    <w:rsid w:val="00EF4613"/>
    <w:rsid w:val="00EF5789"/>
    <w:rsid w:val="00EF5851"/>
    <w:rsid w:val="00EF617C"/>
    <w:rsid w:val="00EF6737"/>
    <w:rsid w:val="00EF6F11"/>
    <w:rsid w:val="00EF7073"/>
    <w:rsid w:val="00EF7810"/>
    <w:rsid w:val="00EF7B93"/>
    <w:rsid w:val="00F007A3"/>
    <w:rsid w:val="00F007E9"/>
    <w:rsid w:val="00F008B9"/>
    <w:rsid w:val="00F00997"/>
    <w:rsid w:val="00F00DC5"/>
    <w:rsid w:val="00F012AF"/>
    <w:rsid w:val="00F01CD8"/>
    <w:rsid w:val="00F025E5"/>
    <w:rsid w:val="00F03E47"/>
    <w:rsid w:val="00F04E99"/>
    <w:rsid w:val="00F0508F"/>
    <w:rsid w:val="00F05E87"/>
    <w:rsid w:val="00F05F9B"/>
    <w:rsid w:val="00F06776"/>
    <w:rsid w:val="00F0677D"/>
    <w:rsid w:val="00F06C9F"/>
    <w:rsid w:val="00F070C3"/>
    <w:rsid w:val="00F07AB6"/>
    <w:rsid w:val="00F107AD"/>
    <w:rsid w:val="00F10842"/>
    <w:rsid w:val="00F10E8E"/>
    <w:rsid w:val="00F111F3"/>
    <w:rsid w:val="00F11836"/>
    <w:rsid w:val="00F11D7D"/>
    <w:rsid w:val="00F11DC9"/>
    <w:rsid w:val="00F12574"/>
    <w:rsid w:val="00F12C44"/>
    <w:rsid w:val="00F12CA0"/>
    <w:rsid w:val="00F12E1B"/>
    <w:rsid w:val="00F13348"/>
    <w:rsid w:val="00F13F98"/>
    <w:rsid w:val="00F1438E"/>
    <w:rsid w:val="00F143C4"/>
    <w:rsid w:val="00F14710"/>
    <w:rsid w:val="00F1519A"/>
    <w:rsid w:val="00F15893"/>
    <w:rsid w:val="00F159DB"/>
    <w:rsid w:val="00F159F9"/>
    <w:rsid w:val="00F15F13"/>
    <w:rsid w:val="00F16092"/>
    <w:rsid w:val="00F166E7"/>
    <w:rsid w:val="00F16DCE"/>
    <w:rsid w:val="00F17C3D"/>
    <w:rsid w:val="00F209E7"/>
    <w:rsid w:val="00F20B6C"/>
    <w:rsid w:val="00F21335"/>
    <w:rsid w:val="00F21D7C"/>
    <w:rsid w:val="00F225D7"/>
    <w:rsid w:val="00F22C41"/>
    <w:rsid w:val="00F22F6D"/>
    <w:rsid w:val="00F23295"/>
    <w:rsid w:val="00F238FF"/>
    <w:rsid w:val="00F23C3F"/>
    <w:rsid w:val="00F24D95"/>
    <w:rsid w:val="00F25536"/>
    <w:rsid w:val="00F256A2"/>
    <w:rsid w:val="00F258F5"/>
    <w:rsid w:val="00F25FB8"/>
    <w:rsid w:val="00F268CE"/>
    <w:rsid w:val="00F26953"/>
    <w:rsid w:val="00F269C7"/>
    <w:rsid w:val="00F26C99"/>
    <w:rsid w:val="00F278ED"/>
    <w:rsid w:val="00F2792D"/>
    <w:rsid w:val="00F2792F"/>
    <w:rsid w:val="00F30013"/>
    <w:rsid w:val="00F304B1"/>
    <w:rsid w:val="00F304EC"/>
    <w:rsid w:val="00F30902"/>
    <w:rsid w:val="00F311CB"/>
    <w:rsid w:val="00F3139E"/>
    <w:rsid w:val="00F31DC1"/>
    <w:rsid w:val="00F331B3"/>
    <w:rsid w:val="00F33448"/>
    <w:rsid w:val="00F33491"/>
    <w:rsid w:val="00F3434A"/>
    <w:rsid w:val="00F352D5"/>
    <w:rsid w:val="00F35B63"/>
    <w:rsid w:val="00F35EBB"/>
    <w:rsid w:val="00F361C5"/>
    <w:rsid w:val="00F364A3"/>
    <w:rsid w:val="00F36CD9"/>
    <w:rsid w:val="00F37896"/>
    <w:rsid w:val="00F37CB7"/>
    <w:rsid w:val="00F37FDA"/>
    <w:rsid w:val="00F408A7"/>
    <w:rsid w:val="00F40FA0"/>
    <w:rsid w:val="00F41AAF"/>
    <w:rsid w:val="00F41ED3"/>
    <w:rsid w:val="00F42765"/>
    <w:rsid w:val="00F42B7F"/>
    <w:rsid w:val="00F42C80"/>
    <w:rsid w:val="00F44CB0"/>
    <w:rsid w:val="00F45052"/>
    <w:rsid w:val="00F451F8"/>
    <w:rsid w:val="00F4553D"/>
    <w:rsid w:val="00F45DC7"/>
    <w:rsid w:val="00F45FE5"/>
    <w:rsid w:val="00F4633C"/>
    <w:rsid w:val="00F4642E"/>
    <w:rsid w:val="00F46C76"/>
    <w:rsid w:val="00F46D3E"/>
    <w:rsid w:val="00F46E61"/>
    <w:rsid w:val="00F47D59"/>
    <w:rsid w:val="00F47F30"/>
    <w:rsid w:val="00F51031"/>
    <w:rsid w:val="00F510AB"/>
    <w:rsid w:val="00F510AD"/>
    <w:rsid w:val="00F516AD"/>
    <w:rsid w:val="00F51CDE"/>
    <w:rsid w:val="00F5283A"/>
    <w:rsid w:val="00F529AC"/>
    <w:rsid w:val="00F52A23"/>
    <w:rsid w:val="00F533AF"/>
    <w:rsid w:val="00F543A8"/>
    <w:rsid w:val="00F5443A"/>
    <w:rsid w:val="00F54A9F"/>
    <w:rsid w:val="00F54F81"/>
    <w:rsid w:val="00F55928"/>
    <w:rsid w:val="00F559CB"/>
    <w:rsid w:val="00F567C1"/>
    <w:rsid w:val="00F56BA0"/>
    <w:rsid w:val="00F56E5B"/>
    <w:rsid w:val="00F57B0A"/>
    <w:rsid w:val="00F60201"/>
    <w:rsid w:val="00F60242"/>
    <w:rsid w:val="00F604B9"/>
    <w:rsid w:val="00F6143D"/>
    <w:rsid w:val="00F624D8"/>
    <w:rsid w:val="00F63137"/>
    <w:rsid w:val="00F63473"/>
    <w:rsid w:val="00F641C7"/>
    <w:rsid w:val="00F646E2"/>
    <w:rsid w:val="00F647A9"/>
    <w:rsid w:val="00F65070"/>
    <w:rsid w:val="00F65223"/>
    <w:rsid w:val="00F657B0"/>
    <w:rsid w:val="00F65B0D"/>
    <w:rsid w:val="00F65D48"/>
    <w:rsid w:val="00F65F25"/>
    <w:rsid w:val="00F66231"/>
    <w:rsid w:val="00F66319"/>
    <w:rsid w:val="00F66674"/>
    <w:rsid w:val="00F66B6C"/>
    <w:rsid w:val="00F66C1B"/>
    <w:rsid w:val="00F6710C"/>
    <w:rsid w:val="00F67B07"/>
    <w:rsid w:val="00F67CC8"/>
    <w:rsid w:val="00F70582"/>
    <w:rsid w:val="00F706FC"/>
    <w:rsid w:val="00F7074A"/>
    <w:rsid w:val="00F70882"/>
    <w:rsid w:val="00F708A2"/>
    <w:rsid w:val="00F7095C"/>
    <w:rsid w:val="00F70ABA"/>
    <w:rsid w:val="00F70BFF"/>
    <w:rsid w:val="00F71B3D"/>
    <w:rsid w:val="00F720C8"/>
    <w:rsid w:val="00F7249D"/>
    <w:rsid w:val="00F72886"/>
    <w:rsid w:val="00F73338"/>
    <w:rsid w:val="00F73508"/>
    <w:rsid w:val="00F736F9"/>
    <w:rsid w:val="00F73943"/>
    <w:rsid w:val="00F73AF3"/>
    <w:rsid w:val="00F740E4"/>
    <w:rsid w:val="00F7415E"/>
    <w:rsid w:val="00F742F4"/>
    <w:rsid w:val="00F747DE"/>
    <w:rsid w:val="00F74F2A"/>
    <w:rsid w:val="00F755F2"/>
    <w:rsid w:val="00F75612"/>
    <w:rsid w:val="00F75FAE"/>
    <w:rsid w:val="00F76556"/>
    <w:rsid w:val="00F76557"/>
    <w:rsid w:val="00F766AE"/>
    <w:rsid w:val="00F76B3F"/>
    <w:rsid w:val="00F76EA0"/>
    <w:rsid w:val="00F7798F"/>
    <w:rsid w:val="00F77A10"/>
    <w:rsid w:val="00F800E8"/>
    <w:rsid w:val="00F803C7"/>
    <w:rsid w:val="00F8086F"/>
    <w:rsid w:val="00F80C71"/>
    <w:rsid w:val="00F81B40"/>
    <w:rsid w:val="00F81B41"/>
    <w:rsid w:val="00F81FA9"/>
    <w:rsid w:val="00F831C0"/>
    <w:rsid w:val="00F83A42"/>
    <w:rsid w:val="00F83C6E"/>
    <w:rsid w:val="00F83D71"/>
    <w:rsid w:val="00F83D83"/>
    <w:rsid w:val="00F84365"/>
    <w:rsid w:val="00F84AEF"/>
    <w:rsid w:val="00F850F2"/>
    <w:rsid w:val="00F8534F"/>
    <w:rsid w:val="00F8564B"/>
    <w:rsid w:val="00F86512"/>
    <w:rsid w:val="00F86888"/>
    <w:rsid w:val="00F87649"/>
    <w:rsid w:val="00F877AB"/>
    <w:rsid w:val="00F87B67"/>
    <w:rsid w:val="00F87BD1"/>
    <w:rsid w:val="00F87C8A"/>
    <w:rsid w:val="00F87EBE"/>
    <w:rsid w:val="00F90286"/>
    <w:rsid w:val="00F90BF4"/>
    <w:rsid w:val="00F90BF9"/>
    <w:rsid w:val="00F90D95"/>
    <w:rsid w:val="00F91218"/>
    <w:rsid w:val="00F914BD"/>
    <w:rsid w:val="00F919C5"/>
    <w:rsid w:val="00F91AFE"/>
    <w:rsid w:val="00F91E26"/>
    <w:rsid w:val="00F91E42"/>
    <w:rsid w:val="00F91E9A"/>
    <w:rsid w:val="00F92379"/>
    <w:rsid w:val="00F9256E"/>
    <w:rsid w:val="00F934E9"/>
    <w:rsid w:val="00F93797"/>
    <w:rsid w:val="00F93900"/>
    <w:rsid w:val="00F93BE7"/>
    <w:rsid w:val="00F946C6"/>
    <w:rsid w:val="00F947FB"/>
    <w:rsid w:val="00F949D8"/>
    <w:rsid w:val="00F94D78"/>
    <w:rsid w:val="00F94EB9"/>
    <w:rsid w:val="00F95545"/>
    <w:rsid w:val="00F95FD7"/>
    <w:rsid w:val="00F9647D"/>
    <w:rsid w:val="00F965C2"/>
    <w:rsid w:val="00F96727"/>
    <w:rsid w:val="00F96918"/>
    <w:rsid w:val="00F96E20"/>
    <w:rsid w:val="00F9757B"/>
    <w:rsid w:val="00F97D2B"/>
    <w:rsid w:val="00FA0080"/>
    <w:rsid w:val="00FA035A"/>
    <w:rsid w:val="00FA04C6"/>
    <w:rsid w:val="00FA096B"/>
    <w:rsid w:val="00FA09F6"/>
    <w:rsid w:val="00FA1DEF"/>
    <w:rsid w:val="00FA21B5"/>
    <w:rsid w:val="00FA2285"/>
    <w:rsid w:val="00FA26B4"/>
    <w:rsid w:val="00FA297A"/>
    <w:rsid w:val="00FA2C64"/>
    <w:rsid w:val="00FA3B53"/>
    <w:rsid w:val="00FA432A"/>
    <w:rsid w:val="00FA4DAD"/>
    <w:rsid w:val="00FA61FB"/>
    <w:rsid w:val="00FA62B8"/>
    <w:rsid w:val="00FA652A"/>
    <w:rsid w:val="00FA68E8"/>
    <w:rsid w:val="00FA6DD4"/>
    <w:rsid w:val="00FA701C"/>
    <w:rsid w:val="00FA7861"/>
    <w:rsid w:val="00FA7C1A"/>
    <w:rsid w:val="00FB05C9"/>
    <w:rsid w:val="00FB0839"/>
    <w:rsid w:val="00FB0C12"/>
    <w:rsid w:val="00FB0CC4"/>
    <w:rsid w:val="00FB0E41"/>
    <w:rsid w:val="00FB1515"/>
    <w:rsid w:val="00FB1757"/>
    <w:rsid w:val="00FB1A2B"/>
    <w:rsid w:val="00FB2D4E"/>
    <w:rsid w:val="00FB3237"/>
    <w:rsid w:val="00FB34BC"/>
    <w:rsid w:val="00FB3B6F"/>
    <w:rsid w:val="00FB3ED3"/>
    <w:rsid w:val="00FB40E8"/>
    <w:rsid w:val="00FB445E"/>
    <w:rsid w:val="00FB4677"/>
    <w:rsid w:val="00FB541F"/>
    <w:rsid w:val="00FB621E"/>
    <w:rsid w:val="00FB65AE"/>
    <w:rsid w:val="00FB6707"/>
    <w:rsid w:val="00FB6816"/>
    <w:rsid w:val="00FB6A17"/>
    <w:rsid w:val="00FB6BAE"/>
    <w:rsid w:val="00FB6E1A"/>
    <w:rsid w:val="00FB6FE6"/>
    <w:rsid w:val="00FB7ADC"/>
    <w:rsid w:val="00FB7F53"/>
    <w:rsid w:val="00FC0073"/>
    <w:rsid w:val="00FC0299"/>
    <w:rsid w:val="00FC0491"/>
    <w:rsid w:val="00FC07EC"/>
    <w:rsid w:val="00FC09F6"/>
    <w:rsid w:val="00FC0C07"/>
    <w:rsid w:val="00FC0DF1"/>
    <w:rsid w:val="00FC10A0"/>
    <w:rsid w:val="00FC147E"/>
    <w:rsid w:val="00FC177F"/>
    <w:rsid w:val="00FC1ADB"/>
    <w:rsid w:val="00FC2072"/>
    <w:rsid w:val="00FC25B4"/>
    <w:rsid w:val="00FC27AC"/>
    <w:rsid w:val="00FC2B61"/>
    <w:rsid w:val="00FC3012"/>
    <w:rsid w:val="00FC3233"/>
    <w:rsid w:val="00FC38DC"/>
    <w:rsid w:val="00FC3E47"/>
    <w:rsid w:val="00FC530D"/>
    <w:rsid w:val="00FC564E"/>
    <w:rsid w:val="00FC56AA"/>
    <w:rsid w:val="00FC57C8"/>
    <w:rsid w:val="00FC61D2"/>
    <w:rsid w:val="00FC6C7E"/>
    <w:rsid w:val="00FC6F95"/>
    <w:rsid w:val="00FC7326"/>
    <w:rsid w:val="00FC7741"/>
    <w:rsid w:val="00FC7F16"/>
    <w:rsid w:val="00FC7F4A"/>
    <w:rsid w:val="00FD0032"/>
    <w:rsid w:val="00FD08B6"/>
    <w:rsid w:val="00FD08C6"/>
    <w:rsid w:val="00FD09A5"/>
    <w:rsid w:val="00FD0ADA"/>
    <w:rsid w:val="00FD1064"/>
    <w:rsid w:val="00FD1312"/>
    <w:rsid w:val="00FD1457"/>
    <w:rsid w:val="00FD1940"/>
    <w:rsid w:val="00FD1A2D"/>
    <w:rsid w:val="00FD37D6"/>
    <w:rsid w:val="00FD3CB7"/>
    <w:rsid w:val="00FD4A9F"/>
    <w:rsid w:val="00FD4BE5"/>
    <w:rsid w:val="00FD4CB5"/>
    <w:rsid w:val="00FD5227"/>
    <w:rsid w:val="00FD5465"/>
    <w:rsid w:val="00FD5477"/>
    <w:rsid w:val="00FD582A"/>
    <w:rsid w:val="00FD5859"/>
    <w:rsid w:val="00FD5A46"/>
    <w:rsid w:val="00FD5A93"/>
    <w:rsid w:val="00FD61F2"/>
    <w:rsid w:val="00FD6FC0"/>
    <w:rsid w:val="00FD70F9"/>
    <w:rsid w:val="00FD716C"/>
    <w:rsid w:val="00FD7195"/>
    <w:rsid w:val="00FD74E2"/>
    <w:rsid w:val="00FD79DF"/>
    <w:rsid w:val="00FE159B"/>
    <w:rsid w:val="00FE1910"/>
    <w:rsid w:val="00FE1927"/>
    <w:rsid w:val="00FE1952"/>
    <w:rsid w:val="00FE285A"/>
    <w:rsid w:val="00FE2B10"/>
    <w:rsid w:val="00FE2F98"/>
    <w:rsid w:val="00FE3B5E"/>
    <w:rsid w:val="00FE3C14"/>
    <w:rsid w:val="00FE3D6A"/>
    <w:rsid w:val="00FE48CF"/>
    <w:rsid w:val="00FE4EF4"/>
    <w:rsid w:val="00FE504D"/>
    <w:rsid w:val="00FE5526"/>
    <w:rsid w:val="00FE5766"/>
    <w:rsid w:val="00FE59BC"/>
    <w:rsid w:val="00FE59F7"/>
    <w:rsid w:val="00FE5A0F"/>
    <w:rsid w:val="00FE5E54"/>
    <w:rsid w:val="00FE60E5"/>
    <w:rsid w:val="00FE68BC"/>
    <w:rsid w:val="00FE6E93"/>
    <w:rsid w:val="00FE6F23"/>
    <w:rsid w:val="00FE71F0"/>
    <w:rsid w:val="00FE7F23"/>
    <w:rsid w:val="00FF034D"/>
    <w:rsid w:val="00FF04FC"/>
    <w:rsid w:val="00FF0EA5"/>
    <w:rsid w:val="00FF13D7"/>
    <w:rsid w:val="00FF19E7"/>
    <w:rsid w:val="00FF217B"/>
    <w:rsid w:val="00FF2AD3"/>
    <w:rsid w:val="00FF2BFD"/>
    <w:rsid w:val="00FF2CEB"/>
    <w:rsid w:val="00FF2F85"/>
    <w:rsid w:val="00FF370A"/>
    <w:rsid w:val="00FF3A65"/>
    <w:rsid w:val="00FF4551"/>
    <w:rsid w:val="00FF5235"/>
    <w:rsid w:val="00FF57DD"/>
    <w:rsid w:val="00FF5A02"/>
    <w:rsid w:val="00FF6274"/>
    <w:rsid w:val="00FF62F7"/>
    <w:rsid w:val="00FF6351"/>
    <w:rsid w:val="00FF671E"/>
    <w:rsid w:val="00FF682E"/>
    <w:rsid w:val="00FF6F3C"/>
    <w:rsid w:val="00FF76D5"/>
    <w:rsid w:val="04F15CAC"/>
    <w:rsid w:val="06E01941"/>
    <w:rsid w:val="0CFDFA1B"/>
    <w:rsid w:val="0FF7B71A"/>
    <w:rsid w:val="12D68CBA"/>
    <w:rsid w:val="153E5D02"/>
    <w:rsid w:val="19BFCF04"/>
    <w:rsid w:val="1BFF839A"/>
    <w:rsid w:val="1D13437B"/>
    <w:rsid w:val="1E6FAE0E"/>
    <w:rsid w:val="1EFD8658"/>
    <w:rsid w:val="1F7D28B7"/>
    <w:rsid w:val="1FED2043"/>
    <w:rsid w:val="1FEDEECE"/>
    <w:rsid w:val="25D72A1A"/>
    <w:rsid w:val="297E7BCB"/>
    <w:rsid w:val="2DFE5231"/>
    <w:rsid w:val="31FFD5BC"/>
    <w:rsid w:val="34FF2B94"/>
    <w:rsid w:val="37CFBDBE"/>
    <w:rsid w:val="37FE6F2E"/>
    <w:rsid w:val="37FF8C45"/>
    <w:rsid w:val="39BFF798"/>
    <w:rsid w:val="3AD65514"/>
    <w:rsid w:val="3BDB9800"/>
    <w:rsid w:val="3DFFCD99"/>
    <w:rsid w:val="3EDD3E41"/>
    <w:rsid w:val="3EFF9A02"/>
    <w:rsid w:val="3F3F700C"/>
    <w:rsid w:val="3F5559D3"/>
    <w:rsid w:val="3FEF5ED1"/>
    <w:rsid w:val="3FEFDBF3"/>
    <w:rsid w:val="43DF1C98"/>
    <w:rsid w:val="45DB07F4"/>
    <w:rsid w:val="48EA8F1F"/>
    <w:rsid w:val="4B6F631E"/>
    <w:rsid w:val="4D3FB057"/>
    <w:rsid w:val="4E39AA28"/>
    <w:rsid w:val="4F4F38CD"/>
    <w:rsid w:val="4FBF1A62"/>
    <w:rsid w:val="4FEF4AAF"/>
    <w:rsid w:val="4FFF5BD6"/>
    <w:rsid w:val="55F9CBF1"/>
    <w:rsid w:val="56AA353D"/>
    <w:rsid w:val="56CC14F3"/>
    <w:rsid w:val="56FDAC70"/>
    <w:rsid w:val="56FFD16D"/>
    <w:rsid w:val="57378FDA"/>
    <w:rsid w:val="583FFB34"/>
    <w:rsid w:val="59FAB81C"/>
    <w:rsid w:val="5BBC198C"/>
    <w:rsid w:val="5BFFA205"/>
    <w:rsid w:val="5D7F9438"/>
    <w:rsid w:val="5DBF5393"/>
    <w:rsid w:val="5DEBEB61"/>
    <w:rsid w:val="5F3E7FD3"/>
    <w:rsid w:val="5FB70630"/>
    <w:rsid w:val="5FDD1632"/>
    <w:rsid w:val="5FED9B7D"/>
    <w:rsid w:val="5FEF28E9"/>
    <w:rsid w:val="5FF1DFF5"/>
    <w:rsid w:val="5FF7016F"/>
    <w:rsid w:val="5FFC81F1"/>
    <w:rsid w:val="5FFFFBEC"/>
    <w:rsid w:val="62E7C4B1"/>
    <w:rsid w:val="64776B0E"/>
    <w:rsid w:val="65B6A336"/>
    <w:rsid w:val="65F12FD0"/>
    <w:rsid w:val="66F8CCE6"/>
    <w:rsid w:val="687FE701"/>
    <w:rsid w:val="6B3FA00F"/>
    <w:rsid w:val="6C33DBAD"/>
    <w:rsid w:val="6E541286"/>
    <w:rsid w:val="6ECF2C5C"/>
    <w:rsid w:val="6F9D9BAC"/>
    <w:rsid w:val="6FBFD7E1"/>
    <w:rsid w:val="6FEF872B"/>
    <w:rsid w:val="6FFF505D"/>
    <w:rsid w:val="73CF1D8A"/>
    <w:rsid w:val="73FF1191"/>
    <w:rsid w:val="742EDC21"/>
    <w:rsid w:val="74B59DFD"/>
    <w:rsid w:val="74B9D8BB"/>
    <w:rsid w:val="757914EE"/>
    <w:rsid w:val="757DA110"/>
    <w:rsid w:val="75E7C957"/>
    <w:rsid w:val="75FE94DA"/>
    <w:rsid w:val="765069A7"/>
    <w:rsid w:val="76820167"/>
    <w:rsid w:val="76BE575B"/>
    <w:rsid w:val="7717B97E"/>
    <w:rsid w:val="77BBE4DD"/>
    <w:rsid w:val="7969D5D2"/>
    <w:rsid w:val="7A1D46F3"/>
    <w:rsid w:val="7A3DBD3E"/>
    <w:rsid w:val="7A7BF303"/>
    <w:rsid w:val="7AB51AEB"/>
    <w:rsid w:val="7AEF8F9C"/>
    <w:rsid w:val="7AF9A490"/>
    <w:rsid w:val="7AFF888A"/>
    <w:rsid w:val="7AFFB3B5"/>
    <w:rsid w:val="7B949193"/>
    <w:rsid w:val="7BBB65FB"/>
    <w:rsid w:val="7BEB6F5D"/>
    <w:rsid w:val="7BEDCE41"/>
    <w:rsid w:val="7BEF6FA7"/>
    <w:rsid w:val="7BFE4156"/>
    <w:rsid w:val="7CAFB881"/>
    <w:rsid w:val="7CBF6785"/>
    <w:rsid w:val="7DAB2B7A"/>
    <w:rsid w:val="7DB73121"/>
    <w:rsid w:val="7DBEAB45"/>
    <w:rsid w:val="7DEF3216"/>
    <w:rsid w:val="7DEF8C31"/>
    <w:rsid w:val="7DF0AA34"/>
    <w:rsid w:val="7DFA484F"/>
    <w:rsid w:val="7E38F6F5"/>
    <w:rsid w:val="7E4C5F61"/>
    <w:rsid w:val="7E6E7B69"/>
    <w:rsid w:val="7E7F2BC8"/>
    <w:rsid w:val="7EB7DD36"/>
    <w:rsid w:val="7ECFB072"/>
    <w:rsid w:val="7EDBD863"/>
    <w:rsid w:val="7F3DB6D5"/>
    <w:rsid w:val="7F4E48E3"/>
    <w:rsid w:val="7F7F752E"/>
    <w:rsid w:val="7FB7EA8D"/>
    <w:rsid w:val="7FBB732B"/>
    <w:rsid w:val="7FBF2857"/>
    <w:rsid w:val="7FD07283"/>
    <w:rsid w:val="7FDEA3E2"/>
    <w:rsid w:val="7FDEEA97"/>
    <w:rsid w:val="7FEB96F4"/>
    <w:rsid w:val="7FEE601D"/>
    <w:rsid w:val="7FEFAEFD"/>
    <w:rsid w:val="7FFD7609"/>
    <w:rsid w:val="7FFEB0A0"/>
    <w:rsid w:val="7FFF28EA"/>
    <w:rsid w:val="7FFFBABF"/>
    <w:rsid w:val="7FFFDD72"/>
    <w:rsid w:val="935FFB7C"/>
    <w:rsid w:val="95FB84E4"/>
    <w:rsid w:val="96EFD92B"/>
    <w:rsid w:val="9BB64753"/>
    <w:rsid w:val="9BFF4ACC"/>
    <w:rsid w:val="9D7B2410"/>
    <w:rsid w:val="9F7F601B"/>
    <w:rsid w:val="9FFABED5"/>
    <w:rsid w:val="A33EB538"/>
    <w:rsid w:val="A7B7EC6C"/>
    <w:rsid w:val="A7EE8E69"/>
    <w:rsid w:val="A9B996E5"/>
    <w:rsid w:val="AD7E4655"/>
    <w:rsid w:val="ADAF976D"/>
    <w:rsid w:val="AFDF4F6D"/>
    <w:rsid w:val="B56BBFAF"/>
    <w:rsid w:val="B57F7863"/>
    <w:rsid w:val="B6EFA6C8"/>
    <w:rsid w:val="B91FF5D1"/>
    <w:rsid w:val="BD7FE42E"/>
    <w:rsid w:val="BE5B1579"/>
    <w:rsid w:val="BEDBFC4F"/>
    <w:rsid w:val="BF3F7DDB"/>
    <w:rsid w:val="BF4D1BDE"/>
    <w:rsid w:val="BF4DBDC4"/>
    <w:rsid w:val="BF7F45BD"/>
    <w:rsid w:val="BF97BBE1"/>
    <w:rsid w:val="BFBDEED4"/>
    <w:rsid w:val="BFDF32C3"/>
    <w:rsid w:val="BFEBC0B5"/>
    <w:rsid w:val="BFED547C"/>
    <w:rsid w:val="C7A78258"/>
    <w:rsid w:val="C7FFAD54"/>
    <w:rsid w:val="CFED19A5"/>
    <w:rsid w:val="D6A3CD37"/>
    <w:rsid w:val="D7B996D6"/>
    <w:rsid w:val="D9FD2273"/>
    <w:rsid w:val="DA8FDE3A"/>
    <w:rsid w:val="DAF778FF"/>
    <w:rsid w:val="DBA51168"/>
    <w:rsid w:val="DCD38081"/>
    <w:rsid w:val="DDAA5423"/>
    <w:rsid w:val="DDBE7779"/>
    <w:rsid w:val="DDDF7732"/>
    <w:rsid w:val="DDEF039E"/>
    <w:rsid w:val="DDFF6719"/>
    <w:rsid w:val="DE2F5876"/>
    <w:rsid w:val="DECDA885"/>
    <w:rsid w:val="DEEC2446"/>
    <w:rsid w:val="DEF3074E"/>
    <w:rsid w:val="DEF30B5C"/>
    <w:rsid w:val="DF93523B"/>
    <w:rsid w:val="DFCD7CCA"/>
    <w:rsid w:val="DFEC24AD"/>
    <w:rsid w:val="DFED4153"/>
    <w:rsid w:val="DFEE2F62"/>
    <w:rsid w:val="DFF41CB9"/>
    <w:rsid w:val="DFF7C7FC"/>
    <w:rsid w:val="DFFF5416"/>
    <w:rsid w:val="DFFF9078"/>
    <w:rsid w:val="E3DB33EF"/>
    <w:rsid w:val="E3EFAB6D"/>
    <w:rsid w:val="E7FEE3E4"/>
    <w:rsid w:val="E8CCBF62"/>
    <w:rsid w:val="EAD63E4F"/>
    <w:rsid w:val="EAF6BC81"/>
    <w:rsid w:val="EC7139AD"/>
    <w:rsid w:val="ED7C9A98"/>
    <w:rsid w:val="EDE56DE9"/>
    <w:rsid w:val="EE7DA8EB"/>
    <w:rsid w:val="EEED8315"/>
    <w:rsid w:val="EF4FDA18"/>
    <w:rsid w:val="EFA742BE"/>
    <w:rsid w:val="EFCFAA59"/>
    <w:rsid w:val="EFF3DEAF"/>
    <w:rsid w:val="EFF70049"/>
    <w:rsid w:val="EFFBCE81"/>
    <w:rsid w:val="EFFE6A1A"/>
    <w:rsid w:val="EFFF200B"/>
    <w:rsid w:val="EFFFAEDF"/>
    <w:rsid w:val="F5F74D7A"/>
    <w:rsid w:val="F65F1E34"/>
    <w:rsid w:val="F6DA66E7"/>
    <w:rsid w:val="F7CD97F9"/>
    <w:rsid w:val="F7DF5CC1"/>
    <w:rsid w:val="F7DFEC1B"/>
    <w:rsid w:val="F7E730B8"/>
    <w:rsid w:val="F7F7F95F"/>
    <w:rsid w:val="F7FF008E"/>
    <w:rsid w:val="F9CC8643"/>
    <w:rsid w:val="FA3FF601"/>
    <w:rsid w:val="FB5E3BEB"/>
    <w:rsid w:val="FB7BE247"/>
    <w:rsid w:val="FB9EA703"/>
    <w:rsid w:val="FBD7B773"/>
    <w:rsid w:val="FBFF3505"/>
    <w:rsid w:val="FBFF742B"/>
    <w:rsid w:val="FBFFC8C7"/>
    <w:rsid w:val="FCECE021"/>
    <w:rsid w:val="FCEFAD32"/>
    <w:rsid w:val="FCF16473"/>
    <w:rsid w:val="FCFB0F04"/>
    <w:rsid w:val="FCFED93B"/>
    <w:rsid w:val="FD5B9592"/>
    <w:rsid w:val="FD7F3B5A"/>
    <w:rsid w:val="FD9B3E08"/>
    <w:rsid w:val="FDAE78B4"/>
    <w:rsid w:val="FDBCDC40"/>
    <w:rsid w:val="FDD68FEF"/>
    <w:rsid w:val="FDD6D8A3"/>
    <w:rsid w:val="FDDE1445"/>
    <w:rsid w:val="FDF629CF"/>
    <w:rsid w:val="FDFEB9FE"/>
    <w:rsid w:val="FDFFBC37"/>
    <w:rsid w:val="FE5F6C94"/>
    <w:rsid w:val="FE77951E"/>
    <w:rsid w:val="FE97E410"/>
    <w:rsid w:val="FE9B9A85"/>
    <w:rsid w:val="FEDBB5BA"/>
    <w:rsid w:val="FEF8AB95"/>
    <w:rsid w:val="FF2C313A"/>
    <w:rsid w:val="FF5F26BB"/>
    <w:rsid w:val="FF6EEDD6"/>
    <w:rsid w:val="FF74FBF4"/>
    <w:rsid w:val="FF9777BF"/>
    <w:rsid w:val="FFBD1F21"/>
    <w:rsid w:val="FFBD3B9C"/>
    <w:rsid w:val="FFBFAE0D"/>
    <w:rsid w:val="FFDF36DB"/>
    <w:rsid w:val="FFDFB5D9"/>
    <w:rsid w:val="FFEE4613"/>
    <w:rsid w:val="FFEFA217"/>
    <w:rsid w:val="FFEFA874"/>
    <w:rsid w:val="FFF94BC7"/>
    <w:rsid w:val="FFFEBB8B"/>
    <w:rsid w:val="FFFEE834"/>
    <w:rsid w:val="FFFF5064"/>
    <w:rsid w:val="FFFF8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Light" w:hAnsi="Calibri Light" w:eastAsia="宋体" w:cs="Times New Roman"/>
      <w:lang w:val="en-US" w:eastAsia="zh-CN" w:bidi="ar-SA"/>
    </w:rPr>
  </w:style>
  <w:style w:type="paragraph" w:styleId="3">
    <w:name w:val="heading 1"/>
    <w:basedOn w:val="1"/>
    <w:next w:val="1"/>
    <w:link w:val="43"/>
    <w:qFormat/>
    <w:uiPriority w:val="9"/>
    <w:pPr>
      <w:pBdr>
        <w:top w:val="single" w:color="0F6FC6" w:sz="24" w:space="0"/>
        <w:left w:val="single" w:color="0F6FC6" w:sz="24" w:space="0"/>
        <w:bottom w:val="single" w:color="0F6FC6" w:sz="24" w:space="0"/>
        <w:right w:val="single" w:color="0F6FC6" w:sz="24" w:space="0"/>
      </w:pBdr>
      <w:shd w:val="clear" w:color="auto" w:fill="0F6FC6"/>
      <w:outlineLvl w:val="0"/>
    </w:pPr>
    <w:rPr>
      <w:caps/>
      <w:color w:val="FFFFFF"/>
      <w:spacing w:val="15"/>
      <w:sz w:val="22"/>
      <w:szCs w:val="22"/>
      <w:lang w:val="zh-CN"/>
    </w:rPr>
  </w:style>
  <w:style w:type="paragraph" w:styleId="4">
    <w:name w:val="heading 2"/>
    <w:basedOn w:val="1"/>
    <w:next w:val="1"/>
    <w:link w:val="44"/>
    <w:qFormat/>
    <w:uiPriority w:val="9"/>
    <w:pPr>
      <w:pBdr>
        <w:top w:val="single" w:color="C7E2FA" w:sz="24" w:space="0"/>
        <w:left w:val="single" w:color="C7E2FA" w:sz="24" w:space="0"/>
        <w:bottom w:val="single" w:color="C7E2FA" w:sz="24" w:space="0"/>
        <w:right w:val="single" w:color="C7E2FA" w:sz="24" w:space="0"/>
      </w:pBdr>
      <w:shd w:val="clear" w:color="auto" w:fill="C7E2FA"/>
      <w:outlineLvl w:val="1"/>
    </w:pPr>
    <w:rPr>
      <w:caps/>
      <w:spacing w:val="15"/>
      <w:lang w:val="zh-CN"/>
    </w:rPr>
  </w:style>
  <w:style w:type="paragraph" w:styleId="5">
    <w:name w:val="heading 3"/>
    <w:basedOn w:val="1"/>
    <w:next w:val="1"/>
    <w:link w:val="45"/>
    <w:qFormat/>
    <w:uiPriority w:val="9"/>
    <w:pPr>
      <w:pBdr>
        <w:top w:val="single" w:color="0F6FC6" w:sz="6" w:space="2"/>
      </w:pBdr>
      <w:spacing w:before="300"/>
      <w:outlineLvl w:val="2"/>
    </w:pPr>
    <w:rPr>
      <w:caps/>
      <w:color w:val="073662"/>
      <w:spacing w:val="15"/>
      <w:lang w:val="zh-CN"/>
    </w:rPr>
  </w:style>
  <w:style w:type="paragraph" w:styleId="6">
    <w:name w:val="heading 4"/>
    <w:basedOn w:val="1"/>
    <w:next w:val="1"/>
    <w:link w:val="46"/>
    <w:qFormat/>
    <w:uiPriority w:val="9"/>
    <w:pPr>
      <w:pBdr>
        <w:top w:val="dotted" w:color="0F6FC6" w:sz="6" w:space="2"/>
      </w:pBdr>
      <w:spacing w:before="200"/>
      <w:outlineLvl w:val="3"/>
    </w:pPr>
    <w:rPr>
      <w:caps/>
      <w:color w:val="0B5294"/>
      <w:spacing w:val="10"/>
      <w:lang w:val="zh-CN"/>
    </w:rPr>
  </w:style>
  <w:style w:type="paragraph" w:styleId="7">
    <w:name w:val="heading 5"/>
    <w:basedOn w:val="1"/>
    <w:next w:val="1"/>
    <w:link w:val="47"/>
    <w:qFormat/>
    <w:uiPriority w:val="9"/>
    <w:pPr>
      <w:pBdr>
        <w:bottom w:val="single" w:color="0F6FC6" w:sz="6" w:space="1"/>
      </w:pBdr>
      <w:spacing w:before="200"/>
      <w:outlineLvl w:val="4"/>
    </w:pPr>
    <w:rPr>
      <w:caps/>
      <w:color w:val="0B5294"/>
      <w:spacing w:val="10"/>
      <w:lang w:val="zh-CN"/>
    </w:rPr>
  </w:style>
  <w:style w:type="paragraph" w:styleId="8">
    <w:name w:val="heading 6"/>
    <w:basedOn w:val="1"/>
    <w:next w:val="1"/>
    <w:link w:val="48"/>
    <w:qFormat/>
    <w:uiPriority w:val="9"/>
    <w:pPr>
      <w:pBdr>
        <w:bottom w:val="dotted" w:color="0F6FC6" w:sz="6" w:space="1"/>
      </w:pBdr>
      <w:spacing w:before="200"/>
      <w:outlineLvl w:val="5"/>
    </w:pPr>
    <w:rPr>
      <w:caps/>
      <w:color w:val="0B5294"/>
      <w:spacing w:val="10"/>
      <w:lang w:val="zh-CN"/>
    </w:rPr>
  </w:style>
  <w:style w:type="paragraph" w:styleId="9">
    <w:name w:val="heading 7"/>
    <w:basedOn w:val="1"/>
    <w:next w:val="1"/>
    <w:link w:val="49"/>
    <w:qFormat/>
    <w:uiPriority w:val="9"/>
    <w:pPr>
      <w:spacing w:before="200"/>
      <w:outlineLvl w:val="6"/>
    </w:pPr>
    <w:rPr>
      <w:caps/>
      <w:color w:val="0B5294"/>
      <w:spacing w:val="10"/>
      <w:lang w:val="zh-CN"/>
    </w:rPr>
  </w:style>
  <w:style w:type="paragraph" w:styleId="10">
    <w:name w:val="heading 8"/>
    <w:basedOn w:val="1"/>
    <w:next w:val="1"/>
    <w:link w:val="50"/>
    <w:qFormat/>
    <w:uiPriority w:val="9"/>
    <w:pPr>
      <w:spacing w:before="200"/>
      <w:outlineLvl w:val="7"/>
    </w:pPr>
    <w:rPr>
      <w:caps/>
      <w:spacing w:val="10"/>
      <w:sz w:val="18"/>
      <w:szCs w:val="18"/>
      <w:lang w:val="zh-CN"/>
    </w:rPr>
  </w:style>
  <w:style w:type="paragraph" w:styleId="11">
    <w:name w:val="heading 9"/>
    <w:basedOn w:val="1"/>
    <w:next w:val="1"/>
    <w:link w:val="51"/>
    <w:qFormat/>
    <w:uiPriority w:val="9"/>
    <w:pPr>
      <w:spacing w:before="200"/>
      <w:outlineLvl w:val="8"/>
    </w:pPr>
    <w:rPr>
      <w:i/>
      <w:iCs/>
      <w:caps/>
      <w:spacing w:val="10"/>
      <w:sz w:val="18"/>
      <w:szCs w:val="18"/>
      <w:lang w:val="zh-CN"/>
    </w:rPr>
  </w:style>
  <w:style w:type="character" w:default="1" w:styleId="36">
    <w:name w:val="Default Paragraph Font"/>
    <w:unhideWhenUsed/>
    <w:qFormat/>
    <w:uiPriority w:val="1"/>
  </w:style>
  <w:style w:type="table" w:default="1" w:styleId="32">
    <w:name w:val="Normal Table"/>
    <w:unhideWhenUsed/>
    <w:qFormat/>
    <w:uiPriority w:val="99"/>
    <w:tblPr>
      <w:tblCellMar>
        <w:top w:w="0" w:type="dxa"/>
        <w:left w:w="108" w:type="dxa"/>
        <w:bottom w:w="0" w:type="dxa"/>
        <w:right w:w="108" w:type="dxa"/>
      </w:tblCellMar>
    </w:tblPr>
  </w:style>
  <w:style w:type="paragraph" w:styleId="2">
    <w:name w:val="footnote text"/>
    <w:basedOn w:val="1"/>
    <w:link w:val="60"/>
    <w:unhideWhenUsed/>
    <w:qFormat/>
    <w:uiPriority w:val="0"/>
    <w:pPr>
      <w:snapToGrid w:val="0"/>
    </w:pPr>
    <w:rPr>
      <w:sz w:val="18"/>
      <w:szCs w:val="18"/>
      <w:lang w:val="zh-CN"/>
    </w:rPr>
  </w:style>
  <w:style w:type="paragraph" w:styleId="12">
    <w:name w:val="toc 7"/>
    <w:basedOn w:val="1"/>
    <w:next w:val="1"/>
    <w:unhideWhenUsed/>
    <w:qFormat/>
    <w:uiPriority w:val="39"/>
    <w:pPr>
      <w:ind w:left="1200"/>
    </w:pPr>
    <w:rPr>
      <w:rFonts w:asciiTheme="minorHAnsi" w:hAnsiTheme="minorHAnsi"/>
      <w:sz w:val="18"/>
      <w:szCs w:val="18"/>
    </w:rPr>
  </w:style>
  <w:style w:type="paragraph" w:styleId="13">
    <w:name w:val="caption"/>
    <w:basedOn w:val="1"/>
    <w:next w:val="1"/>
    <w:link w:val="54"/>
    <w:qFormat/>
    <w:uiPriority w:val="0"/>
    <w:pPr>
      <w:spacing w:before="50" w:beforeLines="50" w:after="50" w:afterLines="50"/>
      <w:jc w:val="center"/>
    </w:pPr>
    <w:rPr>
      <w:rFonts w:ascii="Times New Roman" w:hAnsi="Times New Roman" w:eastAsia="黑体"/>
      <w:b/>
      <w:bCs/>
      <w:sz w:val="21"/>
      <w:szCs w:val="16"/>
    </w:rPr>
  </w:style>
  <w:style w:type="paragraph" w:styleId="14">
    <w:name w:val="Document Map"/>
    <w:basedOn w:val="1"/>
    <w:link w:val="55"/>
    <w:unhideWhenUsed/>
    <w:qFormat/>
    <w:uiPriority w:val="99"/>
    <w:rPr>
      <w:rFonts w:ascii="宋体"/>
      <w:sz w:val="18"/>
      <w:szCs w:val="18"/>
      <w:lang w:val="zh-CN"/>
    </w:rPr>
  </w:style>
  <w:style w:type="paragraph" w:styleId="15">
    <w:name w:val="annotation text"/>
    <w:basedOn w:val="1"/>
    <w:link w:val="52"/>
    <w:unhideWhenUsed/>
    <w:qFormat/>
    <w:uiPriority w:val="99"/>
  </w:style>
  <w:style w:type="paragraph" w:styleId="16">
    <w:name w:val="toc 5"/>
    <w:basedOn w:val="1"/>
    <w:next w:val="1"/>
    <w:unhideWhenUsed/>
    <w:qFormat/>
    <w:uiPriority w:val="39"/>
    <w:pPr>
      <w:ind w:left="800"/>
    </w:pPr>
    <w:rPr>
      <w:rFonts w:asciiTheme="minorHAnsi" w:hAnsiTheme="minorHAnsi"/>
      <w:sz w:val="18"/>
      <w:szCs w:val="18"/>
    </w:rPr>
  </w:style>
  <w:style w:type="paragraph" w:styleId="17">
    <w:name w:val="toc 3"/>
    <w:basedOn w:val="1"/>
    <w:next w:val="1"/>
    <w:unhideWhenUsed/>
    <w:qFormat/>
    <w:uiPriority w:val="39"/>
    <w:pPr>
      <w:spacing w:line="360" w:lineRule="auto"/>
      <w:ind w:firstLine="400" w:firstLineChars="400"/>
    </w:pPr>
    <w:rPr>
      <w:rFonts w:ascii="Times New Roman" w:hAnsi="Times New Roman"/>
      <w:iCs/>
      <w:color w:val="4F81BD" w:themeColor="accent1"/>
      <w:sz w:val="24"/>
      <w14:textFill>
        <w14:solidFill>
          <w14:schemeClr w14:val="accent1"/>
        </w14:solidFill>
      </w14:textFill>
    </w:rPr>
  </w:style>
  <w:style w:type="paragraph" w:styleId="18">
    <w:name w:val="toc 8"/>
    <w:basedOn w:val="1"/>
    <w:next w:val="1"/>
    <w:unhideWhenUsed/>
    <w:qFormat/>
    <w:uiPriority w:val="39"/>
    <w:pPr>
      <w:ind w:left="1400"/>
    </w:pPr>
    <w:rPr>
      <w:rFonts w:asciiTheme="minorHAnsi" w:hAnsiTheme="minorHAnsi"/>
      <w:sz w:val="18"/>
      <w:szCs w:val="18"/>
    </w:rPr>
  </w:style>
  <w:style w:type="paragraph" w:styleId="19">
    <w:name w:val="Balloon Text"/>
    <w:basedOn w:val="1"/>
    <w:link w:val="56"/>
    <w:unhideWhenUsed/>
    <w:qFormat/>
    <w:uiPriority w:val="99"/>
    <w:rPr>
      <w:sz w:val="18"/>
      <w:szCs w:val="18"/>
      <w:lang w:val="zh-CN"/>
    </w:rPr>
  </w:style>
  <w:style w:type="paragraph" w:styleId="20">
    <w:name w:val="footer"/>
    <w:basedOn w:val="1"/>
    <w:link w:val="57"/>
    <w:unhideWhenUsed/>
    <w:qFormat/>
    <w:uiPriority w:val="99"/>
    <w:pPr>
      <w:tabs>
        <w:tab w:val="center" w:pos="4153"/>
        <w:tab w:val="right" w:pos="8306"/>
      </w:tabs>
      <w:snapToGrid w:val="0"/>
    </w:pPr>
    <w:rPr>
      <w:sz w:val="18"/>
      <w:szCs w:val="18"/>
      <w:lang w:val="zh-CN"/>
    </w:rPr>
  </w:style>
  <w:style w:type="paragraph" w:styleId="21">
    <w:name w:val="header"/>
    <w:basedOn w:val="1"/>
    <w:link w:val="58"/>
    <w:unhideWhenUsed/>
    <w:qFormat/>
    <w:uiPriority w:val="99"/>
    <w:pPr>
      <w:pBdr>
        <w:bottom w:val="single" w:color="auto" w:sz="6" w:space="1"/>
      </w:pBdr>
      <w:tabs>
        <w:tab w:val="center" w:pos="4153"/>
        <w:tab w:val="right" w:pos="8306"/>
      </w:tabs>
      <w:snapToGrid w:val="0"/>
      <w:jc w:val="center"/>
    </w:pPr>
    <w:rPr>
      <w:sz w:val="18"/>
      <w:szCs w:val="18"/>
      <w:lang w:val="zh-CN"/>
    </w:rPr>
  </w:style>
  <w:style w:type="paragraph" w:styleId="22">
    <w:name w:val="toc 1"/>
    <w:basedOn w:val="1"/>
    <w:next w:val="1"/>
    <w:unhideWhenUsed/>
    <w:qFormat/>
    <w:uiPriority w:val="39"/>
    <w:pPr>
      <w:spacing w:line="360" w:lineRule="auto"/>
    </w:pPr>
    <w:rPr>
      <w:rFonts w:ascii="Times New Roman" w:hAnsi="Times New Roman" w:eastAsiaTheme="minorEastAsia"/>
      <w:b/>
      <w:bCs/>
      <w:caps/>
      <w:color w:val="4F81BD" w:themeColor="accent1"/>
      <w:sz w:val="28"/>
      <w14:textFill>
        <w14:solidFill>
          <w14:schemeClr w14:val="accent1"/>
        </w14:solidFill>
      </w14:textFill>
    </w:rPr>
  </w:style>
  <w:style w:type="paragraph" w:styleId="23">
    <w:name w:val="toc 4"/>
    <w:basedOn w:val="1"/>
    <w:next w:val="1"/>
    <w:unhideWhenUsed/>
    <w:qFormat/>
    <w:uiPriority w:val="39"/>
    <w:pPr>
      <w:ind w:left="600"/>
    </w:pPr>
    <w:rPr>
      <w:rFonts w:asciiTheme="minorHAnsi" w:hAnsiTheme="minorHAnsi"/>
      <w:sz w:val="18"/>
      <w:szCs w:val="18"/>
    </w:rPr>
  </w:style>
  <w:style w:type="paragraph" w:styleId="24">
    <w:name w:val="Subtitle"/>
    <w:basedOn w:val="1"/>
    <w:next w:val="1"/>
    <w:link w:val="59"/>
    <w:qFormat/>
    <w:uiPriority w:val="11"/>
    <w:pPr>
      <w:spacing w:after="500"/>
    </w:pPr>
    <w:rPr>
      <w:caps/>
      <w:color w:val="595959"/>
      <w:spacing w:val="10"/>
      <w:sz w:val="21"/>
      <w:szCs w:val="21"/>
      <w:lang w:val="zh-CN"/>
    </w:rPr>
  </w:style>
  <w:style w:type="paragraph" w:styleId="25">
    <w:name w:val="toc 6"/>
    <w:basedOn w:val="1"/>
    <w:next w:val="1"/>
    <w:unhideWhenUsed/>
    <w:qFormat/>
    <w:uiPriority w:val="39"/>
    <w:pPr>
      <w:ind w:left="1000"/>
    </w:pPr>
    <w:rPr>
      <w:rFonts w:asciiTheme="minorHAnsi" w:hAnsiTheme="minorHAnsi"/>
      <w:sz w:val="18"/>
      <w:szCs w:val="18"/>
    </w:rPr>
  </w:style>
  <w:style w:type="paragraph" w:styleId="26">
    <w:name w:val="table of figures"/>
    <w:basedOn w:val="1"/>
    <w:next w:val="1"/>
    <w:unhideWhenUsed/>
    <w:qFormat/>
    <w:uiPriority w:val="99"/>
    <w:pPr>
      <w:spacing w:line="360" w:lineRule="auto"/>
      <w:ind w:left="400" w:leftChars="200" w:hanging="200" w:hangingChars="200"/>
    </w:pPr>
    <w:rPr>
      <w:rFonts w:ascii="Times New Roman" w:hAnsi="Times New Roman"/>
      <w:color w:val="4F81BD" w:themeColor="accent1"/>
      <w:sz w:val="24"/>
      <w14:textFill>
        <w14:solidFill>
          <w14:schemeClr w14:val="accent1"/>
        </w14:solidFill>
      </w14:textFill>
    </w:rPr>
  </w:style>
  <w:style w:type="paragraph" w:styleId="27">
    <w:name w:val="toc 2"/>
    <w:basedOn w:val="1"/>
    <w:next w:val="1"/>
    <w:unhideWhenUsed/>
    <w:qFormat/>
    <w:uiPriority w:val="39"/>
    <w:pPr>
      <w:spacing w:line="360" w:lineRule="auto"/>
      <w:ind w:firstLine="200" w:firstLineChars="200"/>
    </w:pPr>
    <w:rPr>
      <w:rFonts w:ascii="Times New Roman" w:hAnsi="Times New Roman"/>
      <w:smallCaps/>
      <w:color w:val="4F81BD" w:themeColor="accent1"/>
      <w:sz w:val="24"/>
      <w14:textFill>
        <w14:solidFill>
          <w14:schemeClr w14:val="accent1"/>
        </w14:solidFill>
      </w14:textFill>
    </w:rPr>
  </w:style>
  <w:style w:type="paragraph" w:styleId="28">
    <w:name w:val="toc 9"/>
    <w:basedOn w:val="1"/>
    <w:next w:val="1"/>
    <w:unhideWhenUsed/>
    <w:qFormat/>
    <w:uiPriority w:val="39"/>
    <w:pPr>
      <w:ind w:left="1600"/>
    </w:pPr>
    <w:rPr>
      <w:rFonts w:asciiTheme="minorHAnsi" w:hAnsiTheme="minorHAnsi"/>
      <w:sz w:val="18"/>
      <w:szCs w:val="18"/>
    </w:rPr>
  </w:style>
  <w:style w:type="paragraph" w:styleId="29">
    <w:name w:val="Normal (Web)"/>
    <w:basedOn w:val="1"/>
    <w:unhideWhenUsed/>
    <w:qFormat/>
    <w:uiPriority w:val="99"/>
    <w:pPr>
      <w:spacing w:beforeAutospacing="1" w:after="100" w:afterAutospacing="1"/>
    </w:pPr>
    <w:rPr>
      <w:rFonts w:ascii="宋体" w:hAnsi="宋体" w:cs="宋体"/>
      <w:sz w:val="24"/>
      <w:szCs w:val="24"/>
    </w:rPr>
  </w:style>
  <w:style w:type="paragraph" w:styleId="30">
    <w:name w:val="Title"/>
    <w:basedOn w:val="1"/>
    <w:next w:val="1"/>
    <w:link w:val="61"/>
    <w:qFormat/>
    <w:uiPriority w:val="10"/>
    <w:rPr>
      <w:caps/>
      <w:color w:val="0F6FC6"/>
      <w:spacing w:val="10"/>
      <w:sz w:val="52"/>
      <w:szCs w:val="52"/>
      <w:lang w:val="zh-CN"/>
    </w:rPr>
  </w:style>
  <w:style w:type="paragraph" w:styleId="31">
    <w:name w:val="annotation subject"/>
    <w:basedOn w:val="15"/>
    <w:next w:val="15"/>
    <w:link w:val="53"/>
    <w:unhideWhenUsed/>
    <w:qFormat/>
    <w:uiPriority w:val="99"/>
    <w:rPr>
      <w:b/>
      <w:bCs/>
      <w:lang w:val="zh-CN"/>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Theme"/>
    <w:basedOn w:val="32"/>
    <w:qFormat/>
    <w:uiPriority w:val="0"/>
    <w:pPr>
      <w:widowControl w:val="0"/>
      <w:spacing w:before="100" w:beforeAutospacing="1" w:after="100" w:afterAutospacing="1" w:line="360" w:lineRule="auto"/>
      <w:ind w:firstLine="200" w:firstLineChars="200"/>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b/>
      </w:rPr>
      <w:tblPr/>
      <w:trPr>
        <w:tblHeader/>
      </w:trPr>
      <w:tcPr>
        <w:shd w:val="clear" w:color="auto" w:fill="99CCFF"/>
      </w:tcPr>
    </w:tblStylePr>
  </w:style>
  <w:style w:type="table" w:styleId="35">
    <w:name w:val="Light Shading Accent 5"/>
    <w:basedOn w:val="32"/>
    <w:qFormat/>
    <w:uiPriority w:val="6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37">
    <w:name w:val="Strong"/>
    <w:qFormat/>
    <w:uiPriority w:val="22"/>
    <w:rPr>
      <w:b/>
      <w:bCs/>
    </w:rPr>
  </w:style>
  <w:style w:type="character" w:styleId="38">
    <w:name w:val="FollowedHyperlink"/>
    <w:basedOn w:val="36"/>
    <w:unhideWhenUsed/>
    <w:qFormat/>
    <w:uiPriority w:val="99"/>
    <w:rPr>
      <w:color w:val="800080" w:themeColor="followedHyperlink"/>
      <w:u w:val="single"/>
      <w14:textFill>
        <w14:solidFill>
          <w14:schemeClr w14:val="folHlink"/>
        </w14:solidFill>
      </w14:textFill>
    </w:rPr>
  </w:style>
  <w:style w:type="character" w:styleId="39">
    <w:name w:val="Emphasis"/>
    <w:qFormat/>
    <w:uiPriority w:val="20"/>
    <w:rPr>
      <w:caps/>
      <w:color w:val="073662"/>
      <w:spacing w:val="5"/>
    </w:rPr>
  </w:style>
  <w:style w:type="character" w:styleId="40">
    <w:name w:val="Hyperlink"/>
    <w:unhideWhenUsed/>
    <w:qFormat/>
    <w:uiPriority w:val="99"/>
    <w:rPr>
      <w:color w:val="0000FF"/>
      <w:u w:val="single"/>
    </w:rPr>
  </w:style>
  <w:style w:type="character" w:styleId="41">
    <w:name w:val="annotation reference"/>
    <w:unhideWhenUsed/>
    <w:qFormat/>
    <w:uiPriority w:val="99"/>
    <w:rPr>
      <w:sz w:val="21"/>
      <w:szCs w:val="21"/>
    </w:rPr>
  </w:style>
  <w:style w:type="character" w:styleId="42">
    <w:name w:val="footnote reference"/>
    <w:unhideWhenUsed/>
    <w:qFormat/>
    <w:uiPriority w:val="0"/>
    <w:rPr>
      <w:vertAlign w:val="superscript"/>
    </w:rPr>
  </w:style>
  <w:style w:type="character" w:customStyle="1" w:styleId="43">
    <w:name w:val="标题 1 字符"/>
    <w:link w:val="3"/>
    <w:qFormat/>
    <w:uiPriority w:val="9"/>
    <w:rPr>
      <w:caps/>
      <w:color w:val="FFFFFF"/>
      <w:spacing w:val="15"/>
      <w:sz w:val="22"/>
      <w:szCs w:val="22"/>
      <w:shd w:val="clear" w:color="auto" w:fill="0F6FC6"/>
    </w:rPr>
  </w:style>
  <w:style w:type="character" w:customStyle="1" w:styleId="44">
    <w:name w:val="标题 2 字符"/>
    <w:link w:val="4"/>
    <w:qFormat/>
    <w:uiPriority w:val="9"/>
    <w:rPr>
      <w:caps/>
      <w:spacing w:val="15"/>
      <w:shd w:val="clear" w:color="auto" w:fill="C7E2FA"/>
    </w:rPr>
  </w:style>
  <w:style w:type="character" w:customStyle="1" w:styleId="45">
    <w:name w:val="标题 3 字符"/>
    <w:link w:val="5"/>
    <w:qFormat/>
    <w:uiPriority w:val="9"/>
    <w:rPr>
      <w:caps/>
      <w:color w:val="073662"/>
      <w:spacing w:val="15"/>
    </w:rPr>
  </w:style>
  <w:style w:type="character" w:customStyle="1" w:styleId="46">
    <w:name w:val="标题 4 字符"/>
    <w:link w:val="6"/>
    <w:qFormat/>
    <w:uiPriority w:val="9"/>
    <w:rPr>
      <w:caps/>
      <w:color w:val="0B5294"/>
      <w:spacing w:val="10"/>
    </w:rPr>
  </w:style>
  <w:style w:type="character" w:customStyle="1" w:styleId="47">
    <w:name w:val="标题 5 字符"/>
    <w:link w:val="7"/>
    <w:qFormat/>
    <w:uiPriority w:val="9"/>
    <w:rPr>
      <w:caps/>
      <w:color w:val="0B5294"/>
      <w:spacing w:val="10"/>
    </w:rPr>
  </w:style>
  <w:style w:type="character" w:customStyle="1" w:styleId="48">
    <w:name w:val="标题 6 字符"/>
    <w:link w:val="8"/>
    <w:semiHidden/>
    <w:qFormat/>
    <w:uiPriority w:val="9"/>
    <w:rPr>
      <w:caps/>
      <w:color w:val="0B5294"/>
      <w:spacing w:val="10"/>
    </w:rPr>
  </w:style>
  <w:style w:type="character" w:customStyle="1" w:styleId="49">
    <w:name w:val="标题 7 字符"/>
    <w:link w:val="9"/>
    <w:semiHidden/>
    <w:qFormat/>
    <w:uiPriority w:val="9"/>
    <w:rPr>
      <w:caps/>
      <w:color w:val="0B5294"/>
      <w:spacing w:val="10"/>
    </w:rPr>
  </w:style>
  <w:style w:type="character" w:customStyle="1" w:styleId="50">
    <w:name w:val="标题 8 字符"/>
    <w:link w:val="10"/>
    <w:semiHidden/>
    <w:qFormat/>
    <w:uiPriority w:val="9"/>
    <w:rPr>
      <w:caps/>
      <w:spacing w:val="10"/>
      <w:sz w:val="18"/>
      <w:szCs w:val="18"/>
    </w:rPr>
  </w:style>
  <w:style w:type="character" w:customStyle="1" w:styleId="51">
    <w:name w:val="标题 9 字符"/>
    <w:link w:val="11"/>
    <w:semiHidden/>
    <w:qFormat/>
    <w:uiPriority w:val="9"/>
    <w:rPr>
      <w:i/>
      <w:iCs/>
      <w:caps/>
      <w:spacing w:val="10"/>
      <w:sz w:val="18"/>
      <w:szCs w:val="18"/>
    </w:rPr>
  </w:style>
  <w:style w:type="character" w:customStyle="1" w:styleId="52">
    <w:name w:val="批注文字 字符"/>
    <w:basedOn w:val="36"/>
    <w:link w:val="15"/>
    <w:qFormat/>
    <w:uiPriority w:val="99"/>
  </w:style>
  <w:style w:type="character" w:customStyle="1" w:styleId="53">
    <w:name w:val="批注主题 字符"/>
    <w:link w:val="31"/>
    <w:semiHidden/>
    <w:qFormat/>
    <w:uiPriority w:val="99"/>
    <w:rPr>
      <w:b/>
      <w:bCs/>
    </w:rPr>
  </w:style>
  <w:style w:type="character" w:customStyle="1" w:styleId="54">
    <w:name w:val="题注 字符"/>
    <w:basedOn w:val="36"/>
    <w:link w:val="13"/>
    <w:qFormat/>
    <w:uiPriority w:val="0"/>
    <w:rPr>
      <w:rFonts w:ascii="Times New Roman" w:hAnsi="Times New Roman" w:eastAsia="黑体"/>
      <w:b/>
      <w:bCs/>
      <w:sz w:val="21"/>
      <w:szCs w:val="16"/>
    </w:rPr>
  </w:style>
  <w:style w:type="character" w:customStyle="1" w:styleId="55">
    <w:name w:val="文档结构图 字符"/>
    <w:link w:val="14"/>
    <w:semiHidden/>
    <w:qFormat/>
    <w:uiPriority w:val="99"/>
    <w:rPr>
      <w:rFonts w:ascii="宋体" w:eastAsia="宋体"/>
      <w:sz w:val="18"/>
      <w:szCs w:val="18"/>
    </w:rPr>
  </w:style>
  <w:style w:type="character" w:customStyle="1" w:styleId="56">
    <w:name w:val="批注框文本 字符"/>
    <w:link w:val="19"/>
    <w:semiHidden/>
    <w:qFormat/>
    <w:uiPriority w:val="99"/>
    <w:rPr>
      <w:sz w:val="18"/>
      <w:szCs w:val="18"/>
    </w:rPr>
  </w:style>
  <w:style w:type="character" w:customStyle="1" w:styleId="57">
    <w:name w:val="页脚 字符"/>
    <w:link w:val="20"/>
    <w:qFormat/>
    <w:uiPriority w:val="99"/>
    <w:rPr>
      <w:sz w:val="18"/>
      <w:szCs w:val="18"/>
    </w:rPr>
  </w:style>
  <w:style w:type="character" w:customStyle="1" w:styleId="58">
    <w:name w:val="页眉 字符"/>
    <w:link w:val="21"/>
    <w:qFormat/>
    <w:uiPriority w:val="99"/>
    <w:rPr>
      <w:sz w:val="18"/>
      <w:szCs w:val="18"/>
    </w:rPr>
  </w:style>
  <w:style w:type="character" w:customStyle="1" w:styleId="59">
    <w:name w:val="副标题 字符"/>
    <w:link w:val="24"/>
    <w:qFormat/>
    <w:uiPriority w:val="11"/>
    <w:rPr>
      <w:caps/>
      <w:color w:val="595959"/>
      <w:spacing w:val="10"/>
      <w:sz w:val="21"/>
      <w:szCs w:val="21"/>
    </w:rPr>
  </w:style>
  <w:style w:type="character" w:customStyle="1" w:styleId="60">
    <w:name w:val="脚注文本 字符"/>
    <w:link w:val="2"/>
    <w:qFormat/>
    <w:uiPriority w:val="0"/>
    <w:rPr>
      <w:sz w:val="18"/>
      <w:szCs w:val="18"/>
    </w:rPr>
  </w:style>
  <w:style w:type="character" w:customStyle="1" w:styleId="61">
    <w:name w:val="标题 字符"/>
    <w:link w:val="30"/>
    <w:qFormat/>
    <w:uiPriority w:val="10"/>
    <w:rPr>
      <w:rFonts w:ascii="Calibri Light" w:hAnsi="Calibri Light" w:eastAsia="宋体" w:cs="Times New Roman"/>
      <w:caps/>
      <w:color w:val="0F6FC6"/>
      <w:spacing w:val="10"/>
      <w:sz w:val="52"/>
      <w:szCs w:val="52"/>
    </w:rPr>
  </w:style>
  <w:style w:type="character" w:customStyle="1" w:styleId="62">
    <w:name w:val="明显强调1"/>
    <w:qFormat/>
    <w:uiPriority w:val="21"/>
    <w:rPr>
      <w:b/>
      <w:bCs/>
      <w:caps/>
      <w:color w:val="073662"/>
      <w:spacing w:val="10"/>
    </w:rPr>
  </w:style>
  <w:style w:type="character" w:customStyle="1" w:styleId="63">
    <w:name w:val="报告正文样式 Char"/>
    <w:link w:val="64"/>
    <w:qFormat/>
    <w:uiPriority w:val="0"/>
    <w:rPr>
      <w:rFonts w:ascii="宋体" w:hAnsi="宋体" w:cs="宋体"/>
      <w:color w:val="000000"/>
      <w:kern w:val="0"/>
      <w:sz w:val="24"/>
      <w:szCs w:val="21"/>
    </w:rPr>
  </w:style>
  <w:style w:type="paragraph" w:customStyle="1" w:styleId="64">
    <w:name w:val="报告正文样式"/>
    <w:basedOn w:val="1"/>
    <w:link w:val="63"/>
    <w:qFormat/>
    <w:uiPriority w:val="0"/>
    <w:pPr>
      <w:spacing w:beforeLines="50" w:afterLines="50" w:line="360" w:lineRule="auto"/>
      <w:ind w:firstLine="480" w:firstLineChars="200"/>
    </w:pPr>
    <w:rPr>
      <w:rFonts w:ascii="宋体" w:hAnsi="宋体"/>
      <w:color w:val="000000"/>
      <w:sz w:val="24"/>
      <w:szCs w:val="21"/>
      <w:lang w:val="zh-CN"/>
    </w:rPr>
  </w:style>
  <w:style w:type="character" w:customStyle="1" w:styleId="65">
    <w:name w:val="明显参考1"/>
    <w:qFormat/>
    <w:uiPriority w:val="32"/>
    <w:rPr>
      <w:b/>
      <w:bCs/>
      <w:i/>
      <w:iCs/>
      <w:caps/>
      <w:color w:val="0F6FC6"/>
    </w:rPr>
  </w:style>
  <w:style w:type="character" w:customStyle="1" w:styleId="66">
    <w:name w:val="中图标 Char"/>
    <w:link w:val="67"/>
    <w:qFormat/>
    <w:uiPriority w:val="0"/>
    <w:rPr>
      <w:rFonts w:ascii="Times New Roman" w:hAnsi="Times New Roman" w:eastAsia="黑体" w:cs="Times New Roman"/>
      <w:szCs w:val="21"/>
    </w:rPr>
  </w:style>
  <w:style w:type="paragraph" w:customStyle="1" w:styleId="67">
    <w:name w:val="中图标"/>
    <w:basedOn w:val="68"/>
    <w:link w:val="66"/>
    <w:qFormat/>
    <w:uiPriority w:val="0"/>
  </w:style>
  <w:style w:type="paragraph" w:customStyle="1" w:styleId="68">
    <w:name w:val="图标题"/>
    <w:basedOn w:val="1"/>
    <w:link w:val="69"/>
    <w:qFormat/>
    <w:uiPriority w:val="0"/>
    <w:pPr>
      <w:spacing w:afterLines="50"/>
      <w:ind w:firstLine="422" w:firstLineChars="200"/>
      <w:jc w:val="center"/>
    </w:pPr>
    <w:rPr>
      <w:rFonts w:ascii="Times New Roman" w:hAnsi="Times New Roman" w:eastAsia="黑体"/>
      <w:szCs w:val="21"/>
      <w:lang w:val="zh-CN"/>
    </w:rPr>
  </w:style>
  <w:style w:type="character" w:customStyle="1" w:styleId="69">
    <w:name w:val="图标题 Char"/>
    <w:link w:val="68"/>
    <w:qFormat/>
    <w:uiPriority w:val="0"/>
    <w:rPr>
      <w:rFonts w:ascii="Times New Roman" w:hAnsi="Times New Roman" w:eastAsia="黑体" w:cs="Times New Roman"/>
      <w:szCs w:val="21"/>
    </w:rPr>
  </w:style>
  <w:style w:type="character" w:customStyle="1" w:styleId="70">
    <w:name w:val="不明显强调1"/>
    <w:qFormat/>
    <w:uiPriority w:val="19"/>
    <w:rPr>
      <w:i/>
      <w:iCs/>
      <w:color w:val="073662"/>
    </w:rPr>
  </w:style>
  <w:style w:type="character" w:customStyle="1" w:styleId="71">
    <w:name w:val="西华二级标题 Char"/>
    <w:link w:val="72"/>
    <w:qFormat/>
    <w:uiPriority w:val="0"/>
    <w:rPr>
      <w:rFonts w:ascii="Times New Roman" w:hAnsi="Times New Roman" w:eastAsia="黑体" w:cs="Times New Roman"/>
      <w:b/>
      <w:bCs/>
      <w:color w:val="000000"/>
      <w:sz w:val="30"/>
      <w:szCs w:val="30"/>
    </w:rPr>
  </w:style>
  <w:style w:type="paragraph" w:customStyle="1" w:styleId="72">
    <w:name w:val="西华二级标题"/>
    <w:basedOn w:val="73"/>
    <w:link w:val="71"/>
    <w:qFormat/>
    <w:uiPriority w:val="0"/>
    <w:pPr>
      <w:tabs>
        <w:tab w:val="left" w:pos="4770"/>
      </w:tabs>
      <w:spacing w:before="312" w:beforeLines="100" w:after="312" w:afterLines="100" w:line="240" w:lineRule="auto"/>
    </w:pPr>
    <w:rPr>
      <w:rFonts w:ascii="Times New Roman" w:hAnsi="Times New Roman"/>
    </w:rPr>
  </w:style>
  <w:style w:type="paragraph" w:customStyle="1" w:styleId="73">
    <w:name w:val="新报告二级"/>
    <w:basedOn w:val="1"/>
    <w:link w:val="74"/>
    <w:qFormat/>
    <w:uiPriority w:val="0"/>
    <w:pPr>
      <w:spacing w:beforeLines="50" w:afterLines="50" w:line="360" w:lineRule="auto"/>
      <w:outlineLvl w:val="1"/>
    </w:pPr>
    <w:rPr>
      <w:rFonts w:ascii="黑体" w:hAnsi="黑体" w:eastAsia="黑体"/>
      <w:b/>
      <w:bCs/>
      <w:color w:val="000000"/>
      <w:sz w:val="30"/>
      <w:szCs w:val="30"/>
      <w:lang w:val="zh-CN"/>
    </w:rPr>
  </w:style>
  <w:style w:type="character" w:customStyle="1" w:styleId="74">
    <w:name w:val="新报告二级 Char"/>
    <w:link w:val="73"/>
    <w:qFormat/>
    <w:uiPriority w:val="0"/>
    <w:rPr>
      <w:rFonts w:ascii="黑体" w:hAnsi="黑体" w:eastAsia="黑体" w:cs="Times New Roman"/>
      <w:b/>
      <w:bCs/>
      <w:color w:val="000000"/>
      <w:sz w:val="30"/>
      <w:szCs w:val="30"/>
    </w:rPr>
  </w:style>
  <w:style w:type="character" w:customStyle="1" w:styleId="75">
    <w:name w:val="明显引用 Char"/>
    <w:link w:val="76"/>
    <w:qFormat/>
    <w:uiPriority w:val="30"/>
    <w:rPr>
      <w:color w:val="0F6FC6"/>
      <w:sz w:val="24"/>
      <w:szCs w:val="24"/>
    </w:rPr>
  </w:style>
  <w:style w:type="paragraph" w:customStyle="1" w:styleId="76">
    <w:name w:val="明显引用1"/>
    <w:basedOn w:val="1"/>
    <w:next w:val="1"/>
    <w:link w:val="75"/>
    <w:qFormat/>
    <w:uiPriority w:val="30"/>
    <w:pPr>
      <w:spacing w:before="240" w:after="240"/>
      <w:ind w:left="1080" w:right="1080"/>
      <w:jc w:val="center"/>
    </w:pPr>
    <w:rPr>
      <w:color w:val="0F6FC6"/>
      <w:sz w:val="24"/>
      <w:szCs w:val="24"/>
      <w:lang w:val="zh-CN"/>
    </w:rPr>
  </w:style>
  <w:style w:type="character" w:customStyle="1" w:styleId="77">
    <w:name w:val="报告四级样式 Char"/>
    <w:link w:val="78"/>
    <w:qFormat/>
    <w:uiPriority w:val="0"/>
    <w:rPr>
      <w:rFonts w:ascii="黑体" w:hAnsi="黑体" w:eastAsia="黑体" w:cs="Times New Roman"/>
      <w:b/>
      <w:bCs/>
      <w:sz w:val="26"/>
      <w:szCs w:val="26"/>
    </w:rPr>
  </w:style>
  <w:style w:type="paragraph" w:customStyle="1" w:styleId="78">
    <w:name w:val="报告四级样式"/>
    <w:basedOn w:val="1"/>
    <w:link w:val="77"/>
    <w:qFormat/>
    <w:uiPriority w:val="0"/>
    <w:pPr>
      <w:spacing w:before="260" w:afterLines="50" w:line="415" w:lineRule="auto"/>
      <w:ind w:firstLine="512" w:firstLineChars="196"/>
      <w:outlineLvl w:val="1"/>
    </w:pPr>
    <w:rPr>
      <w:rFonts w:ascii="黑体" w:hAnsi="黑体" w:eastAsia="黑体"/>
      <w:b/>
      <w:bCs/>
      <w:sz w:val="26"/>
      <w:szCs w:val="26"/>
      <w:lang w:val="zh-CN"/>
    </w:rPr>
  </w:style>
  <w:style w:type="character" w:customStyle="1" w:styleId="79">
    <w:name w:val="南开大学正文 Char"/>
    <w:link w:val="80"/>
    <w:qFormat/>
    <w:uiPriority w:val="0"/>
    <w:rPr>
      <w:rFonts w:ascii="宋体" w:hAnsi="宋体" w:eastAsia="宋体" w:cs="Times New Roman"/>
      <w:sz w:val="24"/>
      <w:szCs w:val="24"/>
    </w:rPr>
  </w:style>
  <w:style w:type="paragraph" w:customStyle="1" w:styleId="80">
    <w:name w:val="南开大学正文"/>
    <w:basedOn w:val="1"/>
    <w:link w:val="79"/>
    <w:qFormat/>
    <w:uiPriority w:val="0"/>
    <w:pPr>
      <w:adjustRightInd w:val="0"/>
      <w:snapToGrid w:val="0"/>
      <w:spacing w:beforeLines="50" w:afterLines="50" w:line="360" w:lineRule="auto"/>
      <w:ind w:firstLine="480" w:firstLineChars="200"/>
      <w:jc w:val="both"/>
    </w:pPr>
    <w:rPr>
      <w:rFonts w:ascii="宋体" w:hAnsi="宋体"/>
      <w:sz w:val="24"/>
      <w:szCs w:val="24"/>
      <w:lang w:val="zh-CN"/>
    </w:rPr>
  </w:style>
  <w:style w:type="character" w:customStyle="1" w:styleId="81">
    <w:name w:val="报告三级标题 Char"/>
    <w:link w:val="82"/>
    <w:qFormat/>
    <w:uiPriority w:val="0"/>
    <w:rPr>
      <w:rFonts w:ascii="黑体" w:hAnsi="黑体" w:eastAsia="黑体" w:cs="Times New Roman"/>
      <w:b/>
      <w:bCs/>
      <w:kern w:val="2"/>
      <w:sz w:val="24"/>
      <w:szCs w:val="24"/>
    </w:rPr>
  </w:style>
  <w:style w:type="paragraph" w:customStyle="1" w:styleId="82">
    <w:name w:val="报告三级标题"/>
    <w:basedOn w:val="1"/>
    <w:link w:val="81"/>
    <w:qFormat/>
    <w:uiPriority w:val="0"/>
    <w:pPr>
      <w:widowControl w:val="0"/>
      <w:spacing w:before="260" w:after="163" w:afterLines="50" w:line="415" w:lineRule="auto"/>
      <w:jc w:val="both"/>
      <w:outlineLvl w:val="1"/>
    </w:pPr>
    <w:rPr>
      <w:rFonts w:ascii="黑体" w:hAnsi="黑体" w:eastAsia="黑体"/>
      <w:b/>
      <w:bCs/>
      <w:kern w:val="2"/>
      <w:sz w:val="24"/>
      <w:szCs w:val="24"/>
      <w:lang w:val="zh-CN"/>
    </w:rPr>
  </w:style>
  <w:style w:type="character" w:customStyle="1" w:styleId="83">
    <w:name w:val="不明显参考1"/>
    <w:qFormat/>
    <w:uiPriority w:val="31"/>
    <w:rPr>
      <w:b/>
      <w:bCs/>
      <w:color w:val="0F6FC6"/>
    </w:rPr>
  </w:style>
  <w:style w:type="character" w:customStyle="1" w:styleId="84">
    <w:name w:val="zisiblack21"/>
    <w:qFormat/>
    <w:uiPriority w:val="0"/>
    <w:rPr>
      <w:rFonts w:hint="default" w:ascii="ˎ̥" w:hAnsi="ˎ̥"/>
      <w:color w:val="000000"/>
      <w:sz w:val="21"/>
      <w:szCs w:val="21"/>
    </w:rPr>
  </w:style>
  <w:style w:type="character" w:customStyle="1" w:styleId="85">
    <w:name w:val="图表标题 Char"/>
    <w:link w:val="86"/>
    <w:qFormat/>
    <w:locked/>
    <w:uiPriority w:val="0"/>
    <w:rPr>
      <w:rFonts w:ascii="Times New Roman" w:hAnsi="Times New Roman" w:eastAsia="宋体" w:cs="Times New Roman"/>
      <w:kern w:val="2"/>
      <w:sz w:val="21"/>
      <w:szCs w:val="21"/>
    </w:rPr>
  </w:style>
  <w:style w:type="paragraph" w:customStyle="1" w:styleId="86">
    <w:name w:val="图表标题"/>
    <w:basedOn w:val="1"/>
    <w:link w:val="85"/>
    <w:qFormat/>
    <w:uiPriority w:val="0"/>
    <w:pPr>
      <w:widowControl w:val="0"/>
      <w:spacing w:afterLines="50" w:line="360" w:lineRule="auto"/>
      <w:ind w:firstLine="422" w:firstLineChars="200"/>
      <w:jc w:val="center"/>
    </w:pPr>
    <w:rPr>
      <w:rFonts w:ascii="Times New Roman" w:hAnsi="Times New Roman"/>
      <w:kern w:val="2"/>
      <w:sz w:val="21"/>
      <w:szCs w:val="21"/>
      <w:lang w:val="zh-CN"/>
    </w:rPr>
  </w:style>
  <w:style w:type="character" w:customStyle="1" w:styleId="87">
    <w:name w:val="报告一级标题样式 Char"/>
    <w:link w:val="88"/>
    <w:qFormat/>
    <w:uiPriority w:val="0"/>
    <w:rPr>
      <w:rFonts w:ascii="黑体" w:hAnsi="黑体" w:eastAsia="黑体" w:cs="Times New Roman"/>
      <w:b/>
      <w:caps/>
      <w:color w:val="4F81BD" w:themeColor="accent1"/>
      <w:spacing w:val="15"/>
      <w:kern w:val="44"/>
      <w:sz w:val="32"/>
      <w:szCs w:val="32"/>
      <w:shd w:val="clear" w:color="auto" w:fill="0F6FC6"/>
      <w14:textFill>
        <w14:solidFill>
          <w14:schemeClr w14:val="accent1"/>
        </w14:solidFill>
      </w14:textFill>
    </w:rPr>
  </w:style>
  <w:style w:type="paragraph" w:customStyle="1" w:styleId="88">
    <w:name w:val="报告一级标题样式"/>
    <w:basedOn w:val="3"/>
    <w:link w:val="87"/>
    <w:qFormat/>
    <w:uiPriority w:val="0"/>
    <w:pPr>
      <w:pBdr>
        <w:top w:val="none" w:color="0F6FC6" w:sz="0" w:space="0"/>
        <w:left w:val="none" w:color="0F6FC6" w:sz="0" w:space="0"/>
        <w:bottom w:val="none" w:color="0F6FC6" w:sz="0" w:space="0"/>
        <w:right w:val="none" w:color="0F6FC6" w:sz="0" w:space="0"/>
      </w:pBdr>
      <w:shd w:val="clear" w:fill="CCE8CF" w:themeFill="background1"/>
      <w:spacing w:after="50" w:line="360" w:lineRule="auto"/>
      <w:jc w:val="center"/>
    </w:pPr>
    <w:rPr>
      <w:rFonts w:ascii="黑体" w:hAnsi="黑体" w:eastAsia="黑体"/>
      <w:b/>
      <w:color w:val="4F81BD" w:themeColor="accent1"/>
      <w:kern w:val="44"/>
      <w:sz w:val="32"/>
      <w:szCs w:val="32"/>
      <w14:textFill>
        <w14:solidFill>
          <w14:schemeClr w14:val="accent1"/>
        </w14:solidFill>
      </w14:textFill>
    </w:rPr>
  </w:style>
  <w:style w:type="character" w:customStyle="1" w:styleId="89">
    <w:name w:val="新报告三级 Char"/>
    <w:link w:val="90"/>
    <w:qFormat/>
    <w:uiPriority w:val="0"/>
    <w:rPr>
      <w:rFonts w:ascii="黑体" w:hAnsi="黑体" w:eastAsia="黑体" w:cs="Times New Roman"/>
      <w:b/>
      <w:bCs/>
      <w:kern w:val="2"/>
      <w:sz w:val="28"/>
      <w:szCs w:val="28"/>
    </w:rPr>
  </w:style>
  <w:style w:type="paragraph" w:customStyle="1" w:styleId="90">
    <w:name w:val="新报告三级"/>
    <w:basedOn w:val="1"/>
    <w:link w:val="89"/>
    <w:qFormat/>
    <w:uiPriority w:val="0"/>
    <w:pPr>
      <w:widowControl w:val="0"/>
      <w:spacing w:before="260" w:afterLines="50" w:line="415" w:lineRule="auto"/>
      <w:jc w:val="both"/>
      <w:outlineLvl w:val="1"/>
    </w:pPr>
    <w:rPr>
      <w:rFonts w:ascii="黑体" w:hAnsi="黑体" w:eastAsia="黑体"/>
      <w:b/>
      <w:bCs/>
      <w:kern w:val="2"/>
      <w:sz w:val="28"/>
      <w:szCs w:val="28"/>
      <w:lang w:val="zh-CN"/>
    </w:rPr>
  </w:style>
  <w:style w:type="character" w:customStyle="1" w:styleId="91">
    <w:name w:val="南开三级 Char"/>
    <w:link w:val="92"/>
    <w:qFormat/>
    <w:locked/>
    <w:uiPriority w:val="0"/>
    <w:rPr>
      <w:rFonts w:ascii="黑体" w:hAnsi="黑体" w:eastAsia="黑体" w:cs="Times New Roman"/>
      <w:b/>
      <w:bCs/>
      <w:kern w:val="0"/>
      <w:sz w:val="28"/>
      <w:szCs w:val="28"/>
    </w:rPr>
  </w:style>
  <w:style w:type="paragraph" w:customStyle="1" w:styleId="92">
    <w:name w:val="南开三级"/>
    <w:basedOn w:val="5"/>
    <w:link w:val="91"/>
    <w:qFormat/>
    <w:uiPriority w:val="0"/>
    <w:pPr>
      <w:spacing w:before="240" w:afterLines="50" w:line="412" w:lineRule="auto"/>
    </w:pPr>
    <w:rPr>
      <w:rFonts w:ascii="黑体" w:hAnsi="黑体" w:eastAsia="黑体"/>
      <w:b/>
      <w:bCs/>
      <w:caps w:val="0"/>
      <w:color w:val="auto"/>
      <w:spacing w:val="0"/>
      <w:sz w:val="28"/>
      <w:szCs w:val="28"/>
    </w:rPr>
  </w:style>
  <w:style w:type="character" w:customStyle="1" w:styleId="93">
    <w:name w:val="无间隔 Char"/>
    <w:link w:val="94"/>
    <w:qFormat/>
    <w:uiPriority w:val="1"/>
    <w:rPr>
      <w:lang w:val="en-US" w:eastAsia="zh-CN" w:bidi="ar-SA"/>
    </w:rPr>
  </w:style>
  <w:style w:type="paragraph" w:customStyle="1" w:styleId="94">
    <w:name w:val="无间隔1"/>
    <w:link w:val="93"/>
    <w:qFormat/>
    <w:uiPriority w:val="1"/>
    <w:pPr>
      <w:spacing w:before="100"/>
    </w:pPr>
    <w:rPr>
      <w:rFonts w:ascii="Calibri Light" w:hAnsi="Calibri Light" w:eastAsia="宋体" w:cs="Times New Roman"/>
      <w:lang w:val="en-US" w:eastAsia="zh-CN" w:bidi="ar-SA"/>
    </w:rPr>
  </w:style>
  <w:style w:type="character" w:customStyle="1" w:styleId="95">
    <w:name w:val="引用 Char"/>
    <w:link w:val="96"/>
    <w:qFormat/>
    <w:uiPriority w:val="29"/>
    <w:rPr>
      <w:i/>
      <w:iCs/>
      <w:sz w:val="24"/>
      <w:szCs w:val="24"/>
    </w:rPr>
  </w:style>
  <w:style w:type="paragraph" w:customStyle="1" w:styleId="96">
    <w:name w:val="引用1"/>
    <w:basedOn w:val="1"/>
    <w:next w:val="1"/>
    <w:link w:val="95"/>
    <w:qFormat/>
    <w:uiPriority w:val="29"/>
    <w:rPr>
      <w:i/>
      <w:iCs/>
      <w:sz w:val="24"/>
      <w:szCs w:val="24"/>
      <w:lang w:val="zh-CN"/>
    </w:rPr>
  </w:style>
  <w:style w:type="character" w:customStyle="1" w:styleId="97">
    <w:name w:val="书籍标题1"/>
    <w:qFormat/>
    <w:uiPriority w:val="33"/>
    <w:rPr>
      <w:b/>
      <w:bCs/>
      <w:i/>
      <w:iCs/>
      <w:spacing w:val="0"/>
    </w:rPr>
  </w:style>
  <w:style w:type="character" w:customStyle="1" w:styleId="98">
    <w:name w:val="样式1 Char"/>
    <w:link w:val="99"/>
    <w:qFormat/>
    <w:uiPriority w:val="0"/>
    <w:rPr>
      <w:caps/>
      <w:color w:val="FFFFFF"/>
      <w:spacing w:val="15"/>
      <w:sz w:val="40"/>
      <w:szCs w:val="22"/>
      <w:shd w:val="clear" w:color="auto" w:fill="0F6FC6"/>
    </w:rPr>
  </w:style>
  <w:style w:type="paragraph" w:customStyle="1" w:styleId="99">
    <w:name w:val="样式1"/>
    <w:basedOn w:val="3"/>
    <w:link w:val="98"/>
    <w:qFormat/>
    <w:uiPriority w:val="0"/>
    <w:pPr>
      <w:jc w:val="center"/>
    </w:pPr>
    <w:rPr>
      <w:sz w:val="40"/>
    </w:rPr>
  </w:style>
  <w:style w:type="character" w:customStyle="1" w:styleId="100">
    <w:name w:val="南开图标 Char"/>
    <w:link w:val="101"/>
    <w:qFormat/>
    <w:uiPriority w:val="0"/>
    <w:rPr>
      <w:rFonts w:ascii="黑体" w:hAnsi="黑体" w:eastAsia="黑体" w:cs="Times New Roman"/>
      <w:sz w:val="21"/>
      <w:szCs w:val="21"/>
    </w:rPr>
  </w:style>
  <w:style w:type="paragraph" w:customStyle="1" w:styleId="101">
    <w:name w:val="南开图标"/>
    <w:basedOn w:val="1"/>
    <w:link w:val="100"/>
    <w:qFormat/>
    <w:uiPriority w:val="0"/>
    <w:pPr>
      <w:adjustRightInd w:val="0"/>
      <w:snapToGrid w:val="0"/>
      <w:spacing w:afterLines="50"/>
      <w:ind w:firstLine="422" w:firstLineChars="200"/>
      <w:jc w:val="center"/>
    </w:pPr>
    <w:rPr>
      <w:rFonts w:ascii="黑体" w:hAnsi="黑体" w:eastAsia="黑体"/>
      <w:sz w:val="21"/>
      <w:szCs w:val="21"/>
      <w:lang w:val="zh-CN"/>
    </w:rPr>
  </w:style>
  <w:style w:type="character" w:customStyle="1" w:styleId="102">
    <w:name w:val="南开二级标题 Char"/>
    <w:link w:val="103"/>
    <w:qFormat/>
    <w:uiPriority w:val="0"/>
    <w:rPr>
      <w:rFonts w:ascii="黑体" w:hAnsi="黑体" w:eastAsia="黑体" w:cs="Times New Roman"/>
      <w:b/>
      <w:bCs/>
      <w:sz w:val="30"/>
      <w:szCs w:val="30"/>
    </w:rPr>
  </w:style>
  <w:style w:type="paragraph" w:customStyle="1" w:styleId="103">
    <w:name w:val="南开二级标题"/>
    <w:basedOn w:val="4"/>
    <w:link w:val="102"/>
    <w:qFormat/>
    <w:uiPriority w:val="0"/>
    <w:pPr>
      <w:widowControl w:val="0"/>
      <w:pBdr>
        <w:top w:val="none" w:color="auto" w:sz="0" w:space="0"/>
        <w:left w:val="none" w:color="auto" w:sz="0" w:space="0"/>
        <w:bottom w:val="none" w:color="auto" w:sz="0" w:space="0"/>
        <w:right w:val="none" w:color="auto" w:sz="0" w:space="0"/>
      </w:pBdr>
      <w:shd w:val="clear" w:color="auto" w:fill="auto"/>
      <w:spacing w:beforeLines="50" w:afterLines="50" w:line="360" w:lineRule="auto"/>
      <w:jc w:val="both"/>
    </w:pPr>
    <w:rPr>
      <w:rFonts w:ascii="黑体" w:hAnsi="黑体" w:eastAsia="黑体"/>
      <w:b/>
      <w:bCs/>
      <w:caps w:val="0"/>
      <w:spacing w:val="0"/>
      <w:sz w:val="30"/>
      <w:szCs w:val="30"/>
    </w:rPr>
  </w:style>
  <w:style w:type="character" w:customStyle="1" w:styleId="104">
    <w:name w:val="图表标注 Char"/>
    <w:link w:val="105"/>
    <w:qFormat/>
    <w:uiPriority w:val="0"/>
    <w:rPr>
      <w:rFonts w:ascii="黑体" w:hAnsi="黑体" w:eastAsia="黑体" w:cs="Times New Roman"/>
      <w:kern w:val="2"/>
      <w:sz w:val="21"/>
      <w:szCs w:val="21"/>
    </w:rPr>
  </w:style>
  <w:style w:type="paragraph" w:customStyle="1" w:styleId="105">
    <w:name w:val="图表标注"/>
    <w:basedOn w:val="1"/>
    <w:link w:val="104"/>
    <w:qFormat/>
    <w:uiPriority w:val="0"/>
    <w:pPr>
      <w:widowControl w:val="0"/>
      <w:spacing w:before="200"/>
      <w:ind w:firstLine="420"/>
      <w:jc w:val="center"/>
    </w:pPr>
    <w:rPr>
      <w:rFonts w:ascii="黑体" w:hAnsi="黑体" w:eastAsia="黑体"/>
      <w:kern w:val="2"/>
      <w:sz w:val="21"/>
      <w:szCs w:val="21"/>
      <w:lang w:val="zh-CN"/>
    </w:rPr>
  </w:style>
  <w:style w:type="character" w:customStyle="1" w:styleId="106">
    <w:name w:val="西华三级标题 Char"/>
    <w:link w:val="107"/>
    <w:qFormat/>
    <w:uiPriority w:val="0"/>
    <w:rPr>
      <w:rFonts w:ascii="Times New Roman" w:hAnsi="Times New Roman" w:eastAsia="黑体" w:cs="Times New Roman"/>
      <w:b/>
      <w:bCs/>
      <w:color w:val="000000"/>
      <w:sz w:val="28"/>
      <w:szCs w:val="30"/>
    </w:rPr>
  </w:style>
  <w:style w:type="paragraph" w:customStyle="1" w:styleId="107">
    <w:name w:val="西华三级标题"/>
    <w:basedOn w:val="73"/>
    <w:link w:val="106"/>
    <w:qFormat/>
    <w:uiPriority w:val="0"/>
    <w:pPr>
      <w:spacing w:before="156" w:after="156" w:line="240" w:lineRule="auto"/>
      <w:outlineLvl w:val="2"/>
    </w:pPr>
    <w:rPr>
      <w:rFonts w:ascii="Times New Roman" w:hAnsi="Times New Roman"/>
      <w:sz w:val="28"/>
    </w:rPr>
  </w:style>
  <w:style w:type="paragraph" w:customStyle="1" w:styleId="108">
    <w:name w:val="我的报告3级"/>
    <w:basedOn w:val="1"/>
    <w:qFormat/>
    <w:uiPriority w:val="0"/>
    <w:pPr>
      <w:keepNext/>
      <w:widowControl w:val="0"/>
      <w:spacing w:beforeLines="100" w:afterLines="100" w:line="400" w:lineRule="exact"/>
      <w:outlineLvl w:val="2"/>
    </w:pPr>
    <w:rPr>
      <w:rFonts w:ascii="Time New Roman" w:hAnsi="Time New Roman" w:eastAsia="黑体" w:cs="宋体"/>
      <w:b/>
      <w:bCs/>
      <w:color w:val="000000"/>
      <w:sz w:val="28"/>
      <w:szCs w:val="28"/>
    </w:rPr>
  </w:style>
  <w:style w:type="paragraph" w:customStyle="1" w:styleId="109">
    <w:name w:val="列出段落1"/>
    <w:basedOn w:val="1"/>
    <w:qFormat/>
    <w:uiPriority w:val="34"/>
    <w:pPr>
      <w:ind w:firstLine="420" w:firstLineChars="200"/>
    </w:pPr>
  </w:style>
  <w:style w:type="paragraph" w:customStyle="1" w:styleId="110">
    <w:name w:val="我的正文"/>
    <w:basedOn w:val="64"/>
    <w:qFormat/>
    <w:uiPriority w:val="0"/>
    <w:pPr>
      <w:spacing w:beforeLines="0" w:afterLines="0"/>
      <w:ind w:firstLine="200"/>
      <w:jc w:val="both"/>
    </w:pPr>
    <w:rPr>
      <w:rFonts w:ascii="Times New Roman" w:hAnsi="Times New Roman"/>
    </w:rPr>
  </w:style>
  <w:style w:type="paragraph" w:customStyle="1" w:styleId="111">
    <w:name w:val="TOC 标题1"/>
    <w:basedOn w:val="3"/>
    <w:next w:val="1"/>
    <w:qFormat/>
    <w:uiPriority w:val="39"/>
    <w:pPr>
      <w:outlineLvl w:val="9"/>
    </w:pPr>
  </w:style>
  <w:style w:type="table" w:customStyle="1" w:styleId="112">
    <w:name w:val="网格表 4 - 着色 21"/>
    <w:basedOn w:val="32"/>
    <w:qFormat/>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CCE8C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paragraph" w:customStyle="1" w:styleId="113">
    <w:name w:val="L正文"/>
    <w:basedOn w:val="64"/>
    <w:link w:val="114"/>
    <w:qFormat/>
    <w:uiPriority w:val="0"/>
    <w:pPr>
      <w:spacing w:before="156" w:after="156"/>
      <w:jc w:val="both"/>
    </w:pPr>
    <w:rPr>
      <w:rFonts w:ascii="Times New Roman" w:hAnsi="Times New Roman"/>
      <w:szCs w:val="24"/>
    </w:rPr>
  </w:style>
  <w:style w:type="character" w:customStyle="1" w:styleId="114">
    <w:name w:val="L正文 Char"/>
    <w:basedOn w:val="63"/>
    <w:link w:val="113"/>
    <w:qFormat/>
    <w:uiPriority w:val="0"/>
    <w:rPr>
      <w:rFonts w:ascii="Times New Roman" w:hAnsi="Times New Roman" w:cs="宋体"/>
      <w:color w:val="000000"/>
      <w:kern w:val="0"/>
      <w:sz w:val="24"/>
      <w:szCs w:val="24"/>
      <w:lang w:val="zh-CN" w:eastAsia="zh-CN"/>
    </w:rPr>
  </w:style>
  <w:style w:type="paragraph" w:customStyle="1" w:styleId="115">
    <w:name w:val="L图表"/>
    <w:basedOn w:val="101"/>
    <w:link w:val="116"/>
    <w:qFormat/>
    <w:uiPriority w:val="0"/>
    <w:pPr>
      <w:spacing w:after="156"/>
    </w:pPr>
    <w:rPr>
      <w:b/>
    </w:rPr>
  </w:style>
  <w:style w:type="character" w:customStyle="1" w:styleId="116">
    <w:name w:val="L图表 Char"/>
    <w:basedOn w:val="100"/>
    <w:link w:val="115"/>
    <w:qFormat/>
    <w:uiPriority w:val="0"/>
    <w:rPr>
      <w:rFonts w:ascii="黑体" w:hAnsi="黑体" w:eastAsia="黑体" w:cs="Times New Roman"/>
      <w:b/>
      <w:sz w:val="21"/>
      <w:szCs w:val="21"/>
      <w:lang w:val="zh-CN" w:eastAsia="zh-CN"/>
    </w:rPr>
  </w:style>
  <w:style w:type="paragraph" w:customStyle="1" w:styleId="117">
    <w:name w:val="L表格"/>
    <w:basedOn w:val="64"/>
    <w:link w:val="118"/>
    <w:qFormat/>
    <w:uiPriority w:val="0"/>
    <w:pPr>
      <w:spacing w:beforeLines="0" w:afterLines="0" w:line="240" w:lineRule="auto"/>
      <w:ind w:firstLine="0" w:firstLineChars="0"/>
      <w:jc w:val="center"/>
    </w:pPr>
    <w:rPr>
      <w:rFonts w:ascii="Times New Roman" w:hAnsi="Times New Roman"/>
      <w:bCs/>
      <w:sz w:val="21"/>
    </w:rPr>
  </w:style>
  <w:style w:type="character" w:customStyle="1" w:styleId="118">
    <w:name w:val="L表格 Char"/>
    <w:basedOn w:val="63"/>
    <w:link w:val="117"/>
    <w:qFormat/>
    <w:uiPriority w:val="0"/>
    <w:rPr>
      <w:rFonts w:ascii="Times New Roman" w:hAnsi="Times New Roman" w:cs="宋体"/>
      <w:bCs/>
      <w:color w:val="000000"/>
      <w:kern w:val="0"/>
      <w:sz w:val="21"/>
      <w:szCs w:val="21"/>
      <w:lang w:val="zh-CN" w:eastAsia="zh-CN"/>
    </w:rPr>
  </w:style>
  <w:style w:type="paragraph" w:customStyle="1" w:styleId="119">
    <w:name w:val="注"/>
    <w:basedOn w:val="68"/>
    <w:link w:val="120"/>
    <w:qFormat/>
    <w:uiPriority w:val="0"/>
    <w:pPr>
      <w:spacing w:afterLines="0"/>
      <w:ind w:firstLine="200"/>
      <w:jc w:val="left"/>
    </w:pPr>
    <w:rPr>
      <w:rFonts w:eastAsia="宋体"/>
      <w:sz w:val="18"/>
      <w:szCs w:val="18"/>
    </w:rPr>
  </w:style>
  <w:style w:type="character" w:customStyle="1" w:styleId="120">
    <w:name w:val="注 Char"/>
    <w:basedOn w:val="69"/>
    <w:link w:val="119"/>
    <w:qFormat/>
    <w:uiPriority w:val="0"/>
    <w:rPr>
      <w:rFonts w:ascii="Times New Roman" w:hAnsi="Times New Roman" w:eastAsia="黑体" w:cs="Times New Roman"/>
      <w:sz w:val="18"/>
      <w:szCs w:val="18"/>
      <w:lang w:val="zh-CN"/>
    </w:rPr>
  </w:style>
  <w:style w:type="paragraph" w:customStyle="1" w:styleId="121">
    <w:name w:val="12131"/>
    <w:basedOn w:val="3"/>
    <w:link w:val="122"/>
    <w:qFormat/>
    <w:uiPriority w:val="0"/>
    <w:pPr>
      <w:spacing w:after="312" w:afterLines="100" w:line="360" w:lineRule="auto"/>
    </w:pPr>
    <w:rPr>
      <w:rFonts w:ascii="黑体" w:hAnsi="黑体" w:eastAsia="黑体"/>
      <w:b/>
      <w:sz w:val="36"/>
      <w:szCs w:val="36"/>
    </w:rPr>
  </w:style>
  <w:style w:type="character" w:customStyle="1" w:styleId="122">
    <w:name w:val="12131 Char"/>
    <w:basedOn w:val="43"/>
    <w:link w:val="121"/>
    <w:qFormat/>
    <w:uiPriority w:val="0"/>
    <w:rPr>
      <w:rFonts w:ascii="黑体" w:hAnsi="黑体" w:eastAsia="黑体"/>
      <w:b/>
      <w:color w:val="FFFFFF"/>
      <w:spacing w:val="15"/>
      <w:sz w:val="36"/>
      <w:szCs w:val="36"/>
      <w:shd w:val="clear" w:color="auto" w:fill="0F6FC6"/>
      <w:lang w:val="zh-CN" w:eastAsia="zh-CN"/>
    </w:rPr>
  </w:style>
  <w:style w:type="paragraph" w:customStyle="1" w:styleId="123">
    <w:name w:val="11111"/>
    <w:basedOn w:val="3"/>
    <w:link w:val="124"/>
    <w:qFormat/>
    <w:uiPriority w:val="0"/>
    <w:pPr>
      <w:jc w:val="center"/>
    </w:pPr>
    <w:rPr>
      <w:rFonts w:ascii="黑体" w:hAnsi="黑体" w:eastAsia="黑体"/>
      <w:b/>
      <w:sz w:val="36"/>
      <w:szCs w:val="36"/>
    </w:rPr>
  </w:style>
  <w:style w:type="character" w:customStyle="1" w:styleId="124">
    <w:name w:val="11111 Char"/>
    <w:basedOn w:val="43"/>
    <w:link w:val="123"/>
    <w:qFormat/>
    <w:uiPriority w:val="0"/>
    <w:rPr>
      <w:rFonts w:ascii="黑体" w:hAnsi="黑体" w:eastAsia="黑体"/>
      <w:b/>
      <w:color w:val="FFFFFF"/>
      <w:spacing w:val="15"/>
      <w:sz w:val="36"/>
      <w:szCs w:val="36"/>
      <w:shd w:val="clear" w:color="auto" w:fill="0F6FC6"/>
      <w:lang w:val="zh-CN" w:eastAsia="zh-CN"/>
    </w:rPr>
  </w:style>
  <w:style w:type="paragraph" w:customStyle="1" w:styleId="125">
    <w:name w:val="22222"/>
    <w:basedOn w:val="126"/>
    <w:link w:val="128"/>
    <w:qFormat/>
    <w:uiPriority w:val="0"/>
    <w:rPr>
      <w:shd w:val="clear" w:color="auto" w:fill="9FD3A4" w:themeFill="background1" w:themeFillShade="D9"/>
    </w:rPr>
  </w:style>
  <w:style w:type="paragraph" w:customStyle="1" w:styleId="126">
    <w:name w:val="333333"/>
    <w:basedOn w:val="107"/>
    <w:link w:val="127"/>
    <w:qFormat/>
    <w:uiPriority w:val="0"/>
  </w:style>
  <w:style w:type="character" w:customStyle="1" w:styleId="127">
    <w:name w:val="333333 Char"/>
    <w:basedOn w:val="106"/>
    <w:link w:val="126"/>
    <w:qFormat/>
    <w:uiPriority w:val="0"/>
    <w:rPr>
      <w:rFonts w:ascii="Times New Roman" w:hAnsi="Times New Roman" w:eastAsia="黑体" w:cs="Times New Roman"/>
      <w:color w:val="000000"/>
      <w:sz w:val="28"/>
      <w:szCs w:val="30"/>
      <w:lang w:val="zh-CN"/>
    </w:rPr>
  </w:style>
  <w:style w:type="character" w:customStyle="1" w:styleId="128">
    <w:name w:val="22222 Char"/>
    <w:basedOn w:val="71"/>
    <w:link w:val="125"/>
    <w:qFormat/>
    <w:uiPriority w:val="0"/>
    <w:rPr>
      <w:rFonts w:ascii="Times New Roman" w:hAnsi="Times New Roman" w:eastAsia="黑体" w:cs="Times New Roman"/>
      <w:color w:val="000000"/>
      <w:sz w:val="28"/>
      <w:szCs w:val="30"/>
      <w:lang w:val="zh-CN"/>
    </w:rPr>
  </w:style>
  <w:style w:type="table" w:customStyle="1" w:styleId="129">
    <w:name w:val="网格表 4 - 着色 11"/>
    <w:basedOn w:val="32"/>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CCE8C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130">
    <w:name w:val="图标题 Char Char"/>
    <w:qFormat/>
    <w:locked/>
    <w:uiPriority w:val="0"/>
    <w:rPr>
      <w:rFonts w:ascii="Times New Roman" w:hAnsi="Times New Roman" w:eastAsia="黑体" w:cs="Times New Roman"/>
      <w:szCs w:val="21"/>
    </w:rPr>
  </w:style>
  <w:style w:type="table" w:customStyle="1" w:styleId="131">
    <w:name w:val="网格表 4 - 着色 51"/>
    <w:basedOn w:val="32"/>
    <w:qFormat/>
    <w:uiPriority w:val="49"/>
    <w:pPr>
      <w:jc w:val="center"/>
    </w:pPr>
    <w:tblPr>
      <w:jc w:val="cente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rPr>
      <w:jc w:val="center"/>
    </w:trPr>
    <w:tcPr>
      <w:vAlign w:val="center"/>
    </w:tcPr>
    <w:tblStylePr w:type="firstRow">
      <w:rPr>
        <w:b/>
        <w:bCs/>
        <w:color w:val="CCE8CF" w:themeColor="background1"/>
        <w14:textFill>
          <w14:solidFill>
            <w14:schemeClr w14:val="bg1"/>
          </w14:solidFill>
        </w14:textFill>
      </w:rPr>
      <w:tcPr>
        <w:shd w:val="clear" w:color="auto" w:fill="92CDDC" w:themeFill="accent5" w:themeFillTint="99"/>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paragraph" w:customStyle="1" w:styleId="132">
    <w:name w:val="L 注"/>
    <w:basedOn w:val="1"/>
    <w:link w:val="133"/>
    <w:qFormat/>
    <w:uiPriority w:val="0"/>
    <w:pPr>
      <w:ind w:firstLine="200" w:firstLineChars="200"/>
    </w:pPr>
    <w:rPr>
      <w:rFonts w:ascii="Times New Roman" w:hAnsi="Times New Roman" w:eastAsiaTheme="minorEastAsia" w:cstheme="minorBidi"/>
      <w:caps/>
      <w:color w:val="4F81BD" w:themeColor="accent1"/>
      <w:sz w:val="18"/>
      <w14:textFill>
        <w14:solidFill>
          <w14:schemeClr w14:val="accent1"/>
        </w14:solidFill>
      </w14:textFill>
    </w:rPr>
  </w:style>
  <w:style w:type="character" w:customStyle="1" w:styleId="133">
    <w:name w:val="L 注 Char"/>
    <w:basedOn w:val="36"/>
    <w:link w:val="132"/>
    <w:qFormat/>
    <w:uiPriority w:val="0"/>
    <w:rPr>
      <w:rFonts w:eastAsiaTheme="minorEastAsia" w:cstheme="minorBidi"/>
      <w:caps/>
      <w:color w:val="4F81BD" w:themeColor="accent1"/>
      <w:sz w:val="18"/>
      <w14:textFill>
        <w14:solidFill>
          <w14:schemeClr w14:val="accent1"/>
        </w14:solidFill>
      </w14:textFill>
    </w:rPr>
  </w:style>
  <w:style w:type="character" w:customStyle="1" w:styleId="134">
    <w:name w:val="表格字体 Char"/>
    <w:link w:val="135"/>
    <w:qFormat/>
    <w:locked/>
    <w:uiPriority w:val="0"/>
    <w:rPr>
      <w:sz w:val="21"/>
    </w:rPr>
  </w:style>
  <w:style w:type="paragraph" w:customStyle="1" w:styleId="135">
    <w:name w:val="表格字体"/>
    <w:basedOn w:val="1"/>
    <w:next w:val="1"/>
    <w:link w:val="134"/>
    <w:qFormat/>
    <w:uiPriority w:val="0"/>
    <w:pPr>
      <w:spacing w:line="240" w:lineRule="atLeast"/>
      <w:jc w:val="center"/>
    </w:pPr>
    <w:rPr>
      <w:sz w:val="21"/>
    </w:rPr>
  </w:style>
  <w:style w:type="paragraph" w:customStyle="1" w:styleId="136">
    <w:name w:val="L 正文"/>
    <w:basedOn w:val="1"/>
    <w:link w:val="137"/>
    <w:qFormat/>
    <w:uiPriority w:val="0"/>
    <w:pPr>
      <w:spacing w:line="360" w:lineRule="auto"/>
      <w:ind w:firstLine="200" w:firstLineChars="200"/>
      <w:jc w:val="both"/>
    </w:pPr>
    <w:rPr>
      <w:rFonts w:ascii="Times New Roman" w:hAnsi="Times New Roman" w:cstheme="minorBidi"/>
      <w:color w:val="000000"/>
      <w:sz w:val="24"/>
      <w:szCs w:val="24"/>
    </w:rPr>
  </w:style>
  <w:style w:type="character" w:customStyle="1" w:styleId="137">
    <w:name w:val="L 正文 Char"/>
    <w:basedOn w:val="36"/>
    <w:link w:val="136"/>
    <w:qFormat/>
    <w:uiPriority w:val="0"/>
    <w:rPr>
      <w:rFonts w:ascii="Times New Roman" w:hAnsi="Times New Roman" w:cstheme="minorBidi"/>
      <w:color w:val="000000"/>
      <w:sz w:val="24"/>
      <w:szCs w:val="24"/>
    </w:rPr>
  </w:style>
  <w:style w:type="paragraph" w:customStyle="1" w:styleId="138">
    <w:name w:val="列表段落1"/>
    <w:basedOn w:val="1"/>
    <w:qFormat/>
    <w:uiPriority w:val="34"/>
    <w:pPr>
      <w:ind w:firstLine="420" w:firstLineChars="200"/>
    </w:pPr>
  </w:style>
  <w:style w:type="table" w:customStyle="1" w:styleId="139">
    <w:name w:val="网格表 4 - 着色 15"/>
    <w:basedOn w:val="32"/>
    <w:qFormat/>
    <w:uiPriority w:val="49"/>
    <w:rPr>
      <w:rFonts w:ascii="Calibri" w:hAnsi="Calibr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cPr>
      <w:vAlign w:val="center"/>
    </w:tc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140">
    <w:name w:val="L 图表标题"/>
    <w:basedOn w:val="136"/>
    <w:link w:val="141"/>
    <w:qFormat/>
    <w:uiPriority w:val="0"/>
    <w:pPr>
      <w:spacing w:after="50" w:afterLines="50"/>
      <w:ind w:firstLine="0" w:firstLineChars="0"/>
      <w:jc w:val="center"/>
    </w:pPr>
    <w:rPr>
      <w:rFonts w:eastAsia="黑体"/>
      <w:b/>
      <w:sz w:val="21"/>
    </w:rPr>
  </w:style>
  <w:style w:type="character" w:customStyle="1" w:styleId="141">
    <w:name w:val="L 图表标题 Char"/>
    <w:basedOn w:val="137"/>
    <w:link w:val="140"/>
    <w:qFormat/>
    <w:uiPriority w:val="0"/>
    <w:rPr>
      <w:rFonts w:ascii="Times New Roman" w:hAnsi="Times New Roman" w:eastAsia="黑体" w:cstheme="minorBidi"/>
      <w:b/>
      <w:color w:val="000000"/>
      <w:sz w:val="21"/>
      <w:szCs w:val="24"/>
    </w:rPr>
  </w:style>
  <w:style w:type="paragraph" w:customStyle="1" w:styleId="142">
    <w:name w:val="L2级"/>
    <w:basedOn w:val="4"/>
    <w:link w:val="143"/>
    <w:qFormat/>
    <w:uiPriority w:val="0"/>
    <w:pPr>
      <w:keepNext/>
      <w:pBdr>
        <w:top w:val="single" w:color="CCE8CF" w:themeColor="background1" w:sz="24" w:space="0"/>
        <w:left w:val="single" w:color="CCE8CF" w:themeColor="background1" w:sz="24" w:space="0"/>
        <w:bottom w:val="single" w:color="CCE8CF" w:themeColor="background1" w:sz="24" w:space="0"/>
        <w:right w:val="single" w:color="CCE8CF" w:themeColor="background1" w:sz="24" w:space="0"/>
      </w:pBdr>
      <w:shd w:val="clear" w:color="auto" w:fill="auto"/>
      <w:spacing w:before="50" w:beforeLines="50" w:after="50" w:afterLines="50" w:line="400" w:lineRule="atLeast"/>
    </w:pPr>
    <w:rPr>
      <w:rFonts w:eastAsia="黑体" w:asciiTheme="minorAscii" w:hAnsiTheme="minorAscii" w:cstheme="minorBidi"/>
      <w:b/>
      <w:color w:val="4F81BD" w:themeColor="accent1"/>
      <w:spacing w:val="0"/>
      <w:sz w:val="30"/>
      <w:lang w:val="en-US"/>
      <w14:textFill>
        <w14:solidFill>
          <w14:schemeClr w14:val="accent1"/>
        </w14:solidFill>
      </w14:textFill>
    </w:rPr>
  </w:style>
  <w:style w:type="character" w:customStyle="1" w:styleId="143">
    <w:name w:val="L2级 Char"/>
    <w:basedOn w:val="36"/>
    <w:link w:val="142"/>
    <w:qFormat/>
    <w:uiPriority w:val="0"/>
    <w:rPr>
      <w:rFonts w:eastAsia="黑体" w:asciiTheme="minorAscii" w:hAnsiTheme="minorAscii" w:cstheme="minorBidi"/>
      <w:b/>
      <w:caps/>
      <w:color w:val="4F81BD" w:themeColor="accent1"/>
      <w:sz w:val="30"/>
      <w14:textFill>
        <w14:solidFill>
          <w14:schemeClr w14:val="accent1"/>
        </w14:solidFill>
      </w14:textFill>
    </w:rPr>
  </w:style>
  <w:style w:type="paragraph" w:customStyle="1" w:styleId="144">
    <w:name w:val="正文L"/>
    <w:basedOn w:val="1"/>
    <w:link w:val="145"/>
    <w:qFormat/>
    <w:uiPriority w:val="0"/>
    <w:pPr>
      <w:widowControl w:val="0"/>
      <w:spacing w:line="360" w:lineRule="auto"/>
      <w:ind w:firstLine="200" w:firstLineChars="200"/>
      <w:jc w:val="both"/>
    </w:pPr>
    <w:rPr>
      <w:rFonts w:ascii="Times New Roman" w:hAnsi="Times New Roman" w:eastAsiaTheme="minorEastAsia"/>
      <w:kern w:val="2"/>
      <w:sz w:val="24"/>
      <w:szCs w:val="24"/>
    </w:rPr>
  </w:style>
  <w:style w:type="character" w:customStyle="1" w:styleId="145">
    <w:name w:val="正文L Char"/>
    <w:basedOn w:val="36"/>
    <w:link w:val="144"/>
    <w:qFormat/>
    <w:uiPriority w:val="0"/>
    <w:rPr>
      <w:rFonts w:ascii="Times New Roman" w:hAnsi="Times New Roman" w:eastAsiaTheme="minorEastAsia"/>
      <w:kern w:val="2"/>
      <w:sz w:val="24"/>
      <w:szCs w:val="24"/>
    </w:rPr>
  </w:style>
  <w:style w:type="paragraph" w:customStyle="1" w:styleId="146">
    <w:name w:val="3级标题"/>
    <w:basedOn w:val="144"/>
    <w:link w:val="147"/>
    <w:qFormat/>
    <w:uiPriority w:val="0"/>
    <w:pPr>
      <w:spacing w:before="50" w:beforeLines="50" w:after="50" w:afterLines="50" w:line="400" w:lineRule="atLeast"/>
      <w:ind w:firstLine="0" w:firstLineChars="0"/>
      <w:outlineLvl w:val="2"/>
    </w:pPr>
    <w:rPr>
      <w:rFonts w:ascii="黑体" w:hAnsi="黑体" w:eastAsia="黑体"/>
      <w:b/>
      <w:sz w:val="28"/>
      <w:szCs w:val="28"/>
    </w:rPr>
  </w:style>
  <w:style w:type="character" w:customStyle="1" w:styleId="147">
    <w:name w:val="3级标题 Char"/>
    <w:basedOn w:val="145"/>
    <w:link w:val="146"/>
    <w:qFormat/>
    <w:uiPriority w:val="0"/>
    <w:rPr>
      <w:rFonts w:ascii="黑体" w:hAnsi="黑体" w:eastAsia="黑体"/>
      <w:b/>
      <w:kern w:val="2"/>
      <w:sz w:val="28"/>
      <w:szCs w:val="28"/>
    </w:rPr>
  </w:style>
  <w:style w:type="paragraph" w:customStyle="1" w:styleId="148">
    <w:name w:val="表格文字"/>
    <w:basedOn w:val="119"/>
    <w:link w:val="149"/>
    <w:qFormat/>
    <w:uiPriority w:val="0"/>
    <w:pPr>
      <w:widowControl w:val="0"/>
      <w:jc w:val="center"/>
    </w:pPr>
    <w:rPr>
      <w:rFonts w:eastAsiaTheme="minorEastAsia"/>
      <w:bCs/>
      <w:sz w:val="21"/>
    </w:rPr>
  </w:style>
  <w:style w:type="character" w:customStyle="1" w:styleId="149">
    <w:name w:val="表格文字 Char"/>
    <w:basedOn w:val="120"/>
    <w:link w:val="148"/>
    <w:qFormat/>
    <w:uiPriority w:val="0"/>
    <w:rPr>
      <w:rFonts w:ascii="Times New Roman" w:hAnsi="Times New Roman" w:cs="Times New Roman" w:eastAsiaTheme="minorEastAsia"/>
      <w:bCs/>
      <w:sz w:val="21"/>
      <w:szCs w:val="18"/>
      <w:lang w:val="zh-CN" w:eastAsia="zh-CN"/>
    </w:rPr>
  </w:style>
  <w:style w:type="paragraph" w:customStyle="1" w:styleId="150">
    <w:name w:val="4级标题"/>
    <w:basedOn w:val="144"/>
    <w:link w:val="151"/>
    <w:qFormat/>
    <w:uiPriority w:val="0"/>
    <w:pPr>
      <w:keepNext/>
      <w:spacing w:before="156" w:beforeLines="50" w:after="156" w:line="300" w:lineRule="auto"/>
      <w:ind w:firstLine="482"/>
      <w:outlineLvl w:val="3"/>
    </w:pPr>
    <w:rPr>
      <w:rFonts w:eastAsia="黑体"/>
      <w:b/>
    </w:rPr>
  </w:style>
  <w:style w:type="character" w:customStyle="1" w:styleId="151">
    <w:name w:val="4级标题 Char"/>
    <w:basedOn w:val="145"/>
    <w:link w:val="150"/>
    <w:qFormat/>
    <w:uiPriority w:val="0"/>
    <w:rPr>
      <w:rFonts w:ascii="Times New Roman" w:hAnsi="Times New Roman" w:eastAsia="黑体"/>
      <w:b/>
      <w:kern w:val="2"/>
      <w:sz w:val="24"/>
      <w:szCs w:val="24"/>
    </w:rPr>
  </w:style>
  <w:style w:type="paragraph" w:customStyle="1" w:styleId="152">
    <w:name w:val="L3级"/>
    <w:basedOn w:val="1"/>
    <w:link w:val="153"/>
    <w:qFormat/>
    <w:uiPriority w:val="99"/>
    <w:pPr>
      <w:keepNext/>
      <w:spacing w:before="50" w:beforeLines="50" w:after="50" w:afterLines="50" w:line="400" w:lineRule="atLeast"/>
      <w:outlineLvl w:val="2"/>
    </w:pPr>
    <w:rPr>
      <w:rFonts w:eastAsia="黑体" w:asciiTheme="minorHAnsi" w:hAnsiTheme="minorHAnsi" w:cstheme="minorBidi"/>
      <w:b/>
      <w:color w:val="4F81BD" w:themeColor="accent1"/>
      <w:sz w:val="28"/>
      <w14:textFill>
        <w14:solidFill>
          <w14:schemeClr w14:val="accent1"/>
        </w14:solidFill>
      </w14:textFill>
    </w:rPr>
  </w:style>
  <w:style w:type="character" w:customStyle="1" w:styleId="153">
    <w:name w:val="L3级 Char"/>
    <w:basedOn w:val="36"/>
    <w:link w:val="152"/>
    <w:qFormat/>
    <w:uiPriority w:val="0"/>
    <w:rPr>
      <w:rFonts w:eastAsia="黑体" w:asciiTheme="minorHAnsi" w:hAnsiTheme="minorHAnsi" w:cstheme="minorBidi"/>
      <w:b/>
      <w:color w:val="4F81BD" w:themeColor="accent1"/>
      <w:sz w:val="28"/>
      <w14:textFill>
        <w14:solidFill>
          <w14:schemeClr w14:val="accent1"/>
        </w14:solidFill>
      </w14:textFill>
    </w:rPr>
  </w:style>
  <w:style w:type="paragraph" w:customStyle="1" w:styleId="154">
    <w:name w:val="修订1"/>
    <w:hidden/>
    <w:semiHidden/>
    <w:qFormat/>
    <w:uiPriority w:val="99"/>
    <w:rPr>
      <w:rFonts w:ascii="Times New Roman" w:hAnsi="Times New Roman" w:eastAsia="宋体" w:cs="Times New Roman"/>
      <w:kern w:val="2"/>
      <w:sz w:val="24"/>
      <w:szCs w:val="24"/>
      <w:lang w:val="en-US" w:eastAsia="zh-CN" w:bidi="ar-SA"/>
    </w:rPr>
  </w:style>
  <w:style w:type="paragraph" w:customStyle="1" w:styleId="155">
    <w:name w:val="正文内容"/>
    <w:basedOn w:val="1"/>
    <w:link w:val="156"/>
    <w:qFormat/>
    <w:uiPriority w:val="0"/>
    <w:pPr>
      <w:spacing w:line="360" w:lineRule="auto"/>
      <w:ind w:firstLine="480" w:firstLineChars="200"/>
      <w:jc w:val="both"/>
    </w:pPr>
    <w:rPr>
      <w:rFonts w:ascii="Times New Roman" w:hAnsi="Times New Roman" w:cs="宋体" w:eastAsiaTheme="minorEastAsia"/>
      <w:sz w:val="24"/>
      <w:szCs w:val="21"/>
    </w:rPr>
  </w:style>
  <w:style w:type="character" w:customStyle="1" w:styleId="156">
    <w:name w:val="正文内容 Char"/>
    <w:basedOn w:val="36"/>
    <w:link w:val="155"/>
    <w:qFormat/>
    <w:uiPriority w:val="0"/>
    <w:rPr>
      <w:rFonts w:ascii="Times New Roman" w:hAnsi="Times New Roman" w:cs="宋体" w:eastAsiaTheme="minorEastAsia"/>
      <w:sz w:val="24"/>
      <w:szCs w:val="21"/>
    </w:rPr>
  </w:style>
  <w:style w:type="paragraph" w:customStyle="1" w:styleId="157">
    <w:name w:val="图表的标题"/>
    <w:basedOn w:val="1"/>
    <w:link w:val="158"/>
    <w:qFormat/>
    <w:uiPriority w:val="0"/>
    <w:pPr>
      <w:widowControl w:val="0"/>
      <w:spacing w:before="156" w:beforeLines="50" w:after="156" w:afterLines="50"/>
      <w:jc w:val="center"/>
    </w:pPr>
    <w:rPr>
      <w:rFonts w:ascii="黑体" w:hAnsi="黑体" w:eastAsia="黑体"/>
      <w:b/>
      <w:bCs/>
      <w:kern w:val="2"/>
      <w:sz w:val="21"/>
      <w:szCs w:val="21"/>
    </w:rPr>
  </w:style>
  <w:style w:type="character" w:customStyle="1" w:styleId="158">
    <w:name w:val="图表的标题 Char"/>
    <w:basedOn w:val="36"/>
    <w:link w:val="157"/>
    <w:qFormat/>
    <w:uiPriority w:val="0"/>
    <w:rPr>
      <w:rFonts w:ascii="黑体" w:hAnsi="黑体" w:eastAsia="黑体"/>
      <w:b/>
      <w:bCs/>
      <w:kern w:val="2"/>
      <w:sz w:val="21"/>
      <w:szCs w:val="21"/>
    </w:rPr>
  </w:style>
  <w:style w:type="character" w:customStyle="1" w:styleId="159">
    <w:name w:val="济南标题4 Char"/>
    <w:basedOn w:val="36"/>
    <w:link w:val="160"/>
    <w:qFormat/>
    <w:locked/>
    <w:uiPriority w:val="0"/>
    <w:rPr>
      <w:rFonts w:ascii="Times New Roman" w:hAnsi="Times New Roman" w:eastAsia="黑体" w:cstheme="majorBidi"/>
      <w:b/>
      <w:bCs/>
      <w:sz w:val="25"/>
      <w:szCs w:val="25"/>
    </w:rPr>
  </w:style>
  <w:style w:type="paragraph" w:customStyle="1" w:styleId="160">
    <w:name w:val="济南标题4"/>
    <w:basedOn w:val="1"/>
    <w:link w:val="159"/>
    <w:qFormat/>
    <w:uiPriority w:val="0"/>
    <w:pPr>
      <w:spacing w:before="280" w:afterLines="50" w:line="376" w:lineRule="auto"/>
      <w:ind w:firstLine="502" w:firstLineChars="200"/>
      <w:outlineLvl w:val="3"/>
    </w:pPr>
    <w:rPr>
      <w:rFonts w:ascii="Times New Roman" w:hAnsi="Times New Roman" w:eastAsia="黑体" w:cstheme="majorBidi"/>
      <w:b/>
      <w:bCs/>
      <w:sz w:val="25"/>
      <w:szCs w:val="25"/>
    </w:rPr>
  </w:style>
  <w:style w:type="paragraph" w:customStyle="1" w:styleId="161">
    <w:name w:val="样例-图表标题"/>
    <w:basedOn w:val="1"/>
    <w:link w:val="162"/>
    <w:qFormat/>
    <w:uiPriority w:val="0"/>
    <w:pPr>
      <w:adjustRightInd w:val="0"/>
      <w:snapToGrid w:val="0"/>
      <w:spacing w:line="360" w:lineRule="auto"/>
      <w:jc w:val="center"/>
    </w:pPr>
    <w:rPr>
      <w:rFonts w:ascii="Times New Roman" w:hAnsi="Times New Roman" w:eastAsia="黑体"/>
      <w:b/>
      <w:sz w:val="21"/>
      <w:szCs w:val="21"/>
      <w:lang w:val="zh-CN"/>
    </w:rPr>
  </w:style>
  <w:style w:type="character" w:customStyle="1" w:styleId="162">
    <w:name w:val="样例-图表标题 Char"/>
    <w:basedOn w:val="36"/>
    <w:link w:val="161"/>
    <w:qFormat/>
    <w:uiPriority w:val="0"/>
    <w:rPr>
      <w:rFonts w:ascii="Times New Roman" w:hAnsi="Times New Roman" w:eastAsia="黑体"/>
      <w:b/>
      <w:sz w:val="21"/>
      <w:szCs w:val="21"/>
      <w:lang w:val="zh-CN"/>
    </w:rPr>
  </w:style>
  <w:style w:type="paragraph" w:customStyle="1" w:styleId="163">
    <w:name w:val="图标标题"/>
    <w:basedOn w:val="86"/>
    <w:link w:val="164"/>
    <w:qFormat/>
    <w:uiPriority w:val="0"/>
    <w:pPr>
      <w:widowControl/>
      <w:spacing w:after="163" w:line="240" w:lineRule="auto"/>
      <w:ind w:firstLine="0" w:firstLineChars="0"/>
    </w:pPr>
    <w:rPr>
      <w:rFonts w:eastAsia="黑体"/>
      <w:b/>
      <w:lang w:val="en-US"/>
    </w:rPr>
  </w:style>
  <w:style w:type="character" w:customStyle="1" w:styleId="164">
    <w:name w:val="图标标题 Char"/>
    <w:basedOn w:val="85"/>
    <w:link w:val="163"/>
    <w:qFormat/>
    <w:uiPriority w:val="0"/>
    <w:rPr>
      <w:rFonts w:ascii="Times New Roman" w:hAnsi="Times New Roman" w:eastAsia="黑体" w:cs="Times New Roman"/>
      <w:b/>
      <w:kern w:val="2"/>
      <w:sz w:val="21"/>
      <w:szCs w:val="21"/>
    </w:rPr>
  </w:style>
  <w:style w:type="paragraph" w:customStyle="1" w:styleId="165">
    <w:name w:val="目录"/>
    <w:basedOn w:val="1"/>
    <w:link w:val="166"/>
    <w:qFormat/>
    <w:uiPriority w:val="0"/>
    <w:pPr>
      <w:pageBreakBefore/>
      <w:shd w:val="clear" w:color="auto" w:fill="4BACC6" w:themeFill="accent5"/>
      <w:spacing w:after="100" w:afterLines="100" w:line="400" w:lineRule="atLeast"/>
      <w:jc w:val="center"/>
    </w:pPr>
    <w:rPr>
      <w:rFonts w:eastAsia="黑体" w:asciiTheme="minorHAnsi" w:hAnsiTheme="minorHAnsi" w:cstheme="minorBidi"/>
      <w:b/>
      <w:caps/>
      <w:color w:val="CCE8CF" w:themeColor="background1"/>
      <w:sz w:val="32"/>
      <w:szCs w:val="32"/>
      <w14:textFill>
        <w14:solidFill>
          <w14:schemeClr w14:val="bg1"/>
        </w14:solidFill>
      </w14:textFill>
    </w:rPr>
  </w:style>
  <w:style w:type="character" w:customStyle="1" w:styleId="166">
    <w:name w:val="目录 Char"/>
    <w:basedOn w:val="36"/>
    <w:link w:val="165"/>
    <w:qFormat/>
    <w:uiPriority w:val="0"/>
    <w:rPr>
      <w:rFonts w:eastAsia="黑体" w:asciiTheme="minorHAnsi" w:hAnsiTheme="minorHAnsi" w:cstheme="minorBidi"/>
      <w:b/>
      <w:caps/>
      <w:color w:val="CCE8CF" w:themeColor="background1"/>
      <w:sz w:val="32"/>
      <w:szCs w:val="32"/>
      <w:shd w:val="clear" w:color="auto" w:fill="4BACC6" w:themeFill="accent5"/>
      <w14:textFill>
        <w14:solidFill>
          <w14:schemeClr w14:val="bg1"/>
        </w14:solidFill>
      </w14:textFill>
    </w:rPr>
  </w:style>
  <w:style w:type="paragraph" w:customStyle="1" w:styleId="167">
    <w:name w:val="篇名"/>
    <w:basedOn w:val="88"/>
    <w:link w:val="168"/>
    <w:qFormat/>
    <w:uiPriority w:val="0"/>
    <w:pPr>
      <w:spacing w:after="312"/>
    </w:pPr>
    <w:rPr>
      <w:color w:val="FFFFFF"/>
      <w:sz w:val="36"/>
    </w:rPr>
  </w:style>
  <w:style w:type="character" w:customStyle="1" w:styleId="168">
    <w:name w:val="篇名 Char"/>
    <w:basedOn w:val="166"/>
    <w:link w:val="167"/>
    <w:qFormat/>
    <w:uiPriority w:val="0"/>
    <w:rPr>
      <w:rFonts w:ascii="黑体" w:hAnsi="黑体" w:eastAsia="黑体" w:cstheme="minorBidi"/>
      <w:b w:val="0"/>
      <w:color w:val="FFFFFF"/>
      <w:spacing w:val="15"/>
      <w:kern w:val="44"/>
      <w:sz w:val="36"/>
      <w:szCs w:val="32"/>
      <w:shd w:val="clear" w:color="auto" w:fill="0F6FC6"/>
      <w:lang w:val="zh-CN"/>
    </w:rPr>
  </w:style>
  <w:style w:type="paragraph" w:customStyle="1" w:styleId="169">
    <w:name w:val="L 1级"/>
    <w:basedOn w:val="1"/>
    <w:link w:val="170"/>
    <w:qFormat/>
    <w:uiPriority w:val="0"/>
    <w:pPr>
      <w:pageBreakBefore/>
      <w:shd w:val="clear" w:color="auto" w:fill="4F81BD" w:themeFill="accent1"/>
      <w:spacing w:before="50" w:beforeLines="50" w:after="100" w:afterLines="100" w:line="400" w:lineRule="atLeast"/>
      <w:jc w:val="center"/>
      <w:outlineLvl w:val="0"/>
    </w:pPr>
    <w:rPr>
      <w:rFonts w:eastAsia="黑体" w:asciiTheme="minorHAnsi" w:hAnsiTheme="minorHAnsi" w:cstheme="minorBidi"/>
      <w:b/>
      <w:caps/>
      <w:color w:val="FFFFFF"/>
      <w:sz w:val="32"/>
      <w:szCs w:val="32"/>
    </w:rPr>
  </w:style>
  <w:style w:type="character" w:customStyle="1" w:styleId="170">
    <w:name w:val="L 1级 Char"/>
    <w:basedOn w:val="36"/>
    <w:link w:val="169"/>
    <w:qFormat/>
    <w:uiPriority w:val="0"/>
    <w:rPr>
      <w:rFonts w:eastAsia="黑体" w:asciiTheme="minorHAnsi" w:hAnsiTheme="minorHAnsi" w:cstheme="minorBidi"/>
      <w:b/>
      <w:caps/>
      <w:color w:val="FFFFFF"/>
      <w:sz w:val="32"/>
      <w:szCs w:val="32"/>
      <w:shd w:val="clear" w:color="auto" w:fill="4F81BD" w:themeFill="accent1"/>
    </w:rPr>
  </w:style>
  <w:style w:type="table" w:customStyle="1" w:styleId="171">
    <w:name w:val="网格表 1 浅色 - 着色 11"/>
    <w:basedOn w:val="3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paragraph" w:customStyle="1" w:styleId="172">
    <w:name w:val="图表题"/>
    <w:basedOn w:val="13"/>
    <w:link w:val="173"/>
    <w:qFormat/>
    <w:uiPriority w:val="0"/>
    <w:pPr>
      <w:spacing w:before="0" w:beforeLines="0" w:after="0" w:afterLines="0"/>
    </w:pPr>
  </w:style>
  <w:style w:type="character" w:customStyle="1" w:styleId="173">
    <w:name w:val="图表题 Char"/>
    <w:basedOn w:val="54"/>
    <w:link w:val="172"/>
    <w:qFormat/>
    <w:uiPriority w:val="0"/>
    <w:rPr>
      <w:rFonts w:ascii="Times New Roman" w:hAnsi="Times New Roman" w:eastAsia="黑体"/>
      <w:sz w:val="21"/>
      <w:szCs w:val="16"/>
    </w:rPr>
  </w:style>
  <w:style w:type="paragraph" w:customStyle="1" w:styleId="174">
    <w:name w:val="TOC 标题2"/>
    <w:basedOn w:val="3"/>
    <w:next w:val="1"/>
    <w:unhideWhenUsed/>
    <w:qFormat/>
    <w:uiPriority w:val="39"/>
    <w:pPr>
      <w:keepNext/>
      <w:keepLines/>
      <w:pBdr>
        <w:top w:val="none" w:color="auto" w:sz="0" w:space="0"/>
        <w:left w:val="none" w:color="auto" w:sz="0" w:space="0"/>
        <w:bottom w:val="none" w:color="auto" w:sz="0" w:space="0"/>
        <w:right w:val="none" w:color="auto" w:sz="0" w:space="0"/>
      </w:pBdr>
      <w:shd w:val="clear" w:color="auto" w:fill="auto"/>
      <w:spacing w:before="240" w:line="259" w:lineRule="auto"/>
      <w:outlineLvl w:val="9"/>
    </w:pPr>
    <w:rPr>
      <w:rFonts w:asciiTheme="majorHAnsi" w:hAnsiTheme="majorHAnsi" w:eastAsiaTheme="majorEastAsia" w:cstheme="majorBidi"/>
      <w:caps w:val="0"/>
      <w:color w:val="376092" w:themeColor="accent1" w:themeShade="BF"/>
      <w:spacing w:val="0"/>
      <w:sz w:val="32"/>
      <w:szCs w:val="32"/>
      <w:lang w:val="en-US"/>
    </w:rPr>
  </w:style>
  <w:style w:type="paragraph" w:customStyle="1" w:styleId="175">
    <w:name w:val="样例-二级标题"/>
    <w:basedOn w:val="1"/>
    <w:link w:val="176"/>
    <w:qFormat/>
    <w:uiPriority w:val="0"/>
    <w:pPr>
      <w:tabs>
        <w:tab w:val="left" w:pos="4170"/>
      </w:tabs>
      <w:spacing w:before="156" w:beforeLines="50" w:after="156" w:afterLines="50" w:line="400" w:lineRule="atLeast"/>
      <w:outlineLvl w:val="1"/>
    </w:pPr>
    <w:rPr>
      <w:rFonts w:ascii="Times New Roman" w:hAnsi="Times New Roman" w:eastAsia="黑体"/>
      <w:b/>
      <w:bCs/>
      <w:color w:val="000000"/>
      <w:sz w:val="30"/>
      <w:szCs w:val="30"/>
      <w:lang w:val="zh-CN"/>
    </w:rPr>
  </w:style>
  <w:style w:type="character" w:customStyle="1" w:styleId="176">
    <w:name w:val="样例-二级标题 Char"/>
    <w:basedOn w:val="36"/>
    <w:link w:val="175"/>
    <w:qFormat/>
    <w:uiPriority w:val="0"/>
    <w:rPr>
      <w:rFonts w:ascii="Times New Roman" w:hAnsi="Times New Roman" w:eastAsia="黑体"/>
      <w:b/>
      <w:bCs/>
      <w:color w:val="000000"/>
      <w:sz w:val="30"/>
      <w:szCs w:val="30"/>
      <w:lang w:val="zh-CN"/>
    </w:rPr>
  </w:style>
  <w:style w:type="paragraph" w:customStyle="1" w:styleId="177">
    <w:name w:val="脚注样例"/>
    <w:link w:val="178"/>
    <w:qFormat/>
    <w:uiPriority w:val="0"/>
    <w:rPr>
      <w:rFonts w:ascii="Times New Roman" w:hAnsi="Times New Roman" w:eastAsia="宋体" w:cstheme="minorBidi"/>
      <w:caps/>
      <w:sz w:val="18"/>
      <w:lang w:val="en-US" w:eastAsia="zh-CN" w:bidi="ar-SA"/>
    </w:rPr>
  </w:style>
  <w:style w:type="character" w:customStyle="1" w:styleId="178">
    <w:name w:val="脚注样例 Char"/>
    <w:basedOn w:val="36"/>
    <w:link w:val="177"/>
    <w:qFormat/>
    <w:uiPriority w:val="0"/>
    <w:rPr>
      <w:rFonts w:ascii="Times New Roman" w:hAnsi="Times New Roman" w:cstheme="minorBidi"/>
      <w:caps/>
      <w:sz w:val="18"/>
    </w:rPr>
  </w:style>
  <w:style w:type="paragraph" w:customStyle="1" w:styleId="179">
    <w:name w:val="报告正文样例"/>
    <w:link w:val="180"/>
    <w:qFormat/>
    <w:uiPriority w:val="0"/>
    <w:pPr>
      <w:spacing w:line="360" w:lineRule="auto"/>
      <w:ind w:firstLine="200" w:firstLineChars="200"/>
      <w:jc w:val="both"/>
    </w:pPr>
    <w:rPr>
      <w:rFonts w:ascii="Times New Roman" w:hAnsi="Times New Roman" w:eastAsia="宋体" w:cs="Times New Roman"/>
      <w:bCs/>
      <w:color w:val="000000"/>
      <w:sz w:val="24"/>
      <w:szCs w:val="30"/>
      <w:lang w:val="zh-CN" w:eastAsia="zh-CN" w:bidi="ar-SA"/>
    </w:rPr>
  </w:style>
  <w:style w:type="character" w:customStyle="1" w:styleId="180">
    <w:name w:val="报告正文样例 Char"/>
    <w:basedOn w:val="36"/>
    <w:link w:val="179"/>
    <w:qFormat/>
    <w:uiPriority w:val="0"/>
    <w:rPr>
      <w:rFonts w:ascii="Times New Roman" w:hAnsi="Times New Roman"/>
      <w:bCs/>
      <w:color w:val="000000"/>
      <w:sz w:val="24"/>
      <w:szCs w:val="30"/>
      <w:lang w:val="zh-CN"/>
    </w:rPr>
  </w:style>
  <w:style w:type="paragraph" w:customStyle="1" w:styleId="181">
    <w:name w:val="图表标题样例"/>
    <w:link w:val="182"/>
    <w:qFormat/>
    <w:uiPriority w:val="0"/>
    <w:pPr>
      <w:spacing w:before="50" w:beforeLines="50" w:after="50" w:afterLines="50" w:line="360" w:lineRule="auto"/>
      <w:jc w:val="center"/>
    </w:pPr>
    <w:rPr>
      <w:rFonts w:ascii="Times New Roman" w:hAnsi="Times New Roman" w:eastAsia="黑体" w:cs="Times New Roman"/>
      <w:b/>
      <w:caps/>
      <w:color w:val="4F81BD" w:themeColor="accent1"/>
      <w:sz w:val="21"/>
      <w:szCs w:val="36"/>
      <w:lang w:val="zh-CN" w:eastAsia="zh-CN" w:bidi="ar-SA"/>
      <w14:textFill>
        <w14:solidFill>
          <w14:schemeClr w14:val="accent1"/>
        </w14:solidFill>
      </w14:textFill>
    </w:rPr>
  </w:style>
  <w:style w:type="character" w:customStyle="1" w:styleId="182">
    <w:name w:val="图表标题样例 Char"/>
    <w:basedOn w:val="116"/>
    <w:link w:val="181"/>
    <w:qFormat/>
    <w:uiPriority w:val="0"/>
    <w:rPr>
      <w:rFonts w:ascii="黑体" w:hAnsi="黑体" w:eastAsia="黑体" w:cs="Times New Roman"/>
      <w:caps/>
      <w:color w:val="4F81BD" w:themeColor="accent1"/>
      <w:sz w:val="21"/>
      <w:szCs w:val="36"/>
      <w:lang w:val="zh-CN" w:eastAsia="zh-CN"/>
      <w14:textFill>
        <w14:solidFill>
          <w14:schemeClr w14:val="accent1"/>
        </w14:solidFill>
      </w14:textFill>
    </w:rPr>
  </w:style>
  <w:style w:type="table" w:customStyle="1" w:styleId="183">
    <w:name w:val="网格表 4 - 着色 17"/>
    <w:basedOn w:val="32"/>
    <w:qFormat/>
    <w:uiPriority w:val="49"/>
    <w:rPr>
      <w:rFonts w:ascii="Calibri" w:hAnsi="Calibr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184">
    <w:name w:val="四级标题样例"/>
    <w:link w:val="185"/>
    <w:qFormat/>
    <w:uiPriority w:val="0"/>
    <w:pPr>
      <w:spacing w:before="50" w:beforeLines="50" w:after="50" w:afterLines="50" w:line="400" w:lineRule="atLeast"/>
      <w:ind w:firstLine="150" w:firstLineChars="150"/>
    </w:pPr>
    <w:rPr>
      <w:rFonts w:ascii="Times New Roman" w:hAnsi="Times New Roman" w:eastAsia="黑体" w:cs="Times New Roman"/>
      <w:b/>
      <w:bCs/>
      <w:sz w:val="24"/>
      <w:szCs w:val="30"/>
      <w:lang w:val="en-US" w:eastAsia="zh-CN" w:bidi="ar-SA"/>
    </w:rPr>
  </w:style>
  <w:style w:type="character" w:customStyle="1" w:styleId="185">
    <w:name w:val="四级标题样例 Char"/>
    <w:basedOn w:val="36"/>
    <w:link w:val="184"/>
    <w:qFormat/>
    <w:uiPriority w:val="0"/>
    <w:rPr>
      <w:rFonts w:ascii="Times New Roman" w:hAnsi="Times New Roman" w:eastAsia="黑体"/>
      <w:b/>
      <w:bCs/>
      <w:sz w:val="24"/>
      <w:szCs w:val="30"/>
    </w:rPr>
  </w:style>
  <w:style w:type="paragraph" w:customStyle="1" w:styleId="186">
    <w:name w:val="表格文字1"/>
    <w:basedOn w:val="1"/>
    <w:link w:val="187"/>
    <w:qFormat/>
    <w:uiPriority w:val="0"/>
    <w:pPr>
      <w:widowControl w:val="0"/>
      <w:jc w:val="center"/>
    </w:pPr>
    <w:rPr>
      <w:rFonts w:ascii="Times New Roman" w:hAnsi="Times New Roman"/>
      <w:bCs/>
      <w:sz w:val="21"/>
      <w:szCs w:val="21"/>
    </w:rPr>
  </w:style>
  <w:style w:type="character" w:customStyle="1" w:styleId="187">
    <w:name w:val="表格文字1 Char"/>
    <w:basedOn w:val="36"/>
    <w:link w:val="186"/>
    <w:qFormat/>
    <w:uiPriority w:val="0"/>
    <w:rPr>
      <w:rFonts w:ascii="Times New Roman" w:hAnsi="Times New Roman"/>
      <w:bCs/>
      <w:sz w:val="21"/>
      <w:szCs w:val="21"/>
    </w:rPr>
  </w:style>
  <w:style w:type="table" w:customStyle="1" w:styleId="188">
    <w:name w:val="网格表 5 深色 - 着色 31"/>
    <w:basedOn w:val="32"/>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EAF1DD" w:themeFill="accent3"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9BBB59" w:themeFill="accent3"/>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9BBB59" w:themeFill="accent3"/>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9BBB59" w:themeFill="accent3"/>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9BBB59" w:themeFill="accent3"/>
      </w:tcPr>
    </w:tblStylePr>
    <w:tblStylePr w:type="band1Vert">
      <w:tcPr>
        <w:shd w:val="clear" w:color="auto" w:fill="D6E3BC" w:themeFill="accent3" w:themeFillTint="66"/>
      </w:tcPr>
    </w:tblStylePr>
    <w:tblStylePr w:type="band1Horz">
      <w:tcPr>
        <w:shd w:val="clear" w:color="auto" w:fill="D6E3BC" w:themeFill="accent3" w:themeFillTint="66"/>
      </w:tcPr>
    </w:tblStylePr>
  </w:style>
  <w:style w:type="table" w:customStyle="1" w:styleId="189">
    <w:name w:val="网格表 4 - 着色 16"/>
    <w:basedOn w:val="32"/>
    <w:qFormat/>
    <w:uiPriority w:val="49"/>
    <w:rPr>
      <w:rFonts w:ascii="Calibri" w:hAnsi="Calibr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90">
    <w:name w:val="网格表 41"/>
    <w:basedOn w:val="32"/>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CCE8C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191">
    <w:name w:val="-图表标注"/>
    <w:basedOn w:val="132"/>
    <w:link w:val="192"/>
    <w:qFormat/>
    <w:uiPriority w:val="0"/>
  </w:style>
  <w:style w:type="character" w:customStyle="1" w:styleId="192">
    <w:name w:val="-图表标注 Char"/>
    <w:basedOn w:val="133"/>
    <w:link w:val="191"/>
    <w:qFormat/>
    <w:uiPriority w:val="0"/>
    <w:rPr>
      <w:rFonts w:ascii="Times New Roman" w:hAnsi="Times New Roman" w:eastAsiaTheme="minorEastAsia" w:cstheme="minorBidi"/>
      <w:color w:val="4F81BD" w:themeColor="accent1"/>
      <w:sz w:val="18"/>
      <w14:textFill>
        <w14:solidFill>
          <w14:schemeClr w14:val="accent1"/>
        </w14:solidFill>
      </w14:textFill>
    </w:rPr>
  </w:style>
  <w:style w:type="character" w:customStyle="1" w:styleId="193">
    <w:name w:val="样例-正文 Char"/>
    <w:basedOn w:val="36"/>
    <w:link w:val="194"/>
    <w:qFormat/>
    <w:locked/>
    <w:uiPriority w:val="0"/>
    <w:rPr>
      <w:rFonts w:ascii="Times New Roman" w:hAnsi="Times New Roman"/>
      <w:bCs/>
      <w:kern w:val="44"/>
      <w:sz w:val="24"/>
      <w:szCs w:val="32"/>
    </w:rPr>
  </w:style>
  <w:style w:type="paragraph" w:customStyle="1" w:styleId="194">
    <w:name w:val="样例-正文"/>
    <w:basedOn w:val="1"/>
    <w:link w:val="193"/>
    <w:qFormat/>
    <w:uiPriority w:val="0"/>
    <w:pPr>
      <w:spacing w:beforeLines="50" w:afterLines="50" w:line="360" w:lineRule="auto"/>
      <w:ind w:firstLine="200" w:firstLineChars="200"/>
      <w:jc w:val="both"/>
    </w:pPr>
    <w:rPr>
      <w:rFonts w:ascii="Times New Roman" w:hAnsi="Times New Roman"/>
      <w:bCs/>
      <w:kern w:val="44"/>
      <w:sz w:val="24"/>
      <w:szCs w:val="32"/>
    </w:rPr>
  </w:style>
  <w:style w:type="paragraph" w:customStyle="1" w:styleId="195">
    <w:name w:val="-正文"/>
    <w:basedOn w:val="64"/>
    <w:link w:val="196"/>
    <w:qFormat/>
    <w:uiPriority w:val="0"/>
    <w:pPr>
      <w:spacing w:before="156" w:after="156"/>
      <w:jc w:val="both"/>
    </w:pPr>
    <w:rPr>
      <w:rFonts w:ascii="Times New Roman" w:hAnsi="Times New Roman" w:cs="宋体"/>
    </w:rPr>
  </w:style>
  <w:style w:type="character" w:customStyle="1" w:styleId="196">
    <w:name w:val="-正文 Char"/>
    <w:basedOn w:val="63"/>
    <w:link w:val="195"/>
    <w:qFormat/>
    <w:uiPriority w:val="0"/>
    <w:rPr>
      <w:rFonts w:ascii="Times New Roman" w:hAnsi="Times New Roman" w:cs="宋体"/>
      <w:color w:val="000000"/>
      <w:kern w:val="0"/>
      <w:sz w:val="24"/>
      <w:szCs w:val="21"/>
      <w:lang w:val="zh-CN"/>
    </w:rPr>
  </w:style>
  <w:style w:type="table" w:customStyle="1" w:styleId="197">
    <w:name w:val="清单表 6 彩色 - 着色 11"/>
    <w:basedOn w:val="32"/>
    <w:qFormat/>
    <w:uiPriority w:val="51"/>
    <w:rPr>
      <w:rFonts w:asciiTheme="minorHAnsi" w:hAnsiTheme="minorHAnsi" w:eastAsiaTheme="minorEastAsia" w:cstheme="minorBidi"/>
      <w:color w:val="376092" w:themeColor="accent1" w:themeShade="BF"/>
      <w:kern w:val="2"/>
      <w:sz w:val="21"/>
      <w:szCs w:val="22"/>
    </w:rPr>
    <w:tblPr>
      <w:tblBorders>
        <w:top w:val="single" w:color="4F81BD" w:themeColor="accent1" w:sz="4" w:space="0"/>
        <w:bottom w:val="single" w:color="4F81BD" w:themeColor="accent1" w:sz="4" w:space="0"/>
      </w:tblBorders>
    </w:tblPr>
    <w:tblStylePr w:type="firstRow">
      <w:rPr>
        <w:b/>
        <w:bCs/>
      </w:rPr>
      <w:tcPr>
        <w:tcBorders>
          <w:bottom w:val="single" w:color="4F81BD" w:themeColor="accent1" w:sz="4" w:space="0"/>
        </w:tcBorders>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98">
    <w:name w:val="网格表 4 - 着色 41"/>
    <w:basedOn w:val="32"/>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CCE8C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paragraph" w:customStyle="1" w:styleId="199">
    <w:name w:val="A正文"/>
    <w:basedOn w:val="1"/>
    <w:link w:val="200"/>
    <w:qFormat/>
    <w:uiPriority w:val="0"/>
    <w:pPr>
      <w:spacing w:line="360" w:lineRule="auto"/>
      <w:ind w:firstLine="200" w:firstLineChars="200"/>
      <w:jc w:val="both"/>
    </w:pPr>
    <w:rPr>
      <w:rFonts w:ascii="Times New Roman" w:hAnsi="Times New Roman" w:cstheme="minorBidi"/>
      <w:color w:val="000000"/>
      <w:sz w:val="24"/>
      <w:szCs w:val="24"/>
    </w:rPr>
  </w:style>
  <w:style w:type="character" w:customStyle="1" w:styleId="200">
    <w:name w:val="A正文 Char"/>
    <w:basedOn w:val="36"/>
    <w:link w:val="199"/>
    <w:qFormat/>
    <w:uiPriority w:val="0"/>
    <w:rPr>
      <w:rFonts w:cstheme="minorBidi"/>
      <w:color w:val="000000"/>
      <w:sz w:val="24"/>
      <w:szCs w:val="24"/>
    </w:rPr>
  </w:style>
  <w:style w:type="table" w:customStyle="1" w:styleId="201">
    <w:name w:val="网格表 4 - 着色 511"/>
    <w:basedOn w:val="32"/>
    <w:qFormat/>
    <w:uiPriority w:val="49"/>
    <w:pPr>
      <w:jc w:val="center"/>
    </w:pPr>
    <w:tblPr>
      <w:jc w:val="cente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rPr>
      <w:jc w:val="center"/>
    </w:trPr>
    <w:tcPr>
      <w:vAlign w:val="center"/>
    </w:tcPr>
    <w:tblStylePr w:type="firstRow">
      <w:rPr>
        <w:b/>
        <w:bCs/>
        <w:color w:val="CCE8CF" w:themeColor="background1"/>
        <w14:textFill>
          <w14:solidFill>
            <w14:schemeClr w14:val="bg1"/>
          </w14:solidFill>
        </w14:textFill>
      </w:rPr>
      <w:tcPr>
        <w:shd w:val="clear" w:color="auto" w:fill="92CDDC" w:themeFill="accent5" w:themeFillTint="99"/>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202">
    <w:name w:val="网格表 2 - 着色 51"/>
    <w:basedOn w:val="32"/>
    <w:qFormat/>
    <w:uiPriority w:val="47"/>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Pr>
    <w:tblStylePr w:type="firstRow">
      <w:rPr>
        <w:b/>
        <w:bCs/>
      </w:rPr>
      <w:tcPr>
        <w:tcBorders>
          <w:top w:val="nil"/>
          <w:bottom w:val="single" w:color="92CDDC" w:themeColor="accent5" w:themeTint="99" w:sz="12" w:space="0"/>
          <w:insideH w:val="nil"/>
          <w:insideV w:val="nil"/>
        </w:tcBorders>
        <w:shd w:val="clear" w:color="auto" w:fill="CCE8CF" w:themeFill="background1"/>
      </w:tcPr>
    </w:tblStylePr>
    <w:tblStylePr w:type="lastRow">
      <w:rPr>
        <w:b/>
        <w:bCs/>
      </w:rPr>
      <w:tcPr>
        <w:tcBorders>
          <w:top w:val="double" w:color="92CDDC" w:themeColor="accent5" w:themeTint="99" w:sz="2" w:space="0"/>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paragraph" w:customStyle="1" w:styleId="203">
    <w:name w:val="A图表标题"/>
    <w:basedOn w:val="181"/>
    <w:link w:val="204"/>
    <w:qFormat/>
    <w:uiPriority w:val="0"/>
  </w:style>
  <w:style w:type="character" w:customStyle="1" w:styleId="204">
    <w:name w:val="A图表标题 Char"/>
    <w:basedOn w:val="182"/>
    <w:link w:val="203"/>
    <w:qFormat/>
    <w:uiPriority w:val="0"/>
    <w:rPr>
      <w:rFonts w:ascii="Times New Roman" w:hAnsi="Times New Roman" w:eastAsia="黑体" w:cs="Times New Roman"/>
      <w:color w:val="4F81BD" w:themeColor="accent1"/>
      <w:sz w:val="21"/>
      <w:szCs w:val="36"/>
      <w:lang w:val="zh-CN" w:eastAsia="zh-CN"/>
      <w14:textFill>
        <w14:solidFill>
          <w14:schemeClr w14:val="accent1"/>
        </w14:solidFill>
      </w14:textFill>
    </w:rPr>
  </w:style>
  <w:style w:type="paragraph" w:customStyle="1" w:styleId="205">
    <w:name w:val="A注"/>
    <w:basedOn w:val="1"/>
    <w:link w:val="206"/>
    <w:qFormat/>
    <w:uiPriority w:val="0"/>
    <w:rPr>
      <w:rFonts w:ascii="Times New Roman" w:hAnsi="Times New Roman" w:eastAsiaTheme="minorEastAsia" w:cstheme="minorBidi"/>
      <w:caps/>
      <w:sz w:val="18"/>
    </w:rPr>
  </w:style>
  <w:style w:type="character" w:customStyle="1" w:styleId="206">
    <w:name w:val="A注 Char"/>
    <w:basedOn w:val="36"/>
    <w:link w:val="205"/>
    <w:qFormat/>
    <w:uiPriority w:val="0"/>
    <w:rPr>
      <w:rFonts w:eastAsiaTheme="minorEastAsia" w:cstheme="minorBidi"/>
      <w:caps/>
      <w:sz w:val="18"/>
    </w:rPr>
  </w:style>
  <w:style w:type="paragraph" w:customStyle="1" w:styleId="207">
    <w:name w:val="中南民族大学 四级标题"/>
    <w:basedOn w:val="1"/>
    <w:qFormat/>
    <w:uiPriority w:val="0"/>
    <w:pPr>
      <w:keepNext/>
      <w:keepLines/>
      <w:widowControl w:val="0"/>
      <w:spacing w:before="163" w:beforeLines="50" w:after="163" w:afterLines="50" w:line="400" w:lineRule="atLeast"/>
      <w:ind w:firstLine="482" w:firstLineChars="200"/>
      <w:outlineLvl w:val="3"/>
    </w:pPr>
    <w:rPr>
      <w:rFonts w:ascii="黑体" w:hAnsi="黑体" w:eastAsia="黑体" w:cstheme="majorBidi"/>
      <w:b/>
      <w:bCs/>
      <w:color w:val="4F81BD" w:themeColor="accent1"/>
      <w:kern w:val="2"/>
      <w:sz w:val="24"/>
      <w:szCs w:val="24"/>
      <w14:textFill>
        <w14:solidFill>
          <w14:schemeClr w14:val="accent1"/>
        </w14:solidFill>
      </w14:textFill>
    </w:rPr>
  </w:style>
  <w:style w:type="paragraph" w:customStyle="1" w:styleId="208">
    <w:name w:val="L图表标题"/>
    <w:basedOn w:val="68"/>
    <w:link w:val="209"/>
    <w:qFormat/>
    <w:uiPriority w:val="0"/>
    <w:pPr>
      <w:widowControl w:val="0"/>
      <w:spacing w:afterLines="0"/>
      <w:ind w:firstLine="0" w:firstLineChars="0"/>
    </w:pPr>
    <w:rPr>
      <w:kern w:val="2"/>
      <w:sz w:val="21"/>
      <w:lang w:val="en-US"/>
    </w:rPr>
  </w:style>
  <w:style w:type="character" w:customStyle="1" w:styleId="209">
    <w:name w:val="L图表标题 Char"/>
    <w:basedOn w:val="69"/>
    <w:link w:val="208"/>
    <w:qFormat/>
    <w:uiPriority w:val="0"/>
    <w:rPr>
      <w:rFonts w:ascii="Times New Roman" w:hAnsi="Times New Roman" w:eastAsia="黑体" w:cs="Times New Roman"/>
      <w:kern w:val="2"/>
      <w:sz w:val="21"/>
      <w:szCs w:val="21"/>
    </w:rPr>
  </w:style>
  <w:style w:type="paragraph" w:customStyle="1" w:styleId="210">
    <w:name w:val="L注"/>
    <w:basedOn w:val="64"/>
    <w:link w:val="211"/>
    <w:qFormat/>
    <w:uiPriority w:val="0"/>
    <w:pPr>
      <w:spacing w:beforeLines="0" w:afterLines="0" w:line="240" w:lineRule="auto"/>
      <w:ind w:firstLine="0" w:firstLineChars="0"/>
    </w:pPr>
    <w:rPr>
      <w:rFonts w:cs="宋体" w:eastAsiaTheme="minorEastAsia"/>
      <w:color w:val="000000" w:themeColor="text1"/>
      <w:sz w:val="18"/>
      <w:szCs w:val="18"/>
      <w:lang w:val="en-US"/>
      <w14:textFill>
        <w14:solidFill>
          <w14:schemeClr w14:val="tx1"/>
        </w14:solidFill>
      </w14:textFill>
    </w:rPr>
  </w:style>
  <w:style w:type="character" w:customStyle="1" w:styleId="211">
    <w:name w:val="L注 Char"/>
    <w:basedOn w:val="63"/>
    <w:link w:val="210"/>
    <w:qFormat/>
    <w:uiPriority w:val="0"/>
    <w:rPr>
      <w:rFonts w:ascii="宋体" w:hAnsi="宋体" w:cs="宋体" w:eastAsiaTheme="minorEastAsia"/>
      <w:color w:val="000000" w:themeColor="text1"/>
      <w:kern w:val="0"/>
      <w:sz w:val="18"/>
      <w:szCs w:val="18"/>
      <w14:textFill>
        <w14:solidFill>
          <w14:schemeClr w14:val="tx1"/>
        </w14:solidFill>
      </w14:textFill>
    </w:rPr>
  </w:style>
  <w:style w:type="table" w:customStyle="1" w:styleId="212">
    <w:name w:val="网格表 4 - 着色 12"/>
    <w:basedOn w:val="32"/>
    <w:qFormat/>
    <w:uiPriority w:val="49"/>
    <w:pPr>
      <w:spacing w:before="100"/>
      <w:jc w:val="center"/>
    </w:pPr>
    <w:rPr>
      <w:rFonts w:eastAsiaTheme="minorEastAsia" w:cstheme="minorBidi"/>
      <w:sz w:val="21"/>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cPr>
      <w:vAlign w:val="center"/>
    </w:tcPr>
    <w:tblStylePr w:type="firstRow">
      <w:rPr>
        <w:b/>
        <w:bCs/>
        <w:color w:val="CCE8CF" w:themeColor="background1"/>
        <w14:textFill>
          <w14:solidFill>
            <w14:schemeClr w14:val="bg1"/>
          </w14:solidFill>
        </w14:textFill>
      </w:rPr>
      <w:tblPr/>
      <w:trPr>
        <w:tblHeader/>
      </w:t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val="0"/>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213">
    <w:name w:val="清单表 4 - 着色 11"/>
    <w:basedOn w:val="32"/>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CCE8C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214">
    <w:name w:val="网格表 5 深色 - 着色 11"/>
    <w:basedOn w:val="32"/>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DBE5F1" w:themeFill="accent1"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4F81BD" w:themeFill="accent1"/>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4F81BD" w:themeFill="accent1"/>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4F81BD" w:themeFill="accent1"/>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table" w:customStyle="1" w:styleId="215">
    <w:name w:val="网格表 5 深色 - 着色 21"/>
    <w:basedOn w:val="32"/>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F2DBDB" w:themeFill="accent2"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C0504D" w:themeFill="accent2"/>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C0504D" w:themeFill="accent2"/>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C0504D" w:themeFill="accent2"/>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table" w:customStyle="1" w:styleId="216">
    <w:name w:val="网格表 5 深色 - 着色 32"/>
    <w:basedOn w:val="32"/>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EAF1DD" w:themeFill="accent3"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9BBB59" w:themeFill="accent3"/>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9BBB59" w:themeFill="accent3"/>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9BBB59" w:themeFill="accent3"/>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9BBB59" w:themeFill="accent3"/>
      </w:tcPr>
    </w:tblStylePr>
    <w:tblStylePr w:type="band1Vert">
      <w:tcPr>
        <w:shd w:val="clear" w:color="auto" w:fill="D6E3BC" w:themeFill="accent3" w:themeFillTint="66"/>
      </w:tcPr>
    </w:tblStylePr>
    <w:tblStylePr w:type="band1Horz">
      <w:tcPr>
        <w:shd w:val="clear" w:color="auto" w:fill="D6E3BC" w:themeFill="accent3" w:themeFillTint="66"/>
      </w:tcPr>
    </w:tblStylePr>
  </w:style>
  <w:style w:type="table" w:customStyle="1" w:styleId="217">
    <w:name w:val="网格表 5 深色 - 着色 61"/>
    <w:basedOn w:val="32"/>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FDE9D9" w:themeFill="accent6"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F79646" w:themeFill="accent6"/>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F79646" w:themeFill="accent6"/>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F79646" w:themeFill="accent6"/>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218">
    <w:name w:val="网格表 5 深色 - 着色 41"/>
    <w:basedOn w:val="32"/>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E5DFEC" w:themeFill="accent4"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8064A2" w:themeFill="accent4"/>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8064A2" w:themeFill="accent4"/>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8064A2" w:themeFill="accent4"/>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table" w:customStyle="1" w:styleId="219">
    <w:name w:val="网格表 5 深色 - 着色 51"/>
    <w:basedOn w:val="32"/>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DAEEF3" w:themeFill="accent5"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4BACC6" w:themeFill="accent5"/>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4BACC6" w:themeFill="accent5"/>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4BACC6" w:themeFill="accent5"/>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paragraph" w:customStyle="1" w:styleId="220">
    <w:name w:val="L 表格文字"/>
    <w:basedOn w:val="1"/>
    <w:link w:val="221"/>
    <w:qFormat/>
    <w:uiPriority w:val="0"/>
    <w:pPr>
      <w:jc w:val="center"/>
    </w:pPr>
    <w:rPr>
      <w:rFonts w:ascii="Times New Roman" w:hAnsi="Times New Roman"/>
      <w:kern w:val="2"/>
      <w:sz w:val="21"/>
      <w:szCs w:val="22"/>
    </w:rPr>
  </w:style>
  <w:style w:type="character" w:customStyle="1" w:styleId="221">
    <w:name w:val="L 表格文字 Char"/>
    <w:basedOn w:val="36"/>
    <w:link w:val="220"/>
    <w:qFormat/>
    <w:uiPriority w:val="0"/>
    <w:rPr>
      <w:kern w:val="2"/>
      <w:sz w:val="21"/>
      <w:szCs w:val="22"/>
    </w:rPr>
  </w:style>
  <w:style w:type="paragraph" w:customStyle="1" w:styleId="222">
    <w:name w:val="1111111图目录"/>
    <w:basedOn w:val="1"/>
    <w:link w:val="223"/>
    <w:qFormat/>
    <w:uiPriority w:val="0"/>
    <w:pPr>
      <w:spacing w:line="360" w:lineRule="auto"/>
      <w:jc w:val="center"/>
    </w:pPr>
    <w:rPr>
      <w:rFonts w:ascii="Times New Roman" w:hAnsi="Times New Roman" w:eastAsia="黑体"/>
      <w:b/>
      <w:caps/>
      <w:sz w:val="21"/>
      <w:szCs w:val="36"/>
      <w:lang w:val="zh-CN"/>
    </w:rPr>
  </w:style>
  <w:style w:type="character" w:customStyle="1" w:styleId="223">
    <w:name w:val="1111111图目录 Char"/>
    <w:basedOn w:val="36"/>
    <w:link w:val="222"/>
    <w:qFormat/>
    <w:uiPriority w:val="0"/>
    <w:rPr>
      <w:rFonts w:eastAsia="黑体"/>
      <w:b/>
      <w:caps/>
      <w:sz w:val="21"/>
      <w:szCs w:val="36"/>
      <w:lang w:val="zh-CN"/>
    </w:rPr>
  </w:style>
  <w:style w:type="table" w:customStyle="1" w:styleId="224">
    <w:name w:val="2017-20171"/>
    <w:basedOn w:val="32"/>
    <w:qFormat/>
    <w:uiPriority w:val="49"/>
    <w:pPr>
      <w:spacing w:before="100"/>
      <w:jc w:val="center"/>
    </w:pPr>
    <w:rPr>
      <w:rFonts w:ascii="Calibri" w:hAnsi="Calibri" w:eastAsia="Times New Roman"/>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25">
    <w:name w:val="2017-20172"/>
    <w:basedOn w:val="32"/>
    <w:qFormat/>
    <w:uiPriority w:val="49"/>
    <w:pPr>
      <w:spacing w:before="100"/>
      <w:jc w:val="center"/>
    </w:pPr>
    <w:rPr>
      <w:rFonts w:ascii="Calibri" w:hAnsi="Calibri" w:eastAsia="Times New Roman"/>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26">
    <w:name w:val="网格表 4 - 着色 52"/>
    <w:basedOn w:val="32"/>
    <w:qFormat/>
    <w:uiPriority w:val="49"/>
    <w:pPr>
      <w:jc w:val="center"/>
    </w:pPr>
    <w:tblPr>
      <w:jc w:val="center"/>
      <w:tblBorders>
        <w:top w:val="single" w:color="F0917B" w:sz="4" w:space="0"/>
        <w:left w:val="single" w:color="F0917B" w:sz="4" w:space="0"/>
        <w:bottom w:val="single" w:color="F0917B" w:sz="4" w:space="0"/>
        <w:right w:val="single" w:color="F0917B" w:sz="4" w:space="0"/>
        <w:insideH w:val="single" w:color="F0917B" w:sz="4" w:space="0"/>
        <w:insideV w:val="single" w:color="F0917B" w:sz="4" w:space="0"/>
      </w:tblBorders>
    </w:tblPr>
    <w:trPr>
      <w:jc w:val="center"/>
    </w:trPr>
    <w:tcPr>
      <w:vAlign w:val="center"/>
    </w:tcPr>
    <w:tblStylePr w:type="firstRow">
      <w:rPr>
        <w:b/>
        <w:bCs/>
        <w:color w:val="FFFFFF"/>
      </w:rPr>
      <w:tcPr>
        <w:shd w:val="clear" w:color="auto" w:fill="F0917B"/>
      </w:tcPr>
    </w:tblStylePr>
    <w:tblStylePr w:type="lastRow">
      <w:rPr>
        <w:b/>
        <w:bCs/>
      </w:rPr>
      <w:tcPr>
        <w:tcBorders>
          <w:top w:val="double" w:color="E64823" w:sz="4" w:space="0"/>
        </w:tcBorders>
      </w:tcPr>
    </w:tblStylePr>
    <w:tblStylePr w:type="firstCol">
      <w:rPr>
        <w:b/>
        <w:bCs/>
      </w:rPr>
    </w:tblStylePr>
    <w:tblStylePr w:type="lastCol">
      <w:rPr>
        <w:b/>
        <w:bCs/>
      </w:rPr>
    </w:tblStylePr>
    <w:tblStylePr w:type="band1Vert">
      <w:tcPr>
        <w:shd w:val="clear" w:color="auto" w:fill="FADAD3"/>
      </w:tcPr>
    </w:tblStylePr>
    <w:tblStylePr w:type="band1Horz">
      <w:tcPr>
        <w:shd w:val="clear" w:color="auto" w:fill="FADAD3"/>
      </w:tcPr>
    </w:tblStylePr>
  </w:style>
  <w:style w:type="table" w:customStyle="1" w:styleId="227">
    <w:name w:val="网格表 4 - 着色 53"/>
    <w:basedOn w:val="32"/>
    <w:qFormat/>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CCE8C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paragraph" w:customStyle="1" w:styleId="228">
    <w:name w:val="TOC 标题3"/>
    <w:basedOn w:val="3"/>
    <w:next w:val="1"/>
    <w:unhideWhenUsed/>
    <w:qFormat/>
    <w:uiPriority w:val="39"/>
    <w:pPr>
      <w:keepNext/>
      <w:keepLines/>
      <w:pBdr>
        <w:top w:val="none" w:color="auto" w:sz="0" w:space="0"/>
        <w:left w:val="none" w:color="auto" w:sz="0" w:space="0"/>
        <w:bottom w:val="none" w:color="auto" w:sz="0" w:space="0"/>
        <w:right w:val="none" w:color="auto" w:sz="0" w:space="0"/>
      </w:pBdr>
      <w:shd w:val="clear" w:color="auto" w:fill="auto"/>
      <w:spacing w:before="340" w:after="330" w:line="578" w:lineRule="auto"/>
      <w:outlineLvl w:val="9"/>
    </w:pPr>
    <w:rPr>
      <w:b/>
      <w:bCs/>
      <w:caps w:val="0"/>
      <w:color w:val="auto"/>
      <w:spacing w:val="0"/>
      <w:kern w:val="44"/>
      <w:sz w:val="44"/>
      <w:szCs w:val="44"/>
      <w:lang w:val="en-US"/>
    </w:rPr>
  </w:style>
  <w:style w:type="character" w:customStyle="1" w:styleId="229">
    <w:name w:val="未处理的提及1"/>
    <w:basedOn w:val="36"/>
    <w:unhideWhenUsed/>
    <w:qFormat/>
    <w:uiPriority w:val="99"/>
    <w:rPr>
      <w:color w:val="605E5C"/>
      <w:shd w:val="clear" w:color="auto" w:fill="E1DFDD"/>
    </w:rPr>
  </w:style>
  <w:style w:type="character" w:customStyle="1" w:styleId="230">
    <w:name w:val="fontstyle01"/>
    <w:basedOn w:val="36"/>
    <w:qFormat/>
    <w:uiPriority w:val="0"/>
    <w:rPr>
      <w:rFonts w:hint="eastAsia" w:ascii="宋体" w:hAnsi="宋体" w:eastAsia="宋体"/>
      <w:color w:val="000000"/>
      <w:sz w:val="24"/>
      <w:szCs w:val="24"/>
    </w:rPr>
  </w:style>
  <w:style w:type="character" w:customStyle="1" w:styleId="231">
    <w:name w:val="fontstyle21"/>
    <w:basedOn w:val="36"/>
    <w:qFormat/>
    <w:uiPriority w:val="0"/>
    <w:rPr>
      <w:rFonts w:hint="default" w:ascii="TimesNewRomanPSMT" w:hAnsi="TimesNewRomanPSMT"/>
      <w:color w:val="000000"/>
      <w:sz w:val="24"/>
      <w:szCs w:val="24"/>
    </w:rPr>
  </w:style>
  <w:style w:type="character" w:customStyle="1" w:styleId="232">
    <w:name w:val="fontstyle31"/>
    <w:basedOn w:val="36"/>
    <w:qFormat/>
    <w:uiPriority w:val="0"/>
    <w:rPr>
      <w:rFonts w:hint="default" w:ascii="Calibri" w:hAnsi="Calibri"/>
      <w:color w:val="000000"/>
      <w:sz w:val="24"/>
      <w:szCs w:val="24"/>
    </w:rPr>
  </w:style>
  <w:style w:type="character" w:customStyle="1" w:styleId="233">
    <w:name w:val="未处理的提及2"/>
    <w:basedOn w:val="36"/>
    <w:unhideWhenUsed/>
    <w:qFormat/>
    <w:uiPriority w:val="99"/>
    <w:rPr>
      <w:color w:val="605E5C"/>
      <w:shd w:val="clear" w:color="auto" w:fill="E1DFDD"/>
    </w:rPr>
  </w:style>
  <w:style w:type="character" w:customStyle="1" w:styleId="234">
    <w:name w:val="未处理的提及3"/>
    <w:basedOn w:val="36"/>
    <w:unhideWhenUsed/>
    <w:qFormat/>
    <w:uiPriority w:val="99"/>
    <w:rPr>
      <w:color w:val="605E5C"/>
      <w:shd w:val="clear" w:color="auto" w:fill="E1DFDD"/>
    </w:rPr>
  </w:style>
  <w:style w:type="character" w:customStyle="1" w:styleId="235">
    <w:name w:val="未处理的提及4"/>
    <w:basedOn w:val="36"/>
    <w:unhideWhenUsed/>
    <w:qFormat/>
    <w:uiPriority w:val="99"/>
    <w:rPr>
      <w:color w:val="605E5C"/>
      <w:shd w:val="clear" w:color="auto" w:fill="E1DFDD"/>
    </w:rPr>
  </w:style>
  <w:style w:type="table" w:customStyle="1" w:styleId="236">
    <w:name w:val="网格表 6 彩色 - 着色 41"/>
    <w:basedOn w:val="32"/>
    <w:qFormat/>
    <w:uiPriority w:val="51"/>
    <w:rPr>
      <w:rFonts w:ascii="Calibri Light" w:hAnsi="Calibri Light"/>
      <w:color w:val="0C9A73"/>
    </w:rPr>
    <w:tblPr>
      <w:tblBorders>
        <w:top w:val="single" w:color="5FF2CA" w:sz="4" w:space="0"/>
        <w:left w:val="single" w:color="5FF2CA" w:sz="4" w:space="0"/>
        <w:bottom w:val="single" w:color="5FF2CA" w:sz="4" w:space="0"/>
        <w:right w:val="single" w:color="5FF2CA" w:sz="4" w:space="0"/>
        <w:insideH w:val="single" w:color="5FF2CA" w:sz="4" w:space="0"/>
        <w:insideV w:val="single" w:color="5FF2CA" w:sz="4" w:space="0"/>
      </w:tblBorders>
    </w:tblPr>
    <w:tblStylePr w:type="firstRow">
      <w:rPr>
        <w:b/>
        <w:bCs/>
      </w:rPr>
      <w:tcPr>
        <w:tcBorders>
          <w:top w:val="nil"/>
          <w:left w:val="nil"/>
          <w:bottom w:val="single" w:color="5FF2CA" w:sz="12" w:space="0"/>
          <w:right w:val="nil"/>
          <w:insideH w:val="nil"/>
          <w:insideV w:val="nil"/>
          <w:tl2br w:val="nil"/>
          <w:tr2bl w:val="nil"/>
        </w:tcBorders>
      </w:tcPr>
    </w:tblStylePr>
    <w:tblStylePr w:type="lastRow">
      <w:rPr>
        <w:b/>
        <w:bCs/>
      </w:rPr>
      <w:tcPr>
        <w:tcBorders>
          <w:top w:val="double" w:color="5FF2CA"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9FBED"/>
      </w:tcPr>
    </w:tblStylePr>
    <w:tblStylePr w:type="band1Horz">
      <w:tcPr>
        <w:shd w:val="clear" w:color="auto" w:fill="C9FBED"/>
      </w:tcPr>
    </w:tblStylePr>
  </w:style>
  <w:style w:type="character" w:customStyle="1" w:styleId="237">
    <w:name w:val="未处理的提及5"/>
    <w:basedOn w:val="36"/>
    <w:unhideWhenUsed/>
    <w:qFormat/>
    <w:uiPriority w:val="99"/>
    <w:rPr>
      <w:color w:val="605E5C"/>
      <w:shd w:val="clear" w:color="auto" w:fill="E1DFDD"/>
    </w:rPr>
  </w:style>
  <w:style w:type="character" w:customStyle="1" w:styleId="238">
    <w:name w:val="未处理的提及6"/>
    <w:basedOn w:val="36"/>
    <w:unhideWhenUsed/>
    <w:qFormat/>
    <w:uiPriority w:val="99"/>
    <w:rPr>
      <w:color w:val="605E5C"/>
      <w:shd w:val="clear" w:color="auto" w:fill="E1DFDD"/>
    </w:rPr>
  </w:style>
  <w:style w:type="table" w:customStyle="1" w:styleId="239">
    <w:name w:val="2017-20173"/>
    <w:basedOn w:val="32"/>
    <w:qFormat/>
    <w:uiPriority w:val="49"/>
    <w:rPr>
      <w:rFonts w:asciiTheme="minorHAnsi" w:hAnsiTheme="minorHAnsi" w:eastAsiaTheme="minorEastAsia" w:cstheme="minorBid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CCE8C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240">
    <w:name w:val="style11"/>
    <w:qFormat/>
    <w:uiPriority w:val="0"/>
    <w:rPr>
      <w:sz w:val="18"/>
      <w:szCs w:val="18"/>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5.jpeg"/><Relationship Id="rId91" Type="http://schemas.openxmlformats.org/officeDocument/2006/relationships/chart" Target="charts/chart77.xml"/><Relationship Id="rId90" Type="http://schemas.openxmlformats.org/officeDocument/2006/relationships/chart" Target="charts/chart76.xml"/><Relationship Id="rId9" Type="http://schemas.openxmlformats.org/officeDocument/2006/relationships/theme" Target="theme/theme1.xml"/><Relationship Id="rId89" Type="http://schemas.openxmlformats.org/officeDocument/2006/relationships/chart" Target="charts/chart75.xml"/><Relationship Id="rId88" Type="http://schemas.openxmlformats.org/officeDocument/2006/relationships/chart" Target="charts/chart74.xml"/><Relationship Id="rId87" Type="http://schemas.openxmlformats.org/officeDocument/2006/relationships/chart" Target="charts/chart73.xml"/><Relationship Id="rId86" Type="http://schemas.openxmlformats.org/officeDocument/2006/relationships/chart" Target="charts/chart72.xml"/><Relationship Id="rId85" Type="http://schemas.openxmlformats.org/officeDocument/2006/relationships/chart" Target="charts/chart71.xml"/><Relationship Id="rId84" Type="http://schemas.openxmlformats.org/officeDocument/2006/relationships/chart" Target="charts/chart70.xml"/><Relationship Id="rId83" Type="http://schemas.openxmlformats.org/officeDocument/2006/relationships/chart" Target="charts/chart69.xml"/><Relationship Id="rId82" Type="http://schemas.openxmlformats.org/officeDocument/2006/relationships/chart" Target="charts/chart68.xml"/><Relationship Id="rId81" Type="http://schemas.openxmlformats.org/officeDocument/2006/relationships/chart" Target="charts/chart67.xml"/><Relationship Id="rId80" Type="http://schemas.openxmlformats.org/officeDocument/2006/relationships/chart" Target="charts/chart66.xml"/><Relationship Id="rId8" Type="http://schemas.openxmlformats.org/officeDocument/2006/relationships/footer" Target="footer3.xml"/><Relationship Id="rId79" Type="http://schemas.openxmlformats.org/officeDocument/2006/relationships/chart" Target="charts/chart65.xml"/><Relationship Id="rId78" Type="http://schemas.openxmlformats.org/officeDocument/2006/relationships/chart" Target="charts/chart64.xml"/><Relationship Id="rId77" Type="http://schemas.openxmlformats.org/officeDocument/2006/relationships/chart" Target="charts/chart63.xml"/><Relationship Id="rId76" Type="http://schemas.openxmlformats.org/officeDocument/2006/relationships/chart" Target="charts/chart62.xml"/><Relationship Id="rId75" Type="http://schemas.openxmlformats.org/officeDocument/2006/relationships/chart" Target="charts/chart61.xml"/><Relationship Id="rId74" Type="http://schemas.openxmlformats.org/officeDocument/2006/relationships/chart" Target="charts/chart60.xml"/><Relationship Id="rId73" Type="http://schemas.openxmlformats.org/officeDocument/2006/relationships/chart" Target="charts/chart59.xml"/><Relationship Id="rId72" Type="http://schemas.openxmlformats.org/officeDocument/2006/relationships/chart" Target="charts/chart58.xml"/><Relationship Id="rId71" Type="http://schemas.openxmlformats.org/officeDocument/2006/relationships/chart" Target="charts/chart57.xml"/><Relationship Id="rId70" Type="http://schemas.openxmlformats.org/officeDocument/2006/relationships/chart" Target="charts/chart56.xml"/><Relationship Id="rId7" Type="http://schemas.openxmlformats.org/officeDocument/2006/relationships/header" Target="header2.xml"/><Relationship Id="rId69" Type="http://schemas.openxmlformats.org/officeDocument/2006/relationships/chart" Target="charts/chart55.xml"/><Relationship Id="rId68" Type="http://schemas.openxmlformats.org/officeDocument/2006/relationships/chart" Target="charts/chart54.xml"/><Relationship Id="rId67" Type="http://schemas.openxmlformats.org/officeDocument/2006/relationships/chart" Target="charts/chart53.xml"/><Relationship Id="rId66" Type="http://schemas.openxmlformats.org/officeDocument/2006/relationships/chart" Target="charts/chart52.xml"/><Relationship Id="rId65" Type="http://schemas.openxmlformats.org/officeDocument/2006/relationships/chart" Target="charts/chart51.xml"/><Relationship Id="rId64" Type="http://schemas.openxmlformats.org/officeDocument/2006/relationships/chart" Target="charts/chart50.xml"/><Relationship Id="rId63" Type="http://schemas.openxmlformats.org/officeDocument/2006/relationships/chart" Target="charts/chart49.xml"/><Relationship Id="rId62" Type="http://schemas.openxmlformats.org/officeDocument/2006/relationships/chart" Target="charts/chart48.xml"/><Relationship Id="rId61" Type="http://schemas.openxmlformats.org/officeDocument/2006/relationships/chart" Target="charts/chart47.xml"/><Relationship Id="rId60" Type="http://schemas.openxmlformats.org/officeDocument/2006/relationships/chart" Target="charts/chart46.xml"/><Relationship Id="rId6" Type="http://schemas.openxmlformats.org/officeDocument/2006/relationships/footer" Target="footer2.xml"/><Relationship Id="rId59" Type="http://schemas.openxmlformats.org/officeDocument/2006/relationships/chart" Target="charts/chart45.xml"/><Relationship Id="rId58" Type="http://schemas.openxmlformats.org/officeDocument/2006/relationships/chart" Target="charts/chart44.xml"/><Relationship Id="rId57" Type="http://schemas.openxmlformats.org/officeDocument/2006/relationships/chart" Target="charts/chart43.xml"/><Relationship Id="rId56" Type="http://schemas.openxmlformats.org/officeDocument/2006/relationships/chart" Target="charts/chart42.xml"/><Relationship Id="rId55" Type="http://schemas.openxmlformats.org/officeDocument/2006/relationships/chart" Target="charts/chart41.xml"/><Relationship Id="rId54" Type="http://schemas.openxmlformats.org/officeDocument/2006/relationships/chart" Target="charts/chart40.xml"/><Relationship Id="rId53" Type="http://schemas.openxmlformats.org/officeDocument/2006/relationships/chart" Target="charts/chart39.xml"/><Relationship Id="rId52" Type="http://schemas.openxmlformats.org/officeDocument/2006/relationships/chart" Target="charts/chart38.xml"/><Relationship Id="rId51" Type="http://schemas.openxmlformats.org/officeDocument/2006/relationships/chart" Target="charts/chart37.xml"/><Relationship Id="rId50" Type="http://schemas.openxmlformats.org/officeDocument/2006/relationships/chart" Target="charts/chart36.xml"/><Relationship Id="rId5" Type="http://schemas.openxmlformats.org/officeDocument/2006/relationships/footer" Target="footer1.xml"/><Relationship Id="rId49" Type="http://schemas.openxmlformats.org/officeDocument/2006/relationships/chart" Target="charts/chart35.xml"/><Relationship Id="rId48" Type="http://schemas.openxmlformats.org/officeDocument/2006/relationships/chart" Target="charts/chart34.xml"/><Relationship Id="rId47" Type="http://schemas.openxmlformats.org/officeDocument/2006/relationships/chart" Target="charts/chart33.xml"/><Relationship Id="rId46" Type="http://schemas.openxmlformats.org/officeDocument/2006/relationships/chart" Target="charts/chart32.xml"/><Relationship Id="rId45" Type="http://schemas.openxmlformats.org/officeDocument/2006/relationships/chart" Target="charts/chart31.xml"/><Relationship Id="rId44" Type="http://schemas.openxmlformats.org/officeDocument/2006/relationships/chart" Target="charts/chart30.xml"/><Relationship Id="rId43" Type="http://schemas.openxmlformats.org/officeDocument/2006/relationships/chart" Target="charts/chart29.xml"/><Relationship Id="rId42" Type="http://schemas.openxmlformats.org/officeDocument/2006/relationships/chart" Target="charts/chart28.xml"/><Relationship Id="rId41" Type="http://schemas.openxmlformats.org/officeDocument/2006/relationships/chart" Target="charts/chart27.xml"/><Relationship Id="rId40" Type="http://schemas.openxmlformats.org/officeDocument/2006/relationships/chart" Target="charts/chart26.xml"/><Relationship Id="rId4" Type="http://schemas.openxmlformats.org/officeDocument/2006/relationships/header" Target="header1.xml"/><Relationship Id="rId39" Type="http://schemas.openxmlformats.org/officeDocument/2006/relationships/chart" Target="charts/chart25.xml"/><Relationship Id="rId38" Type="http://schemas.openxmlformats.org/officeDocument/2006/relationships/chart" Target="charts/chart24.xml"/><Relationship Id="rId37" Type="http://schemas.openxmlformats.org/officeDocument/2006/relationships/chart" Target="charts/chart23.xml"/><Relationship Id="rId36" Type="http://schemas.openxmlformats.org/officeDocument/2006/relationships/chart" Target="charts/chart22.xml"/><Relationship Id="rId35" Type="http://schemas.openxmlformats.org/officeDocument/2006/relationships/chart" Target="charts/chart21.xml"/><Relationship Id="rId34" Type="http://schemas.openxmlformats.org/officeDocument/2006/relationships/chart" Target="charts/chart20.xml"/><Relationship Id="rId33" Type="http://schemas.openxmlformats.org/officeDocument/2006/relationships/chart" Target="charts/chart19.xml"/><Relationship Id="rId32" Type="http://schemas.openxmlformats.org/officeDocument/2006/relationships/chart" Target="charts/chart18.xml"/><Relationship Id="rId31" Type="http://schemas.openxmlformats.org/officeDocument/2006/relationships/chart" Target="charts/chart17.xml"/><Relationship Id="rId30" Type="http://schemas.openxmlformats.org/officeDocument/2006/relationships/chart" Target="charts/chart16.xml"/><Relationship Id="rId3" Type="http://schemas.openxmlformats.org/officeDocument/2006/relationships/footnotes" Target="footnotes.xml"/><Relationship Id="rId29" Type="http://schemas.openxmlformats.org/officeDocument/2006/relationships/chart" Target="charts/chart15.xml"/><Relationship Id="rId28" Type="http://schemas.openxmlformats.org/officeDocument/2006/relationships/chart" Target="charts/chart14.xml"/><Relationship Id="rId27" Type="http://schemas.openxmlformats.org/officeDocument/2006/relationships/chart" Target="charts/chart13.xml"/><Relationship Id="rId26" Type="http://schemas.openxmlformats.org/officeDocument/2006/relationships/chart" Target="charts/chart12.xml"/><Relationship Id="rId25" Type="http://schemas.openxmlformats.org/officeDocument/2006/relationships/chart" Target="charts/chart11.xml"/><Relationship Id="rId24" Type="http://schemas.openxmlformats.org/officeDocument/2006/relationships/chart" Target="charts/chart10.xml"/><Relationship Id="rId23" Type="http://schemas.openxmlformats.org/officeDocument/2006/relationships/chart" Target="charts/chart9.xml"/><Relationship Id="rId22" Type="http://schemas.openxmlformats.org/officeDocument/2006/relationships/chart" Target="charts/chart8.xml"/><Relationship Id="rId21" Type="http://schemas.openxmlformats.org/officeDocument/2006/relationships/chart" Target="charts/chart7.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svg"/><Relationship Id="rId13" Type="http://schemas.openxmlformats.org/officeDocument/2006/relationships/image" Target="media/image4.png"/><Relationship Id="rId12" Type="http://schemas.openxmlformats.org/officeDocument/2006/relationships/image" Target="media/image1.sv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12.xlsx"/></Relationships>
</file>

<file path=word/charts/_rels/chart10.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13.xlsx"/></Relationships>
</file>

<file path=word/charts/_rels/chart1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8.xlsx"/></Relationships>
</file>

<file path=word/charts/_rels/chart1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3.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9.xlsx"/></Relationships>
</file>

<file path=word/charts/_rels/chart14.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15.xlsx"/></Relationships>
</file>

<file path=word/charts/_rels/chart1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1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1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1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Users/zhengmeijia/Desktop/&#39532;&#39567;2021&#25253;&#21578;&#27719;&#24635;/&#38108;&#20161;&#23398;&#38498;&#24180;&#25253;2021/&#20998;&#26512;&#32467;&#26524;/&#27605;&#19994;&#29983;&#22522;&#26412;&#24773;&#20917;.xlsx" TargetMode="External"/></Relationships>
</file>

<file path=word/charts/_rels/chart19.xml.rels><?xml version="1.0" encoding="UTF-8" standalone="yes"?>
<Relationships xmlns="http://schemas.openxmlformats.org/package/2006/relationships"><Relationship Id="rId4" Type="http://schemas.microsoft.com/office/2011/relationships/chartColorStyle" Target="colors20.xml"/><Relationship Id="rId3" Type="http://schemas.microsoft.com/office/2011/relationships/chartStyle" Target="style20.xml"/><Relationship Id="rId2" Type="http://schemas.openxmlformats.org/officeDocument/2006/relationships/image" Target="../media/image6.png"/><Relationship Id="rId1" Type="http://schemas.openxmlformats.org/officeDocument/2006/relationships/package" Target="../embeddings/Workbook16.xlsx"/></Relationships>
</file>

<file path=word/charts/_rels/chart2.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Users/zhengmeijia/Desktop/&#39532;&#39567;2021&#25253;&#21578;&#27719;&#24635;/&#38108;&#20161;&#23398;&#38498;&#24180;&#25253;2021/&#20998;&#26512;&#32467;&#26524;/&#27605;&#19994;&#29983;&#22522;&#26412;&#24773;&#20917;.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package" Target="../embeddings/Workbook17.xlsx"/></Relationships>
</file>

<file path=word/charts/_rels/chart21.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package" Target="../embeddings/Workbook27.xlsx"/></Relationships>
</file>

<file path=word/charts/_rels/chart22.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package" Target="../embeddings/Workbook23.xlsx"/></Relationships>
</file>

<file path=word/charts/_rels/chart23.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package" Target="../embeddings/Workbook22.xlsx"/></Relationships>
</file>

<file path=word/charts/_rels/chart24.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package" Target="../embeddings/Workbook21.xlsx"/></Relationships>
</file>

<file path=word/charts/_rels/chart25.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package" Target="../embeddings/Workbook28.xlsx"/></Relationships>
</file>

<file path=word/charts/_rels/chart26.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Users/zhengmeijia/Desktop/&#39532;&#39567;2021&#25253;&#21578;&#27719;&#24635;/&#38108;&#20161;&#23398;&#38498;&#24180;&#25253;2021/&#20998;&#26512;&#32467;&#26524;/&#27605;&#19994;&#29983;&#22522;&#26412;&#24773;&#20917;.xlsx" TargetMode="External"/></Relationships>
</file>

<file path=word/charts/_rels/chart27.xml.rels><?xml version="1.0" encoding="UTF-8" standalone="yes"?>
<Relationships xmlns="http://schemas.openxmlformats.org/package/2006/relationships"><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package" Target="../embeddings/Workbook20.xlsx"/></Relationships>
</file>

<file path=word/charts/_rels/chart28.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package" Target="../embeddings/Workbook19.xlsx"/></Relationships>
</file>

<file path=word/charts/_rels/chart29.xml.rels><?xml version="1.0" encoding="UTF-8" standalone="yes"?>
<Relationships xmlns="http://schemas.openxmlformats.org/package/2006/relationships"><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package" Target="../embeddings/Workbook18.xlsx"/></Relationships>
</file>

<file path=word/charts/_rels/chart3.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1.xlsx"/></Relationships>
</file>

<file path=word/charts/_rels/chart30.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package" Target="../embeddings/Workbook25.xlsx"/></Relationships>
</file>

<file path=word/charts/_rels/chart31.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package" Target="../embeddings/Workbook26.xlsx"/></Relationships>
</file>

<file path=word/charts/_rels/chart32.xml.rels><?xml version="1.0" encoding="UTF-8" standalone="yes"?>
<Relationships xmlns="http://schemas.openxmlformats.org/package/2006/relationships"><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package" Target="../embeddings/Workbook24.xlsx"/></Relationships>
</file>

<file path=word/charts/_rels/chart33.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package" Target="../embeddings/Workbook14.xlsx"/></Relationships>
</file>

<file path=word/charts/_rels/chart34.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package" Target="../embeddings/Workbook47.xlsx"/></Relationships>
</file>

<file path=word/charts/_rels/chart35.xml.rels><?xml version="1.0" encoding="UTF-8" standalone="yes"?>
<Relationships xmlns="http://schemas.openxmlformats.org/package/2006/relationships"><Relationship Id="rId4" Type="http://schemas.microsoft.com/office/2011/relationships/chartColorStyle" Target="colors46.xml"/><Relationship Id="rId3" Type="http://schemas.microsoft.com/office/2011/relationships/chartStyle" Target="style46.xml"/><Relationship Id="rId2" Type="http://schemas.openxmlformats.org/officeDocument/2006/relationships/themeOverride" Target="../theme/themeOverride6.xml"/><Relationship Id="rId1" Type="http://schemas.openxmlformats.org/officeDocument/2006/relationships/oleObject" Target="/Users/zhengmeijia/Desktop/&#39532;&#39567;2021&#25253;&#21578;&#27719;&#24635;/&#38108;&#20161;&#23398;&#38498;&#24180;&#25253;2021/&#20998;&#26512;&#32467;&#26524;/&#27605;&#19994;&#29983;&#35843;&#30740;&#25968;&#25454;&#20998;&#26512;&#32467;&#26524;.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package" Target="../embeddings/Workbook44.xlsx"/></Relationships>
</file>

<file path=word/charts/_rels/chart37.xml.rels><?xml version="1.0" encoding="UTF-8" standalone="yes"?>
<Relationships xmlns="http://schemas.openxmlformats.org/package/2006/relationships"><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package" Target="../embeddings/Workbook52.xlsx"/></Relationships>
</file>

<file path=word/charts/_rels/chart38.xml.rels><?xml version="1.0" encoding="UTF-8" standalone="yes"?>
<Relationships xmlns="http://schemas.openxmlformats.org/package/2006/relationships"><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package" Target="../embeddings/Workbook33.xlsx"/></Relationships>
</file>

<file path=word/charts/_rels/chart39.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package" Target="../embeddings/Workbook30.xlsx"/></Relationships>
</file>

<file path=word/charts/_rels/chart4.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Users/zhengmeijia/Desktop/&#39532;&#39567;2021&#25253;&#21578;&#27719;&#24635;/&#38108;&#20161;&#23398;&#38498;&#24180;&#25253;2021/&#20998;&#26512;&#32467;&#26524;/&#27605;&#19994;&#29983;&#22522;&#26412;&#24773;&#20917;.xlsx" TargetMode="External"/></Relationships>
</file>

<file path=word/charts/_rels/chart40.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package" Target="../embeddings/Workbook38.xlsx"/></Relationships>
</file>

<file path=word/charts/_rels/chart41.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package" Target="../embeddings/Workbook32.xlsx"/></Relationships>
</file>

<file path=word/charts/_rels/chart42.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package" Target="../embeddings/Workbook41.xlsx"/></Relationships>
</file>

<file path=word/charts/_rels/chart43.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package" Target="../embeddings/Workbook39.xlsx"/></Relationships>
</file>

<file path=word/charts/_rels/chart44.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package" Target="../embeddings/Workbook43.xlsx"/></Relationships>
</file>

<file path=word/charts/_rels/chart45.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package" Target="../embeddings/Workbook29.xlsx"/></Relationships>
</file>

<file path=word/charts/_rels/chart46.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package" Target="../embeddings/Workbook31.xlsx"/></Relationships>
</file>

<file path=word/charts/_rels/chart47.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package" Target="../embeddings/Workbook36.xlsx"/></Relationships>
</file>

<file path=word/charts/_rels/chart48.xml.rels><?xml version="1.0" encoding="UTF-8" standalone="yes"?>
<Relationships xmlns="http://schemas.openxmlformats.org/package/2006/relationships"><Relationship Id="rId4" Type="http://schemas.microsoft.com/office/2011/relationships/chartColorStyle" Target="colors44.xml"/><Relationship Id="rId3" Type="http://schemas.microsoft.com/office/2011/relationships/chartStyle" Target="style44.xml"/><Relationship Id="rId2" Type="http://schemas.openxmlformats.org/officeDocument/2006/relationships/themeOverride" Target="../theme/themeOverride4.xml"/><Relationship Id="rId1" Type="http://schemas.openxmlformats.org/officeDocument/2006/relationships/package" Target="../embeddings/Workbook45.xlsx"/></Relationships>
</file>

<file path=word/charts/_rels/chart49.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package" Target="../embeddings/Workbook48.xlsx"/></Relationships>
</file>

<file path=word/charts/_rels/chart5.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Users/zhengmeijia/Desktop/&#39532;&#39567;2021&#25253;&#21578;&#27719;&#24635;/&#38108;&#20161;&#23398;&#38498;&#24180;&#25253;2021/&#20998;&#26512;&#32467;&#26524;/&#27605;&#19994;&#29983;&#22522;&#26412;&#24773;&#20917;.xlsx" TargetMode="External"/></Relationships>
</file>

<file path=word/charts/_rels/chart50.xml.rels><?xml version="1.0" encoding="UTF-8" standalone="yes"?>
<Relationships xmlns="http://schemas.openxmlformats.org/package/2006/relationships"><Relationship Id="rId4" Type="http://schemas.microsoft.com/office/2011/relationships/chartColorStyle" Target="colors35.xml"/><Relationship Id="rId3" Type="http://schemas.microsoft.com/office/2011/relationships/chartStyle" Target="style35.xml"/><Relationship Id="rId2" Type="http://schemas.openxmlformats.org/officeDocument/2006/relationships/themeOverride" Target="../theme/themeOverride1.xml"/><Relationship Id="rId1" Type="http://schemas.openxmlformats.org/officeDocument/2006/relationships/package" Target="../embeddings/Workbook34.xlsx"/></Relationships>
</file>

<file path=word/charts/_rels/chart51.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package" Target="../embeddings/Workbook49.xlsx"/></Relationships>
</file>

<file path=word/charts/_rels/chart52.xml.rels><?xml version="1.0" encoding="UTF-8" standalone="yes"?>
<Relationships xmlns="http://schemas.openxmlformats.org/package/2006/relationships"><Relationship Id="rId4" Type="http://schemas.microsoft.com/office/2011/relationships/chartColorStyle" Target="colors37.xml"/><Relationship Id="rId3" Type="http://schemas.microsoft.com/office/2011/relationships/chartStyle" Target="style37.xml"/><Relationship Id="rId2" Type="http://schemas.openxmlformats.org/officeDocument/2006/relationships/themeOverride" Target="../theme/themeOverride2.xml"/><Relationship Id="rId1" Type="http://schemas.openxmlformats.org/officeDocument/2006/relationships/package" Target="../embeddings/Workbook37.xlsx"/></Relationships>
</file>

<file path=word/charts/_rels/chart53.xml.rels><?xml version="1.0" encoding="UTF-8" standalone="yes"?>
<Relationships xmlns="http://schemas.openxmlformats.org/package/2006/relationships"><Relationship Id="rId4" Type="http://schemas.microsoft.com/office/2011/relationships/chartColorStyle" Target="colors45.xml"/><Relationship Id="rId3" Type="http://schemas.microsoft.com/office/2011/relationships/chartStyle" Target="style45.xml"/><Relationship Id="rId2" Type="http://schemas.openxmlformats.org/officeDocument/2006/relationships/themeOverride" Target="../theme/themeOverride5.xml"/><Relationship Id="rId1" Type="http://schemas.openxmlformats.org/officeDocument/2006/relationships/package" Target="../embeddings/Workbook46.xlsx"/></Relationships>
</file>

<file path=word/charts/_rels/chart54.xml.rels><?xml version="1.0" encoding="UTF-8" standalone="yes"?>
<Relationships xmlns="http://schemas.openxmlformats.org/package/2006/relationships"><Relationship Id="rId4" Type="http://schemas.microsoft.com/office/2011/relationships/chartColorStyle" Target="colors51.xml"/><Relationship Id="rId3" Type="http://schemas.microsoft.com/office/2011/relationships/chartStyle" Target="style51.xml"/><Relationship Id="rId2" Type="http://schemas.openxmlformats.org/officeDocument/2006/relationships/themeOverride" Target="../theme/themeOverride8.xml"/><Relationship Id="rId1" Type="http://schemas.openxmlformats.org/officeDocument/2006/relationships/package" Target="../embeddings/Workbook51.xlsx"/></Relationships>
</file>

<file path=word/charts/_rels/chart55.xml.rels><?xml version="1.0" encoding="UTF-8" standalone="yes"?>
<Relationships xmlns="http://schemas.openxmlformats.org/package/2006/relationships"><Relationship Id="rId4" Type="http://schemas.microsoft.com/office/2011/relationships/chartColorStyle" Target="colors52.xml"/><Relationship Id="rId3" Type="http://schemas.microsoft.com/office/2011/relationships/chartStyle" Target="style52.xml"/><Relationship Id="rId2" Type="http://schemas.openxmlformats.org/officeDocument/2006/relationships/themeOverride" Target="../theme/themeOverride9.xml"/><Relationship Id="rId1" Type="http://schemas.openxmlformats.org/officeDocument/2006/relationships/package" Target="../embeddings/Workbook53.xlsx"/></Relationships>
</file>

<file path=word/charts/_rels/chart56.xml.rels><?xml version="1.0" encoding="UTF-8" standalone="yes"?>
<Relationships xmlns="http://schemas.openxmlformats.org/package/2006/relationships"><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package" Target="../embeddings/Workbook40.xlsx"/></Relationships>
</file>

<file path=word/charts/_rels/chart57.xml.rels><?xml version="1.0" encoding="UTF-8" standalone="yes"?>
<Relationships xmlns="http://schemas.openxmlformats.org/package/2006/relationships"><Relationship Id="rId4" Type="http://schemas.microsoft.com/office/2011/relationships/chartColorStyle" Target="colors41.xml"/><Relationship Id="rId3" Type="http://schemas.microsoft.com/office/2011/relationships/chartStyle" Target="style41.xml"/><Relationship Id="rId2" Type="http://schemas.openxmlformats.org/officeDocument/2006/relationships/themeOverride" Target="../theme/themeOverride3.xml"/><Relationship Id="rId1" Type="http://schemas.openxmlformats.org/officeDocument/2006/relationships/package" Target="../embeddings/Workbook42.xlsx"/></Relationships>
</file>

<file path=word/charts/_rels/chart58.xml.rels><?xml version="1.0" encoding="UTF-8" standalone="yes"?>
<Relationships xmlns="http://schemas.openxmlformats.org/package/2006/relationships"><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package" Target="../embeddings/Workbook35.xlsx"/></Relationships>
</file>

<file path=word/charts/_rels/chart59.xml.rels><?xml version="1.0" encoding="UTF-8" standalone="yes"?>
<Relationships xmlns="http://schemas.openxmlformats.org/package/2006/relationships"><Relationship Id="rId4" Type="http://schemas.microsoft.com/office/2011/relationships/chartColorStyle" Target="colors50.xml"/><Relationship Id="rId3" Type="http://schemas.microsoft.com/office/2011/relationships/chartStyle" Target="style50.xml"/><Relationship Id="rId2" Type="http://schemas.openxmlformats.org/officeDocument/2006/relationships/themeOverride" Target="../theme/themeOverride7.xml"/><Relationship Id="rId1" Type="http://schemas.openxmlformats.org/officeDocument/2006/relationships/package" Target="../embeddings/Workbook50.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0.xml.rels><?xml version="1.0" encoding="UTF-8" standalone="yes"?>
<Relationships xmlns="http://schemas.openxmlformats.org/package/2006/relationships"><Relationship Id="rId4" Type="http://schemas.microsoft.com/office/2011/relationships/chartColorStyle" Target="colors67.xml"/><Relationship Id="rId3" Type="http://schemas.microsoft.com/office/2011/relationships/chartStyle" Target="style67.xml"/><Relationship Id="rId2" Type="http://schemas.openxmlformats.org/officeDocument/2006/relationships/themeOverride" Target="../theme/themeOverride15.xml"/><Relationship Id="rId1" Type="http://schemas.openxmlformats.org/officeDocument/2006/relationships/package" Target="../embeddings/Workbook66.xlsx"/></Relationships>
</file>

<file path=word/charts/_rels/chart61.xml.rels><?xml version="1.0" encoding="UTF-8" standalone="yes"?>
<Relationships xmlns="http://schemas.openxmlformats.org/package/2006/relationships"><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package" Target="../embeddings/Workbook61.xlsx"/></Relationships>
</file>

<file path=word/charts/_rels/chart62.xml.rels><?xml version="1.0" encoding="UTF-8" standalone="yes"?>
<Relationships xmlns="http://schemas.openxmlformats.org/package/2006/relationships"><Relationship Id="rId4" Type="http://schemas.microsoft.com/office/2011/relationships/chartColorStyle" Target="colors64.xml"/><Relationship Id="rId3" Type="http://schemas.microsoft.com/office/2011/relationships/chartStyle" Target="style64.xml"/><Relationship Id="rId2" Type="http://schemas.openxmlformats.org/officeDocument/2006/relationships/themeOverride" Target="../theme/themeOverride14.xml"/><Relationship Id="rId1" Type="http://schemas.openxmlformats.org/officeDocument/2006/relationships/package" Target="../embeddings/Workbook64.xlsx"/></Relationships>
</file>

<file path=word/charts/_rels/chart63.xml.rels><?xml version="1.0" encoding="UTF-8" standalone="yes"?>
<Relationships xmlns="http://schemas.openxmlformats.org/package/2006/relationships"><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eg"/><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package" Target="../embeddings/Workbook62.xlsx"/></Relationships>
</file>

<file path=word/charts/_rels/chart64.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package" Target="../embeddings/Workbook65.xlsx"/></Relationships>
</file>

<file path=word/charts/_rels/chart65.xml.rels><?xml version="1.0" encoding="UTF-8" standalone="yes"?>
<Relationships xmlns="http://schemas.openxmlformats.org/package/2006/relationships"><Relationship Id="rId4" Type="http://schemas.microsoft.com/office/2011/relationships/chartColorStyle" Target="colors59.xml"/><Relationship Id="rId3" Type="http://schemas.microsoft.com/office/2011/relationships/chartStyle" Target="style59.xml"/><Relationship Id="rId2" Type="http://schemas.openxmlformats.org/officeDocument/2006/relationships/themeOverride" Target="../theme/themeOverride13.xml"/><Relationship Id="rId1" Type="http://schemas.openxmlformats.org/officeDocument/2006/relationships/package" Target="../embeddings/Workbook58.xlsx"/></Relationships>
</file>

<file path=word/charts/_rels/chart66.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package" Target="../embeddings/Workbook59.xlsx"/></Relationships>
</file>

<file path=word/charts/_rels/chart67.xml.rels><?xml version="1.0" encoding="UTF-8" standalone="yes"?>
<Relationships xmlns="http://schemas.openxmlformats.org/package/2006/relationships"><Relationship Id="rId4" Type="http://schemas.microsoft.com/office/2011/relationships/chartColorStyle" Target="colors68.xml"/><Relationship Id="rId3" Type="http://schemas.microsoft.com/office/2011/relationships/chartStyle" Target="style68.xml"/><Relationship Id="rId2" Type="http://schemas.openxmlformats.org/officeDocument/2006/relationships/themeOverride" Target="../theme/themeOverride16.xml"/><Relationship Id="rId1" Type="http://schemas.openxmlformats.org/officeDocument/2006/relationships/package" Target="../embeddings/Workbook67.xlsx"/></Relationships>
</file>

<file path=word/charts/_rels/chart68.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package" Target="../embeddings/Workbook63.xlsx"/></Relationships>
</file>

<file path=word/charts/_rels/chart69.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package" Target="../embeddings/Workbook56.xlsx"/></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70.xml.rels><?xml version="1.0" encoding="UTF-8" standalone="yes"?>
<Relationships xmlns="http://schemas.openxmlformats.org/package/2006/relationships"><Relationship Id="rId4" Type="http://schemas.microsoft.com/office/2011/relationships/chartColorStyle" Target="colors57.xml"/><Relationship Id="rId3" Type="http://schemas.microsoft.com/office/2011/relationships/chartStyle" Target="style57.xml"/><Relationship Id="rId2" Type="http://schemas.openxmlformats.org/officeDocument/2006/relationships/themeOverride" Target="../theme/themeOverride11.xml"/><Relationship Id="rId1" Type="http://schemas.openxmlformats.org/officeDocument/2006/relationships/package" Target="../embeddings/Workbook57.xlsx"/></Relationships>
</file>

<file path=word/charts/_rels/chart71.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package" Target="../embeddings/Workbook54.xlsx"/></Relationships>
</file>

<file path=word/charts/_rels/chart72.xml.rels><?xml version="1.0" encoding="UTF-8" standalone="yes"?>
<Relationships xmlns="http://schemas.openxmlformats.org/package/2006/relationships"><Relationship Id="rId4" Type="http://schemas.microsoft.com/office/2011/relationships/chartColorStyle" Target="colors55.xml"/><Relationship Id="rId3" Type="http://schemas.microsoft.com/office/2011/relationships/chartStyle" Target="style55.xml"/><Relationship Id="rId2" Type="http://schemas.openxmlformats.org/officeDocument/2006/relationships/themeOverride" Target="../theme/themeOverride10.xml"/><Relationship Id="rId1" Type="http://schemas.openxmlformats.org/officeDocument/2006/relationships/package" Target="../embeddings/Workbook55.xlsx"/></Relationships>
</file>

<file path=word/charts/_rels/chart73.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package" Target="../embeddings/Workbook60.xlsx"/></Relationships>
</file>

<file path=word/charts/_rels/chart74.xml.rels><?xml version="1.0" encoding="UTF-8" standalone="yes"?>
<Relationships xmlns="http://schemas.openxmlformats.org/package/2006/relationships"><Relationship Id="rId4" Type="http://schemas.microsoft.com/office/2011/relationships/chartColorStyle" Target="colors58.xml"/><Relationship Id="rId3" Type="http://schemas.microsoft.com/office/2011/relationships/chartStyle" Target="style58.xml"/><Relationship Id="rId2" Type="http://schemas.openxmlformats.org/officeDocument/2006/relationships/themeOverride" Target="../theme/themeOverride12.xml"/><Relationship Id="rId1" Type="http://schemas.openxmlformats.org/officeDocument/2006/relationships/oleObject" Target="&#24037;&#20316;&#31807;1"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Users/zhengmeijia/Desktop/&#39532;&#39567;2021&#25253;&#21578;&#27719;&#24635;/&#38108;&#20161;&#23398;&#38498;&#24180;&#25253;2021/&#20998;&#26512;&#32467;&#26524;/&#36235;&#21183;&#20998;&#26512;.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Users/zhengmeijia/Desktop/&#39532;&#39567;2021&#25253;&#21578;&#27719;&#24635;/&#38108;&#20161;&#23398;&#38498;&#24180;&#25253;2021/&#20998;&#26512;&#32467;&#26524;/&#36235;&#21183;&#20998;&#26512;.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Users/zhengmeijia/Desktop/&#39532;&#39567;2021&#25253;&#21578;&#27719;&#24635;/&#38108;&#20161;&#23398;&#38498;&#24180;&#25253;2021/&#20998;&#26512;&#32467;&#26524;/&#36235;&#21183;&#20998;&#26512;.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0.xlsx"/></Relationships>
</file>

<file path=word/charts/_rels/chart9.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78970917225951"/>
          <c:y val="0.0955968801772119"/>
          <c:w val="0.921700223713647"/>
          <c:h val="0.830594739487351"/>
        </c:manualLayout>
      </c:layout>
      <c:ofPieChart>
        <c:ofPieType val="bar"/>
        <c:varyColors val="1"/>
        <c:ser>
          <c:idx val="0"/>
          <c:order val="0"/>
          <c:tx>
            <c:strRef>
              <c:f>Sheet1!$B$1</c:f>
              <c:strCache>
                <c:ptCount val="1"/>
                <c:pt idx="0">
                  <c:v>比例</c:v>
                </c:pt>
              </c:strCache>
            </c:strRef>
          </c:tx>
          <c:spPr/>
          <c:explosion val="0"/>
          <c:dPt>
            <c:idx val="0"/>
            <c:bubble3D val="0"/>
            <c:spPr>
              <a:solidFill>
                <a:schemeClr val="accent1">
                  <a:shade val="76667"/>
                </a:schemeClr>
              </a:solidFill>
              <a:ln w="19050">
                <a:solidFill>
                  <a:schemeClr val="lt1"/>
                </a:solidFill>
              </a:ln>
              <a:effectLst/>
            </c:spPr>
          </c:dPt>
          <c:dPt>
            <c:idx val="1"/>
            <c:bubble3D val="0"/>
            <c:spPr>
              <a:solidFill>
                <a:schemeClr val="accent2">
                  <a:shade val="76667"/>
                </a:schemeClr>
              </a:solidFill>
              <a:ln w="19050">
                <a:solidFill>
                  <a:schemeClr val="lt1"/>
                </a:solidFill>
              </a:ln>
              <a:effectLst/>
            </c:spPr>
          </c:dPt>
          <c:dPt>
            <c:idx val="2"/>
            <c:bubble3D val="0"/>
            <c:spPr>
              <a:solidFill>
                <a:schemeClr val="accent3">
                  <a:shade val="76667"/>
                </a:schemeClr>
              </a:solidFill>
              <a:ln w="19050">
                <a:solidFill>
                  <a:schemeClr val="lt1"/>
                </a:solidFill>
              </a:ln>
              <a:effectLst/>
            </c:spPr>
          </c:dPt>
          <c:dPt>
            <c:idx val="3"/>
            <c:bubble3D val="0"/>
            <c:spPr>
              <a:solidFill>
                <a:schemeClr val="accent4">
                  <a:shade val="76667"/>
                </a:schemeClr>
              </a:solidFill>
              <a:ln w="19050">
                <a:solidFill>
                  <a:schemeClr val="lt1"/>
                </a:solidFill>
              </a:ln>
              <a:effectLst/>
            </c:spPr>
          </c:dPt>
          <c:dPt>
            <c:idx val="4"/>
            <c:bubble3D val="0"/>
            <c:spPr>
              <a:solidFill>
                <a:schemeClr val="accent5">
                  <a:shade val="76667"/>
                </a:schemeClr>
              </a:solidFill>
              <a:ln w="19050">
                <a:solidFill>
                  <a:schemeClr val="lt1"/>
                </a:solidFill>
              </a:ln>
              <a:effectLst/>
            </c:spPr>
          </c:dPt>
          <c:dPt>
            <c:idx val="5"/>
            <c:bubble3D val="0"/>
            <c:spPr>
              <a:solidFill>
                <a:schemeClr val="accent6">
                  <a:shade val="76667"/>
                </a:schemeClr>
              </a:solidFill>
              <a:ln w="19050">
                <a:solidFill>
                  <a:schemeClr val="lt1"/>
                </a:solidFill>
              </a:ln>
              <a:effectLst/>
            </c:spPr>
          </c:dPt>
          <c:dPt>
            <c:idx val="6"/>
            <c:bubble3D val="0"/>
            <c:spPr>
              <a:solidFill>
                <a:schemeClr val="accent1">
                  <a:tint val="76667"/>
                </a:schemeClr>
              </a:solidFill>
              <a:ln w="19050">
                <a:solidFill>
                  <a:schemeClr val="lt1"/>
                </a:solidFill>
              </a:ln>
              <a:effectLst/>
            </c:spPr>
          </c:dPt>
          <c:dPt>
            <c:idx val="7"/>
            <c:bubble3D val="0"/>
            <c:spPr>
              <a:solidFill>
                <a:schemeClr val="accent2">
                  <a:tint val="76667"/>
                </a:schemeClr>
              </a:solidFill>
              <a:ln w="19050">
                <a:solidFill>
                  <a:schemeClr val="lt1"/>
                </a:solidFill>
              </a:ln>
              <a:effectLst/>
            </c:spPr>
          </c:dPt>
          <c:dLbls>
            <c:dLbl>
              <c:idx val="0"/>
              <c:layout>
                <c:manualLayout>
                  <c:x val="0.0868669371235707"/>
                  <c:y val="-0.36295046553646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00559260527216792"/>
                  <c:y val="-0.022627484064491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247009662699847"/>
                  <c:y val="-0.048176159997544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0483325277912035"/>
                  <c:y val="-0.04114441835121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
                  <c:y val="-0.014619883040935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200095230489686"/>
                  <c:y val="0.0037449491296610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0311293725561599"/>
                  <c:y val="0.051997905827600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0172042840282549"/>
                  <c:y val="0.0309499078572625"/>
                </c:manualLayout>
              </c:layout>
              <c:tx>
                <c:rich>
                  <a:bodyPr rot="0" spcFirstLastPara="0" vertOverflow="ellipsis" vert="horz" wrap="square" lIns="38100" tIns="19050" rIns="38100" bIns="19050" anchor="ctr" anchorCtr="1"/>
                  <a:lstStyle/>
                  <a:p>
                    <a:pPr>
                      <a:defRPr lang="zh-CN" sz="105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r>
                      <a:rPr sz="1050" b="0">
                        <a:latin typeface="宋体" panose="02010600030101010101" charset="-122"/>
                        <a:ea typeface="宋体" panose="02010600030101010101" charset="-122"/>
                        <a:cs typeface="宋体" panose="02010600030101010101" charset="-122"/>
                        <a:sym typeface="宋体" panose="02010600030101010101" charset="-122"/>
                      </a:rPr>
                      <a:t>省外,</a:t>
                    </a:r>
                    <a:endParaRPr sz="1050" b="0">
                      <a:latin typeface="宋体" panose="02010600030101010101" charset="-122"/>
                      <a:ea typeface="宋体" panose="02010600030101010101" charset="-122"/>
                      <a:cs typeface="宋体" panose="02010600030101010101" charset="-122"/>
                      <a:sym typeface="宋体" panose="02010600030101010101" charset="-122"/>
                    </a:endParaRPr>
                  </a:p>
                  <a:p>
                    <a:pPr>
                      <a:defRPr lang="zh-CN" sz="105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r>
                      <a:rPr lang="en-US" altLang="zh-CN" sz="1050" b="0">
                        <a:latin typeface="宋体" panose="02010600030101010101" charset="-122"/>
                        <a:ea typeface="宋体" panose="02010600030101010101" charset="-122"/>
                        <a:cs typeface="宋体" panose="02010600030101010101" charset="-122"/>
                        <a:sym typeface="宋体" panose="02010600030101010101" charset="-122"/>
                      </a:rPr>
                      <a:t>8.69</a:t>
                    </a:r>
                    <a:r>
                      <a:rPr sz="1050" b="0">
                        <a:latin typeface="宋体" panose="02010600030101010101" charset="-122"/>
                        <a:ea typeface="宋体" panose="02010600030101010101" charset="-122"/>
                        <a:cs typeface="宋体" panose="02010600030101010101" charset="-122"/>
                        <a:sym typeface="宋体" panose="02010600030101010101" charset="-122"/>
                      </a:rPr>
                      <a:t>%</a:t>
                    </a:r>
                    <a:endParaRPr sz="1050" b="0">
                      <a:latin typeface="宋体" panose="02010600030101010101" charset="-122"/>
                      <a:ea typeface="宋体" panose="02010600030101010101" charset="-122"/>
                      <a:cs typeface="宋体" panose="02010600030101010101" charset="-122"/>
                      <a:sym typeface="宋体" panose="02010600030101010101" charset="-122"/>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贵州省</c:v>
                </c:pt>
                <c:pt idx="1">
                  <c:v>湖南省</c:v>
                </c:pt>
                <c:pt idx="2">
                  <c:v>四川省</c:v>
                </c:pt>
                <c:pt idx="3">
                  <c:v>重庆市</c:v>
                </c:pt>
                <c:pt idx="4">
                  <c:v>河南省</c:v>
                </c:pt>
                <c:pt idx="5">
                  <c:v>江西省</c:v>
                </c:pt>
                <c:pt idx="6">
                  <c:v>广西壮族自治区</c:v>
                </c:pt>
              </c:strCache>
            </c:strRef>
          </c:cat>
          <c:val>
            <c:numRef>
              <c:f>Sheet1!$B$2:$B$8</c:f>
              <c:numCache>
                <c:formatCode>0.00%</c:formatCode>
                <c:ptCount val="7"/>
                <c:pt idx="0">
                  <c:v>0.913112164296998</c:v>
                </c:pt>
                <c:pt idx="1">
                  <c:v>0.0215903106898368</c:v>
                </c:pt>
                <c:pt idx="2">
                  <c:v>0.018957345971564</c:v>
                </c:pt>
                <c:pt idx="3">
                  <c:v>0.0163243812532912</c:v>
                </c:pt>
                <c:pt idx="4">
                  <c:v>0.00737230121116377</c:v>
                </c:pt>
                <c:pt idx="5">
                  <c:v>0.00684570826750922</c:v>
                </c:pt>
                <c:pt idx="6">
                  <c:v>0.00579252238020011</c:v>
                </c:pt>
              </c:numCache>
            </c:numRef>
          </c:val>
        </c:ser>
        <c:dLbls>
          <c:showLegendKey val="0"/>
          <c:showVal val="0"/>
          <c:showCatName val="0"/>
          <c:showSerName val="0"/>
          <c:showPercent val="0"/>
          <c:showBubbleSize val="0"/>
          <c:showLeaderLines val="0"/>
        </c:dLbls>
        <c:gapWidth val="100"/>
        <c:splitType val="pos"/>
        <c:splitPos val="6"/>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showDLblsOverMax val="0"/>
  </c:chart>
  <c:spPr>
    <a:noFill/>
    <a:ln w="9525" cap="flat" cmpd="sng" algn="ctr">
      <a:noFill/>
      <a:round/>
    </a:ln>
    <a:effectLst/>
  </c:spPr>
  <c:txPr>
    <a:bodyPr/>
    <a:lstStyle/>
    <a:p>
      <a:pPr>
        <a:defRPr lang="zh-CN" b="0">
          <a:latin typeface="宋体" panose="02010600030101010101" charset="-122"/>
          <a:ea typeface="宋体" panose="02010600030101010101" charset="-122"/>
          <a:cs typeface="宋体" panose="02010600030101010101" charset="-122"/>
          <a:sym typeface="宋体" panose="02010600030101010101"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比例</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Sheet1!$A$2:$A$13</c:f>
              <c:strCache>
                <c:ptCount val="12"/>
                <c:pt idx="0">
                  <c:v>其他</c:v>
                </c:pt>
                <c:pt idx="1">
                  <c:v>高等教育单位</c:v>
                </c:pt>
                <c:pt idx="2">
                  <c:v>科研设计单位</c:v>
                </c:pt>
                <c:pt idx="3">
                  <c:v>农村建制村</c:v>
                </c:pt>
                <c:pt idx="4">
                  <c:v>城镇社区</c:v>
                </c:pt>
                <c:pt idx="5">
                  <c:v>三资企业</c:v>
                </c:pt>
                <c:pt idx="6">
                  <c:v>医疗卫生单位</c:v>
                </c:pt>
                <c:pt idx="7">
                  <c:v>机关</c:v>
                </c:pt>
                <c:pt idx="8">
                  <c:v>其他事业单位</c:v>
                </c:pt>
                <c:pt idx="9">
                  <c:v>国有企业</c:v>
                </c:pt>
                <c:pt idx="10">
                  <c:v>中初教育单位</c:v>
                </c:pt>
                <c:pt idx="11">
                  <c:v>其他企业</c:v>
                </c:pt>
              </c:strCache>
            </c:strRef>
          </c:cat>
          <c:val>
            <c:numRef>
              <c:f>Sheet1!$B$2:$B$13</c:f>
              <c:numCache>
                <c:formatCode>0.00%</c:formatCode>
                <c:ptCount val="12"/>
                <c:pt idx="0">
                  <c:v>0.133021390374332</c:v>
                </c:pt>
                <c:pt idx="1">
                  <c:v>0.00133689839572193</c:v>
                </c:pt>
                <c:pt idx="2">
                  <c:v>0.00133689839572193</c:v>
                </c:pt>
                <c:pt idx="3">
                  <c:v>0.00334224598930481</c:v>
                </c:pt>
                <c:pt idx="4">
                  <c:v>0.00601604278074866</c:v>
                </c:pt>
                <c:pt idx="5">
                  <c:v>0.0140374331550802</c:v>
                </c:pt>
                <c:pt idx="6">
                  <c:v>0.0200534759358289</c:v>
                </c:pt>
                <c:pt idx="7">
                  <c:v>0.0287433155080214</c:v>
                </c:pt>
                <c:pt idx="8">
                  <c:v>0.0421122994652406</c:v>
                </c:pt>
                <c:pt idx="9">
                  <c:v>0.0521390374331551</c:v>
                </c:pt>
                <c:pt idx="10">
                  <c:v>0.0822192513368984</c:v>
                </c:pt>
                <c:pt idx="11">
                  <c:v>0.615641711229947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8"/>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比例</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其他</c:v>
                </c:pt>
                <c:pt idx="1">
                  <c:v>农村建制村</c:v>
                </c:pt>
                <c:pt idx="2">
                  <c:v>城镇社区</c:v>
                </c:pt>
                <c:pt idx="3">
                  <c:v>三资企业</c:v>
                </c:pt>
                <c:pt idx="4">
                  <c:v>医疗卫生单位</c:v>
                </c:pt>
                <c:pt idx="5">
                  <c:v>机关</c:v>
                </c:pt>
                <c:pt idx="6">
                  <c:v>其他事业单位</c:v>
                </c:pt>
                <c:pt idx="7">
                  <c:v>国有企业</c:v>
                </c:pt>
                <c:pt idx="8">
                  <c:v>中初教育单位</c:v>
                </c:pt>
                <c:pt idx="9">
                  <c:v>其他企业</c:v>
                </c:pt>
              </c:strCache>
            </c:strRef>
          </c:cat>
          <c:val>
            <c:numRef>
              <c:f>Sheet1!$B$2:$B$11</c:f>
              <c:numCache>
                <c:formatCode>0.00%</c:formatCode>
                <c:ptCount val="10"/>
                <c:pt idx="0">
                  <c:v>0.128676470588235</c:v>
                </c:pt>
                <c:pt idx="1">
                  <c:v>0.00183823529411765</c:v>
                </c:pt>
                <c:pt idx="2">
                  <c:v>0.00551470588235294</c:v>
                </c:pt>
                <c:pt idx="3">
                  <c:v>0.0110294117647059</c:v>
                </c:pt>
                <c:pt idx="4">
                  <c:v>0.0165441176470588</c:v>
                </c:pt>
                <c:pt idx="5">
                  <c:v>0.0330882352941176</c:v>
                </c:pt>
                <c:pt idx="6">
                  <c:v>0.0459558823529412</c:v>
                </c:pt>
                <c:pt idx="7">
                  <c:v>0.0514705882352941</c:v>
                </c:pt>
                <c:pt idx="8">
                  <c:v>0.0882352941176471</c:v>
                </c:pt>
                <c:pt idx="9">
                  <c:v>0.617647058823529</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8"/>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比例</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Sheet1!$A$2:$A$12</c:f>
              <c:strCache>
                <c:ptCount val="11"/>
                <c:pt idx="0">
                  <c:v>其他</c:v>
                </c:pt>
                <c:pt idx="1">
                  <c:v>农村建制村</c:v>
                </c:pt>
                <c:pt idx="2">
                  <c:v>科研设计单位</c:v>
                </c:pt>
                <c:pt idx="3">
                  <c:v>城镇社区</c:v>
                </c:pt>
                <c:pt idx="4">
                  <c:v>医疗卫生单位</c:v>
                </c:pt>
                <c:pt idx="5">
                  <c:v>三资企业</c:v>
                </c:pt>
                <c:pt idx="6">
                  <c:v>机关</c:v>
                </c:pt>
                <c:pt idx="7">
                  <c:v>其他事业单位</c:v>
                </c:pt>
                <c:pt idx="8">
                  <c:v>国有企业</c:v>
                </c:pt>
                <c:pt idx="9">
                  <c:v>中初教育单位</c:v>
                </c:pt>
                <c:pt idx="10">
                  <c:v>其他企业</c:v>
                </c:pt>
              </c:strCache>
            </c:strRef>
          </c:cat>
          <c:val>
            <c:numRef>
              <c:f>Sheet1!$B$2:$B$12</c:f>
              <c:numCache>
                <c:formatCode>0.00%</c:formatCode>
                <c:ptCount val="11"/>
                <c:pt idx="0">
                  <c:v>0.157119476268412</c:v>
                </c:pt>
                <c:pt idx="1">
                  <c:v>0.0016366612111293</c:v>
                </c:pt>
                <c:pt idx="2">
                  <c:v>0.0016366612111293</c:v>
                </c:pt>
                <c:pt idx="3">
                  <c:v>0.00327332242225859</c:v>
                </c:pt>
                <c:pt idx="4">
                  <c:v>0.0114566284779051</c:v>
                </c:pt>
                <c:pt idx="5">
                  <c:v>0.0180032733224223</c:v>
                </c:pt>
                <c:pt idx="6">
                  <c:v>0.0327332242225859</c:v>
                </c:pt>
                <c:pt idx="7">
                  <c:v>0.0425531914893617</c:v>
                </c:pt>
                <c:pt idx="8">
                  <c:v>0.0654664484451719</c:v>
                </c:pt>
                <c:pt idx="9">
                  <c:v>0.0916530278232406</c:v>
                </c:pt>
                <c:pt idx="10">
                  <c:v>0.574468085106383</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8"/>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比例</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Sheet1!$A$2:$A$9</c:f>
              <c:strCache>
                <c:ptCount val="8"/>
                <c:pt idx="0">
                  <c:v>其他</c:v>
                </c:pt>
                <c:pt idx="1">
                  <c:v>医疗卫生单位</c:v>
                </c:pt>
                <c:pt idx="2">
                  <c:v>高等教育单位</c:v>
                </c:pt>
                <c:pt idx="3">
                  <c:v>机关</c:v>
                </c:pt>
                <c:pt idx="4">
                  <c:v>其他事业单位</c:v>
                </c:pt>
                <c:pt idx="5">
                  <c:v>国有企业</c:v>
                </c:pt>
                <c:pt idx="6">
                  <c:v>中初教育单位</c:v>
                </c:pt>
                <c:pt idx="7">
                  <c:v>其他企业</c:v>
                </c:pt>
              </c:strCache>
            </c:strRef>
          </c:cat>
          <c:val>
            <c:numRef>
              <c:f>Sheet1!$B$2:$B$9</c:f>
              <c:numCache>
                <c:formatCode>0.00%</c:formatCode>
                <c:ptCount val="8"/>
                <c:pt idx="0">
                  <c:v>0.169014084507042</c:v>
                </c:pt>
                <c:pt idx="1">
                  <c:v>0.00352112676056338</c:v>
                </c:pt>
                <c:pt idx="2">
                  <c:v>0.00352112676056338</c:v>
                </c:pt>
                <c:pt idx="3">
                  <c:v>0.00704225352112676</c:v>
                </c:pt>
                <c:pt idx="4">
                  <c:v>0.0211267605633803</c:v>
                </c:pt>
                <c:pt idx="5">
                  <c:v>0.0246478873239437</c:v>
                </c:pt>
                <c:pt idx="6">
                  <c:v>0.0316901408450704</c:v>
                </c:pt>
                <c:pt idx="7">
                  <c:v>0.73943661971831</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8"/>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143631436314"/>
          <c:y val="0.0465188401302528"/>
          <c:w val="0.573864498644986"/>
          <c:h val="0.875949759652659"/>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Sheet1!$A$2:$A$18</c:f>
              <c:strCache>
                <c:ptCount val="17"/>
                <c:pt idx="0">
                  <c:v>法律专业人员</c:v>
                </c:pt>
                <c:pt idx="1">
                  <c:v>金融业务人员</c:v>
                </c:pt>
                <c:pt idx="2">
                  <c:v>科学研究人员</c:v>
                </c:pt>
                <c:pt idx="3">
                  <c:v>文学艺术工作人员</c:v>
                </c:pt>
                <c:pt idx="4">
                  <c:v>新闻出版和文化工作人员</c:v>
                </c:pt>
                <c:pt idx="5">
                  <c:v>公务员</c:v>
                </c:pt>
                <c:pt idx="6">
                  <c:v>生产和运输设备操作人员</c:v>
                </c:pt>
                <c:pt idx="7">
                  <c:v>经济业务人员</c:v>
                </c:pt>
                <c:pt idx="8">
                  <c:v>体育工作人员</c:v>
                </c:pt>
                <c:pt idx="9">
                  <c:v>农林牧渔业技术人员</c:v>
                </c:pt>
                <c:pt idx="10">
                  <c:v>卫生专业技术人员</c:v>
                </c:pt>
                <c:pt idx="11">
                  <c:v>商业和服务业人员</c:v>
                </c:pt>
                <c:pt idx="12">
                  <c:v>其他专业技术人员</c:v>
                </c:pt>
                <c:pt idx="13">
                  <c:v>工程技术人员</c:v>
                </c:pt>
                <c:pt idx="14">
                  <c:v>办事人员和有关人员</c:v>
                </c:pt>
                <c:pt idx="15">
                  <c:v>其他人员</c:v>
                </c:pt>
                <c:pt idx="16">
                  <c:v>教学人员</c:v>
                </c:pt>
              </c:strCache>
            </c:strRef>
          </c:cat>
          <c:val>
            <c:numRef>
              <c:f>Sheet1!$B$2:$B$18</c:f>
              <c:numCache>
                <c:formatCode>0.00%</c:formatCode>
                <c:ptCount val="17"/>
                <c:pt idx="0">
                  <c:v>0.00401069518716578</c:v>
                </c:pt>
                <c:pt idx="1">
                  <c:v>0.0053475935828877</c:v>
                </c:pt>
                <c:pt idx="2">
                  <c:v>0.0053475935828877</c:v>
                </c:pt>
                <c:pt idx="3">
                  <c:v>0.00601604278074866</c:v>
                </c:pt>
                <c:pt idx="4">
                  <c:v>0.00802139037433155</c:v>
                </c:pt>
                <c:pt idx="5">
                  <c:v>0.00868983957219251</c:v>
                </c:pt>
                <c:pt idx="6">
                  <c:v>0.0133689839572193</c:v>
                </c:pt>
                <c:pt idx="7">
                  <c:v>0.0140374331550802</c:v>
                </c:pt>
                <c:pt idx="8">
                  <c:v>0.018716577540107</c:v>
                </c:pt>
                <c:pt idx="9">
                  <c:v>0.0193850267379679</c:v>
                </c:pt>
                <c:pt idx="10">
                  <c:v>0.0227272727272727</c:v>
                </c:pt>
                <c:pt idx="11">
                  <c:v>0.0982620320855615</c:v>
                </c:pt>
                <c:pt idx="12">
                  <c:v>0.107620320855615</c:v>
                </c:pt>
                <c:pt idx="13">
                  <c:v>0.131016042780749</c:v>
                </c:pt>
                <c:pt idx="14">
                  <c:v>0.136363636363636</c:v>
                </c:pt>
                <c:pt idx="15">
                  <c:v>0.156417112299465</c:v>
                </c:pt>
                <c:pt idx="16">
                  <c:v>0.244652406417112</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143631436314"/>
          <c:y val="0.0465188401302528"/>
          <c:w val="0.573864498644986"/>
          <c:h val="0.875949759652659"/>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Sheet1!$A$2:$A$18</c:f>
              <c:strCache>
                <c:ptCount val="17"/>
                <c:pt idx="0">
                  <c:v>金融业务人员</c:v>
                </c:pt>
                <c:pt idx="1">
                  <c:v>新闻出版和文化工作人员</c:v>
                </c:pt>
                <c:pt idx="2">
                  <c:v>法律专业人员</c:v>
                </c:pt>
                <c:pt idx="3">
                  <c:v>经济业务人员</c:v>
                </c:pt>
                <c:pt idx="4">
                  <c:v>文学艺术工作人员</c:v>
                </c:pt>
                <c:pt idx="5">
                  <c:v>公务员</c:v>
                </c:pt>
                <c:pt idx="6">
                  <c:v>科学研究人员</c:v>
                </c:pt>
                <c:pt idx="7">
                  <c:v>农林牧渔业技术人员</c:v>
                </c:pt>
                <c:pt idx="8">
                  <c:v>生产和运输设备操作人员</c:v>
                </c:pt>
                <c:pt idx="9">
                  <c:v>体育工作人员</c:v>
                </c:pt>
                <c:pt idx="10">
                  <c:v>卫生专业技术人员</c:v>
                </c:pt>
                <c:pt idx="11">
                  <c:v>商业和服务业人员</c:v>
                </c:pt>
                <c:pt idx="12">
                  <c:v>其他专业技术人员</c:v>
                </c:pt>
                <c:pt idx="13">
                  <c:v>工程技术人员</c:v>
                </c:pt>
                <c:pt idx="14">
                  <c:v>办事人员和有关人员</c:v>
                </c:pt>
                <c:pt idx="15">
                  <c:v>其他人员</c:v>
                </c:pt>
                <c:pt idx="16">
                  <c:v>教学人员</c:v>
                </c:pt>
              </c:strCache>
            </c:strRef>
          </c:cat>
          <c:val>
            <c:numRef>
              <c:f>Sheet1!$B$2:$B$18</c:f>
              <c:numCache>
                <c:formatCode>0.00%</c:formatCode>
                <c:ptCount val="17"/>
                <c:pt idx="0">
                  <c:v>0.00551470588235294</c:v>
                </c:pt>
                <c:pt idx="1">
                  <c:v>0.00551470588235294</c:v>
                </c:pt>
                <c:pt idx="2">
                  <c:v>0.00735294117647059</c:v>
                </c:pt>
                <c:pt idx="3">
                  <c:v>0.00735294117647059</c:v>
                </c:pt>
                <c:pt idx="4">
                  <c:v>0.00735294117647059</c:v>
                </c:pt>
                <c:pt idx="5">
                  <c:v>0.00919117647058824</c:v>
                </c:pt>
                <c:pt idx="6">
                  <c:v>0.00919117647058824</c:v>
                </c:pt>
                <c:pt idx="7">
                  <c:v>0.0165441176470588</c:v>
                </c:pt>
                <c:pt idx="8">
                  <c:v>0.0202205882352941</c:v>
                </c:pt>
                <c:pt idx="9">
                  <c:v>0.0220588235294118</c:v>
                </c:pt>
                <c:pt idx="10">
                  <c:v>0.0220588235294118</c:v>
                </c:pt>
                <c:pt idx="11">
                  <c:v>0.101102941176471</c:v>
                </c:pt>
                <c:pt idx="12">
                  <c:v>0.117647058823529</c:v>
                </c:pt>
                <c:pt idx="13">
                  <c:v>0.121323529411765</c:v>
                </c:pt>
                <c:pt idx="14">
                  <c:v>0.123161764705882</c:v>
                </c:pt>
                <c:pt idx="15">
                  <c:v>0.163602941176471</c:v>
                </c:pt>
                <c:pt idx="16">
                  <c:v>0.240808823529412</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143631436314"/>
          <c:y val="0.0465188401302528"/>
          <c:w val="0.573864498644986"/>
          <c:h val="0.875949759652659"/>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Sheet1!$A$2:$A$18</c:f>
              <c:strCache>
                <c:ptCount val="17"/>
                <c:pt idx="0">
                  <c:v>生产和运输设备操作人员</c:v>
                </c:pt>
                <c:pt idx="1">
                  <c:v>金融业务人员</c:v>
                </c:pt>
                <c:pt idx="2">
                  <c:v>法律专业人员</c:v>
                </c:pt>
                <c:pt idx="3">
                  <c:v>科学研究人员</c:v>
                </c:pt>
                <c:pt idx="4">
                  <c:v>文学艺术工作人员</c:v>
                </c:pt>
                <c:pt idx="5">
                  <c:v>公务员</c:v>
                </c:pt>
                <c:pt idx="6">
                  <c:v>新闻出版和文化工作人员</c:v>
                </c:pt>
                <c:pt idx="7">
                  <c:v>卫生专业技术人员</c:v>
                </c:pt>
                <c:pt idx="8">
                  <c:v>经济业务人员</c:v>
                </c:pt>
                <c:pt idx="9">
                  <c:v>农林牧渔业技术人员</c:v>
                </c:pt>
                <c:pt idx="10">
                  <c:v>体育工作人员</c:v>
                </c:pt>
                <c:pt idx="11">
                  <c:v>商业和服务业人员</c:v>
                </c:pt>
                <c:pt idx="12">
                  <c:v>其他专业技术人员</c:v>
                </c:pt>
                <c:pt idx="13">
                  <c:v>工程技术人员</c:v>
                </c:pt>
                <c:pt idx="14">
                  <c:v>办事人员和有关人员</c:v>
                </c:pt>
                <c:pt idx="15">
                  <c:v>其他人员</c:v>
                </c:pt>
                <c:pt idx="16">
                  <c:v>教学人员</c:v>
                </c:pt>
              </c:strCache>
            </c:strRef>
          </c:cat>
          <c:val>
            <c:numRef>
              <c:f>Sheet1!$B$2:$B$18</c:f>
              <c:numCache>
                <c:formatCode>0.00%</c:formatCode>
                <c:ptCount val="17"/>
                <c:pt idx="0">
                  <c:v>0.0016366612111293</c:v>
                </c:pt>
                <c:pt idx="1">
                  <c:v>0.0016366612111293</c:v>
                </c:pt>
                <c:pt idx="2">
                  <c:v>0.00327332242225859</c:v>
                </c:pt>
                <c:pt idx="3">
                  <c:v>0.00327332242225859</c:v>
                </c:pt>
                <c:pt idx="4">
                  <c:v>0.00490998363338789</c:v>
                </c:pt>
                <c:pt idx="5">
                  <c:v>0.00818330605564648</c:v>
                </c:pt>
                <c:pt idx="6">
                  <c:v>0.00981996726677578</c:v>
                </c:pt>
                <c:pt idx="7">
                  <c:v>0.0147299509001637</c:v>
                </c:pt>
                <c:pt idx="8">
                  <c:v>0.0180032733224223</c:v>
                </c:pt>
                <c:pt idx="9">
                  <c:v>0.0245499181669394</c:v>
                </c:pt>
                <c:pt idx="10">
                  <c:v>0.0261865793780687</c:v>
                </c:pt>
                <c:pt idx="11">
                  <c:v>0.0736497545008183</c:v>
                </c:pt>
                <c:pt idx="12">
                  <c:v>0.0916530278232406</c:v>
                </c:pt>
                <c:pt idx="13">
                  <c:v>0.130932896890344</c:v>
                </c:pt>
                <c:pt idx="14">
                  <c:v>0.145662847790507</c:v>
                </c:pt>
                <c:pt idx="15">
                  <c:v>0.155482815057283</c:v>
                </c:pt>
                <c:pt idx="16">
                  <c:v>0.286415711947627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143631436314"/>
          <c:y val="0.0465188401302528"/>
          <c:w val="0.573864498644986"/>
          <c:h val="0.875949759652659"/>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Sheet1!$A$2:$A$17</c:f>
              <c:strCache>
                <c:ptCount val="16"/>
                <c:pt idx="0">
                  <c:v>卫生专业技术人员</c:v>
                </c:pt>
                <c:pt idx="1">
                  <c:v>金融业务人员</c:v>
                </c:pt>
                <c:pt idx="2">
                  <c:v>公务员</c:v>
                </c:pt>
                <c:pt idx="3">
                  <c:v>新闻出版和文化工作人员</c:v>
                </c:pt>
                <c:pt idx="4">
                  <c:v>农林牧渔业技术人员</c:v>
                </c:pt>
                <c:pt idx="5">
                  <c:v>经济业务人员</c:v>
                </c:pt>
                <c:pt idx="6">
                  <c:v>文学艺术工作人员</c:v>
                </c:pt>
                <c:pt idx="7">
                  <c:v>法律专业人员</c:v>
                </c:pt>
                <c:pt idx="8">
                  <c:v>生产和运输设备操作人员</c:v>
                </c:pt>
                <c:pt idx="9">
                  <c:v>体育工作人员</c:v>
                </c:pt>
                <c:pt idx="10">
                  <c:v>工程技术人员</c:v>
                </c:pt>
                <c:pt idx="11">
                  <c:v>其他专业技术人员</c:v>
                </c:pt>
                <c:pt idx="12">
                  <c:v>办事人员和有关人员</c:v>
                </c:pt>
                <c:pt idx="13">
                  <c:v>商业和服务业人员</c:v>
                </c:pt>
                <c:pt idx="14">
                  <c:v>其他人员</c:v>
                </c:pt>
                <c:pt idx="15">
                  <c:v>教学人员</c:v>
                </c:pt>
              </c:strCache>
            </c:strRef>
          </c:cat>
          <c:val>
            <c:numRef>
              <c:f>Sheet1!$B$2:$B$17</c:f>
              <c:numCache>
                <c:formatCode>0.00%</c:formatCode>
                <c:ptCount val="16"/>
                <c:pt idx="0">
                  <c:v>0.00352112676056338</c:v>
                </c:pt>
                <c:pt idx="1">
                  <c:v>0.00352112676056338</c:v>
                </c:pt>
                <c:pt idx="2">
                  <c:v>0.00352112676056338</c:v>
                </c:pt>
                <c:pt idx="3">
                  <c:v>0.00704225352112676</c:v>
                </c:pt>
                <c:pt idx="4">
                  <c:v>0.0105633802816901</c:v>
                </c:pt>
                <c:pt idx="5">
                  <c:v>0.0105633802816901</c:v>
                </c:pt>
                <c:pt idx="6">
                  <c:v>0.0140845070422535</c:v>
                </c:pt>
                <c:pt idx="7">
                  <c:v>0.0140845070422535</c:v>
                </c:pt>
                <c:pt idx="8">
                  <c:v>0.0211267605633803</c:v>
                </c:pt>
                <c:pt idx="9">
                  <c:v>0.0352112676056338</c:v>
                </c:pt>
                <c:pt idx="10">
                  <c:v>0.0492957746478873</c:v>
                </c:pt>
                <c:pt idx="11">
                  <c:v>0.0669014084507042</c:v>
                </c:pt>
                <c:pt idx="12">
                  <c:v>0.112676056338028</c:v>
                </c:pt>
                <c:pt idx="13">
                  <c:v>0.183098591549296</c:v>
                </c:pt>
                <c:pt idx="14">
                  <c:v>0.190140845070423</c:v>
                </c:pt>
                <c:pt idx="15">
                  <c:v>0.274647887323944</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96162344458658"/>
          <c:y val="0.0875799691153761"/>
          <c:w val="0.879916269333643"/>
          <c:h val="0.771762629605118"/>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[毕业生基本情况.xlsx]单位所在地!$L$7:$L$13</c:f>
              <c:strCache>
                <c:ptCount val="7"/>
                <c:pt idx="0">
                  <c:v>西南地区</c:v>
                </c:pt>
                <c:pt idx="1">
                  <c:v>华南地区</c:v>
                </c:pt>
                <c:pt idx="2">
                  <c:v>华东地区</c:v>
                </c:pt>
                <c:pt idx="3">
                  <c:v>华中地区</c:v>
                </c:pt>
                <c:pt idx="4">
                  <c:v>西北地区</c:v>
                </c:pt>
                <c:pt idx="5">
                  <c:v>华北地区</c:v>
                </c:pt>
                <c:pt idx="6">
                  <c:v>东北地区</c:v>
                </c:pt>
              </c:strCache>
            </c:strRef>
          </c:cat>
          <c:val>
            <c:numRef>
              <c:f>[毕业生基本情况.xlsx]单位所在地!$M$7:$M$13</c:f>
              <c:numCache>
                <c:formatCode>0.00%</c:formatCode>
                <c:ptCount val="7"/>
                <c:pt idx="0">
                  <c:v>0.768656716417911</c:v>
                </c:pt>
                <c:pt idx="1">
                  <c:v>0.0740049751243781</c:v>
                </c:pt>
                <c:pt idx="2">
                  <c:v>0.0590796019900498</c:v>
                </c:pt>
                <c:pt idx="3">
                  <c:v>0.0422885572139304</c:v>
                </c:pt>
                <c:pt idx="4">
                  <c:v>0.0304726368159204</c:v>
                </c:pt>
                <c:pt idx="5">
                  <c:v>0.0105721393034826</c:v>
                </c:pt>
                <c:pt idx="6">
                  <c:v>0.00870646766169154</c:v>
                </c:pt>
              </c:numCache>
            </c:numRef>
          </c:val>
        </c:ser>
        <c:dLbls>
          <c:showLegendKey val="0"/>
          <c:showVal val="1"/>
          <c:showCatName val="0"/>
          <c:showSerName val="0"/>
          <c:showPercent val="0"/>
          <c:showBubbleSize val="0"/>
        </c:dLbls>
        <c:gapWidth val="100"/>
        <c:overlap val="-24"/>
        <c:axId val="83031049"/>
        <c:axId val="487355997"/>
      </c:barChart>
      <c:catAx>
        <c:axId val="83031049"/>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7355997"/>
        <c:crosses val="autoZero"/>
        <c:auto val="1"/>
        <c:lblAlgn val="ctr"/>
        <c:lblOffset val="100"/>
        <c:noMultiLvlLbl val="0"/>
      </c:catAx>
      <c:valAx>
        <c:axId val="48735599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03104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128005198181"/>
          <c:y val="0.00430376232125503"/>
          <c:w val="0.788704786658003"/>
          <c:h val="0.929334999305845"/>
        </c:manualLayout>
      </c:layout>
      <c:barChart>
        <c:barDir val="bar"/>
        <c:grouping val="clustered"/>
        <c:varyColors val="0"/>
        <c:ser>
          <c:idx val="0"/>
          <c:order val="0"/>
          <c:tx>
            <c:strRef>
              <c:f>Sheet1!$B$1</c:f>
              <c:strCache>
                <c:ptCount val="1"/>
                <c:pt idx="0">
                  <c:v>比例</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Sheet1!$A$2:$A$25</c:f>
              <c:strCache>
                <c:ptCount val="24"/>
                <c:pt idx="0">
                  <c:v>河北省</c:v>
                </c:pt>
                <c:pt idx="1">
                  <c:v>西藏自治区</c:v>
                </c:pt>
                <c:pt idx="2">
                  <c:v>辽宁省</c:v>
                </c:pt>
                <c:pt idx="3">
                  <c:v>天津市</c:v>
                </c:pt>
                <c:pt idx="4">
                  <c:v>海南省</c:v>
                </c:pt>
                <c:pt idx="5">
                  <c:v>山东省</c:v>
                </c:pt>
                <c:pt idx="6">
                  <c:v>陕西省</c:v>
                </c:pt>
                <c:pt idx="7">
                  <c:v>云南省</c:v>
                </c:pt>
                <c:pt idx="8">
                  <c:v>河南省</c:v>
                </c:pt>
                <c:pt idx="9">
                  <c:v>江西省</c:v>
                </c:pt>
                <c:pt idx="10">
                  <c:v>广西壮族自治区</c:v>
                </c:pt>
                <c:pt idx="11">
                  <c:v>湖北省</c:v>
                </c:pt>
                <c:pt idx="12">
                  <c:v>吉林省</c:v>
                </c:pt>
                <c:pt idx="13">
                  <c:v>福建省</c:v>
                </c:pt>
                <c:pt idx="14">
                  <c:v>北京市</c:v>
                </c:pt>
                <c:pt idx="15">
                  <c:v>上海市</c:v>
                </c:pt>
                <c:pt idx="16">
                  <c:v>江苏省</c:v>
                </c:pt>
                <c:pt idx="17">
                  <c:v>重庆市</c:v>
                </c:pt>
                <c:pt idx="18">
                  <c:v>浙江省</c:v>
                </c:pt>
                <c:pt idx="19">
                  <c:v>四川省</c:v>
                </c:pt>
                <c:pt idx="20">
                  <c:v>新疆维吾尔自治区</c:v>
                </c:pt>
                <c:pt idx="21">
                  <c:v>湖南省</c:v>
                </c:pt>
                <c:pt idx="22">
                  <c:v>广东省</c:v>
                </c:pt>
                <c:pt idx="23">
                  <c:v>贵州省</c:v>
                </c:pt>
              </c:strCache>
            </c:strRef>
          </c:cat>
          <c:val>
            <c:numRef>
              <c:f>Sheet1!$B$2:$B$25</c:f>
              <c:numCache>
                <c:formatCode>0.00%</c:formatCode>
                <c:ptCount val="24"/>
                <c:pt idx="0">
                  <c:v>0.000621890547263682</c:v>
                </c:pt>
                <c:pt idx="1">
                  <c:v>0.000621890547263682</c:v>
                </c:pt>
                <c:pt idx="2">
                  <c:v>0.00124378109452736</c:v>
                </c:pt>
                <c:pt idx="3">
                  <c:v>0.00124378109452736</c:v>
                </c:pt>
                <c:pt idx="4">
                  <c:v>0.00186567164179104</c:v>
                </c:pt>
                <c:pt idx="5">
                  <c:v>0.00186567164179104</c:v>
                </c:pt>
                <c:pt idx="6">
                  <c:v>0.00186567164179104</c:v>
                </c:pt>
                <c:pt idx="7">
                  <c:v>0.00248756218905473</c:v>
                </c:pt>
                <c:pt idx="8">
                  <c:v>0.00373134328358209</c:v>
                </c:pt>
                <c:pt idx="9">
                  <c:v>0.00497512437810945</c:v>
                </c:pt>
                <c:pt idx="10">
                  <c:v>0.00746268656716418</c:v>
                </c:pt>
                <c:pt idx="11">
                  <c:v>0.00746268656716418</c:v>
                </c:pt>
                <c:pt idx="12">
                  <c:v>0.00746268656716418</c:v>
                </c:pt>
                <c:pt idx="13">
                  <c:v>0.00808457711442786</c:v>
                </c:pt>
                <c:pt idx="14">
                  <c:v>0.00932835820895522</c:v>
                </c:pt>
                <c:pt idx="15">
                  <c:v>0.0105721393034826</c:v>
                </c:pt>
                <c:pt idx="16">
                  <c:v>0.0130597014925373</c:v>
                </c:pt>
                <c:pt idx="17">
                  <c:v>0.0199004975124378</c:v>
                </c:pt>
                <c:pt idx="18">
                  <c:v>0.0205223880597015</c:v>
                </c:pt>
                <c:pt idx="19">
                  <c:v>0.0217661691542289</c:v>
                </c:pt>
                <c:pt idx="20">
                  <c:v>0.0286069651741294</c:v>
                </c:pt>
                <c:pt idx="21">
                  <c:v>0.0323383084577114</c:v>
                </c:pt>
                <c:pt idx="22">
                  <c:v>0.0690298507462687</c:v>
                </c:pt>
                <c:pt idx="23">
                  <c:v>0.723880597014925</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plotArea>
    <c:plotVisOnly val="1"/>
    <c:dispBlanksAs val="gap"/>
    <c:showDLblsOverMax val="0"/>
  </c:chart>
  <c:spPr>
    <a:no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336819316869"/>
          <c:y val="0.25838599902771"/>
          <c:w val="0.398377395439922"/>
          <c:h val="0.692270296548371"/>
        </c:manualLayout>
      </c:layout>
      <c:doughnutChart>
        <c:varyColors val="1"/>
        <c:ser>
          <c:idx val="0"/>
          <c:order val="0"/>
          <c:spPr/>
          <c:explosion val="9"/>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0859139655380166"/>
                  <c:y val="-0.027777777777777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13351006145319"/>
                  <c:y val="-0.0186011904761905"/>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[毕业生基本情况.xlsx]建档立卡人员!$A$18:$A$19</c:f>
              <c:strCache>
                <c:ptCount val="2"/>
                <c:pt idx="0">
                  <c:v>非建档立卡</c:v>
                </c:pt>
                <c:pt idx="1">
                  <c:v>建档立卡</c:v>
                </c:pt>
              </c:strCache>
            </c:strRef>
          </c:cat>
          <c:val>
            <c:numRef>
              <c:f>[毕业生基本情况.xlsx]建档立卡人员!$B$18:$B$19</c:f>
              <c:numCache>
                <c:formatCode>0.00%</c:formatCode>
                <c:ptCount val="2"/>
                <c:pt idx="0">
                  <c:v>0.657714586624539</c:v>
                </c:pt>
                <c:pt idx="1">
                  <c:v>0.342285413375461</c:v>
                </c:pt>
              </c:numCache>
            </c:numRef>
          </c:val>
        </c:ser>
        <c:dLbls>
          <c:showLegendKey val="0"/>
          <c:showVal val="0"/>
          <c:showCatName val="1"/>
          <c:showSerName val="0"/>
          <c:showPercent val="1"/>
          <c:showBubbleSize val="0"/>
          <c:showLeaderLines val="1"/>
        </c:dLbls>
        <c:firstSliceAng val="0"/>
        <c:holeSize val="75"/>
      </c:doughnutChart>
      <c:spPr>
        <a:noFill/>
        <a:ln>
          <a:noFill/>
        </a:ln>
        <a:effectLst/>
      </c:spPr>
    </c:plotArea>
    <c:legend>
      <c:legendPos val="b"/>
      <c:layout>
        <c:manualLayout>
          <c:xMode val="edge"/>
          <c:yMode val="edge"/>
          <c:x val="0.384022171345945"/>
          <c:y val="0.041418650793650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Sheet1!$B$1</c:f>
              <c:strCache>
                <c:ptCount val="1"/>
                <c:pt idx="0">
                  <c:v>比例</c:v>
                </c:pt>
              </c:strCache>
            </c:strRef>
          </c:tx>
          <c:spPr>
            <a:solidFill>
              <a:schemeClr val="accent1"/>
            </a:solidFill>
            <a:ln>
              <a:solidFill>
                <a:schemeClr val="bg1"/>
              </a:solidFill>
            </a:ln>
            <a:effectLst/>
          </c:spPr>
          <c:dLbls>
            <c:dLbl>
              <c:idx val="0"/>
              <c:layout>
                <c:manualLayout>
                  <c:x val="0.0462962962962963"/>
                  <c:y val="-0.366101694915254"/>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Sheet1!$A$2:$A$10</c:f>
              <c:strCache>
                <c:ptCount val="9"/>
                <c:pt idx="0">
                  <c:v>铜仁市</c:v>
                </c:pt>
                <c:pt idx="1">
                  <c:v>贵阳市</c:v>
                </c:pt>
                <c:pt idx="2">
                  <c:v>黔东南苗族侗族自治州</c:v>
                </c:pt>
                <c:pt idx="3">
                  <c:v>遵义市</c:v>
                </c:pt>
                <c:pt idx="4">
                  <c:v>毕节市</c:v>
                </c:pt>
                <c:pt idx="5">
                  <c:v>黔南布依族苗族自治州</c:v>
                </c:pt>
                <c:pt idx="6">
                  <c:v>黔西南布依族苗族自治州</c:v>
                </c:pt>
                <c:pt idx="7">
                  <c:v>六盘水市</c:v>
                </c:pt>
                <c:pt idx="8">
                  <c:v>安顺市</c:v>
                </c:pt>
              </c:strCache>
            </c:strRef>
          </c:cat>
          <c:val>
            <c:numRef>
              <c:f>Sheet1!$B$2:$B$10</c:f>
              <c:numCache>
                <c:formatCode>0.00%</c:formatCode>
                <c:ptCount val="9"/>
                <c:pt idx="0">
                  <c:v>0.645743766122098</c:v>
                </c:pt>
                <c:pt idx="1">
                  <c:v>0.131556319862425</c:v>
                </c:pt>
                <c:pt idx="2">
                  <c:v>0.0705073086844368</c:v>
                </c:pt>
                <c:pt idx="3">
                  <c:v>0.056749785038693</c:v>
                </c:pt>
                <c:pt idx="4">
                  <c:v>0.0249355116079106</c:v>
                </c:pt>
                <c:pt idx="5">
                  <c:v>0.0249355116079106</c:v>
                </c:pt>
                <c:pt idx="6">
                  <c:v>0.0223559759243336</c:v>
                </c:pt>
                <c:pt idx="7">
                  <c:v>0.0120378331900258</c:v>
                </c:pt>
                <c:pt idx="8">
                  <c:v>0.0111779879621668</c:v>
                </c:pt>
              </c:numCache>
            </c:numRef>
          </c:val>
        </c:ser>
        <c:dLbls>
          <c:showLegendKey val="0"/>
          <c:showVal val="0"/>
          <c:showCatName val="0"/>
          <c:showSerName val="0"/>
          <c:showPercent val="0"/>
          <c:showBubbleSize val="0"/>
        </c:dLbls>
        <c:axId val="521258016"/>
        <c:axId val="521258496"/>
      </c:areaChart>
      <c:catAx>
        <c:axId val="52125801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521258496"/>
        <c:crosses val="autoZero"/>
        <c:auto val="1"/>
        <c:lblAlgn val="ctr"/>
        <c:lblOffset val="100"/>
        <c:noMultiLvlLbl val="0"/>
      </c:catAx>
      <c:valAx>
        <c:axId val="521258496"/>
        <c:scaling>
          <c:orientation val="minMax"/>
        </c:scaling>
        <c:delete val="0"/>
        <c:axPos val="l"/>
        <c:numFmt formatCode="0.0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521258016"/>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lang="zh-CN">
          <a:solidFill>
            <a:schemeClr val="tx1"/>
          </a:solidFill>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60" b="1" i="0" u="none" strike="noStrike" kern="1200" spc="0" baseline="0">
                <a:solidFill>
                  <a:schemeClr val="tx1">
                    <a:lumMod val="65000"/>
                    <a:lumOff val="35000"/>
                  </a:schemeClr>
                </a:solidFill>
                <a:latin typeface="+mn-lt"/>
                <a:ea typeface="+mn-ea"/>
                <a:cs typeface="+mn-cs"/>
              </a:defRPr>
            </a:pPr>
            <a:r>
              <a:rPr sz="960" b="1"/>
              <a:t>贵州省内生源</a:t>
            </a:r>
            <a:endParaRPr sz="960" b="1"/>
          </a:p>
        </c:rich>
      </c:tx>
      <c:layout>
        <c:manualLayout>
          <c:xMode val="edge"/>
          <c:yMode val="edge"/>
          <c:x val="0.373041382081157"/>
          <c:y val="0.859684361549498"/>
        </c:manualLayout>
      </c:layout>
      <c:overlay val="0"/>
      <c:spPr>
        <a:noFill/>
        <a:ln>
          <a:noFill/>
        </a:ln>
        <a:effectLst/>
      </c:spPr>
    </c:title>
    <c:autoTitleDeleted val="0"/>
    <c:plotArea>
      <c:layout>
        <c:manualLayout>
          <c:layoutTarget val="inner"/>
          <c:xMode val="edge"/>
          <c:yMode val="edge"/>
          <c:x val="0.261751707513057"/>
          <c:y val="0.042180774748924"/>
          <c:w val="0.5249096022499"/>
          <c:h val="0.749784791965567"/>
        </c:manualLayout>
      </c:layout>
      <c:doughnutChart>
        <c:varyColors val="1"/>
        <c:ser>
          <c:idx val="0"/>
          <c:order val="0"/>
          <c:tx>
            <c:strRef>
              <c:f>Sheet1!$B$1</c:f>
              <c:strCache>
                <c:ptCount val="1"/>
                <c:pt idx="0">
                  <c:v>占比</c:v>
                </c:pt>
              </c:strCache>
            </c:strRef>
          </c:tx>
          <c:spPr>
            <a:ln w="19050">
              <a:noFill/>
            </a:ln>
          </c:spPr>
          <c:explosion val="0"/>
          <c:dPt>
            <c:idx val="0"/>
            <c:bubble3D val="0"/>
            <c:spPr>
              <a:solidFill>
                <a:schemeClr val="accent1"/>
              </a:solidFill>
              <a:ln w="19050">
                <a:solidFill>
                  <a:schemeClr val="accent1"/>
                </a:solidFill>
              </a:ln>
              <a:effectLst/>
            </c:spPr>
          </c:dPt>
          <c:dPt>
            <c:idx val="1"/>
            <c:bubble3D val="0"/>
            <c:spPr>
              <a:solidFill>
                <a:schemeClr val="accent5"/>
              </a:solidFill>
              <a:ln w="19050">
                <a:noFill/>
              </a:ln>
              <a:effectLst/>
            </c:spPr>
          </c:dPt>
          <c:dLbls>
            <c:delete val="1"/>
          </c:dLbls>
          <c:cat>
            <c:strRef>
              <c:f>Sheet1!$A$2:$A$3</c:f>
              <c:strCache>
                <c:ptCount val="2"/>
                <c:pt idx="0">
                  <c:v>省内就业</c:v>
                </c:pt>
                <c:pt idx="1">
                  <c:v>省外就业</c:v>
                </c:pt>
              </c:strCache>
            </c:strRef>
          </c:cat>
          <c:val>
            <c:numRef>
              <c:f>Sheet1!$B$2:$B$3</c:f>
              <c:numCache>
                <c:formatCode>0.00%</c:formatCode>
                <c:ptCount val="2"/>
                <c:pt idx="0">
                  <c:v>0.754043126684636</c:v>
                </c:pt>
                <c:pt idx="1" c:formatCode="General">
                  <c:v>0.245956873315364</c:v>
                </c:pt>
              </c:numCache>
            </c:numRef>
          </c:val>
        </c:ser>
        <c:ser>
          <c:idx val="1"/>
          <c:order val="1"/>
          <c:tx>
            <c:strRef>
              <c:f>Sheet1!$C$1</c:f>
              <c:strCache>
                <c:ptCount val="1"/>
                <c:pt idx="0">
                  <c:v>占比1</c:v>
                </c:pt>
              </c:strCache>
            </c:strRef>
          </c:tx>
          <c:spPr>
            <a:ln w="19050">
              <a:noFill/>
            </a:ln>
          </c:spPr>
          <c:explosion val="0"/>
          <c:dPt>
            <c:idx val="0"/>
            <c:bubble3D val="0"/>
            <c:spPr>
              <a:solidFill>
                <a:schemeClr val="accent1"/>
              </a:solidFill>
              <a:ln w="19050">
                <a:noFill/>
              </a:ln>
              <a:effectLst/>
            </c:spPr>
          </c:dPt>
          <c:dPt>
            <c:idx val="1"/>
            <c:bubble3D val="0"/>
            <c:spPr>
              <a:noFill/>
              <a:ln w="19050">
                <a:noFill/>
              </a:ln>
              <a:effectLst/>
            </c:spPr>
          </c:dPt>
          <c:dLbls>
            <c:dLbl>
              <c:idx val="0"/>
              <c:layout>
                <c:manualLayout>
                  <c:x val="0.177887104352015"/>
                  <c:y val="0.0761470394513355"/>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37147593867737"/>
                  <c:y val="-0.0761470351810366"/>
                </c:manualLayout>
              </c:layou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省内就业</c:v>
                </c:pt>
                <c:pt idx="1">
                  <c:v>省外就业</c:v>
                </c:pt>
              </c:strCache>
            </c:strRef>
          </c:cat>
          <c:val>
            <c:numRef>
              <c:f>Sheet1!$C$2:$C$3</c:f>
              <c:numCache>
                <c:formatCode>0.00%</c:formatCode>
                <c:ptCount val="2"/>
                <c:pt idx="0">
                  <c:v>0.754043126684636</c:v>
                </c:pt>
                <c:pt idx="1" c:formatCode="General">
                  <c:v>0.245956873315364</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noFill/>
    <a:ln w="9525" cap="flat" cmpd="sng" algn="ctr">
      <a:noFill/>
      <a:round/>
    </a:ln>
    <a:effectLst/>
  </c:spPr>
  <c:txPr>
    <a:bodyPr/>
    <a:lstStyle/>
    <a:p>
      <a:pPr>
        <a:defRPr lang="zh-CN" sz="800"/>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60" b="1" i="0" u="none" strike="noStrike" kern="1200" spc="0" baseline="0">
                <a:solidFill>
                  <a:schemeClr val="tx1">
                    <a:lumMod val="65000"/>
                    <a:lumOff val="35000"/>
                  </a:schemeClr>
                </a:solidFill>
                <a:latin typeface="+mn-lt"/>
                <a:ea typeface="+mn-ea"/>
                <a:cs typeface="+mn-cs"/>
              </a:defRPr>
            </a:pPr>
            <a:r>
              <a:rPr sz="960" b="1"/>
              <a:t>贵州省外生源</a:t>
            </a:r>
            <a:endParaRPr sz="960" b="1"/>
          </a:p>
        </c:rich>
      </c:tx>
      <c:layout>
        <c:manualLayout>
          <c:xMode val="edge"/>
          <c:yMode val="edge"/>
          <c:x val="0.455146932462622"/>
          <c:y val="0.907898571844943"/>
        </c:manualLayout>
      </c:layout>
      <c:overlay val="0"/>
      <c:spPr>
        <a:noFill/>
        <a:ln>
          <a:noFill/>
        </a:ln>
        <a:effectLst/>
      </c:spPr>
    </c:title>
    <c:autoTitleDeleted val="0"/>
    <c:plotArea>
      <c:layout>
        <c:manualLayout>
          <c:layoutTarget val="inner"/>
          <c:xMode val="edge"/>
          <c:yMode val="edge"/>
          <c:x val="0.333694304781187"/>
          <c:y val="0.0449509733714388"/>
          <c:w val="0.462802236676937"/>
          <c:h val="0.739198016914552"/>
        </c:manualLayout>
      </c:layout>
      <c:doughnutChart>
        <c:varyColors val="1"/>
        <c:ser>
          <c:idx val="0"/>
          <c:order val="0"/>
          <c:tx>
            <c:strRef>
              <c:f>Sheet1!$B$1</c:f>
              <c:strCache>
                <c:ptCount val="1"/>
                <c:pt idx="0">
                  <c:v>占比</c:v>
                </c:pt>
              </c:strCache>
            </c:strRef>
          </c:tx>
          <c:spPr>
            <a:ln w="19050">
              <a:noFill/>
            </a:ln>
          </c:spPr>
          <c:explosion val="0"/>
          <c:dPt>
            <c:idx val="0"/>
            <c:bubble3D val="0"/>
            <c:spPr>
              <a:solidFill>
                <a:schemeClr val="accent1"/>
              </a:solidFill>
              <a:ln w="19050">
                <a:solidFill>
                  <a:schemeClr val="accent1"/>
                </a:solidFill>
              </a:ln>
              <a:effectLst/>
            </c:spPr>
          </c:dPt>
          <c:dPt>
            <c:idx val="1"/>
            <c:bubble3D val="0"/>
            <c:spPr>
              <a:solidFill>
                <a:schemeClr val="accent4"/>
              </a:solidFill>
              <a:ln w="19050">
                <a:noFill/>
              </a:ln>
              <a:effectLst/>
            </c:spPr>
          </c:dPt>
          <c:dPt>
            <c:idx val="2"/>
            <c:bubble3D val="0"/>
            <c:spPr>
              <a:solidFill>
                <a:schemeClr val="accent3"/>
              </a:solidFill>
              <a:ln w="19050">
                <a:noFill/>
              </a:ln>
              <a:effectLst/>
            </c:spPr>
          </c:dPt>
          <c:dLbls>
            <c:delete val="1"/>
          </c:dLbls>
          <c:cat>
            <c:strRef>
              <c:f>Sheet1!$A$2:$A$4</c:f>
              <c:strCache>
                <c:ptCount val="3"/>
                <c:pt idx="0">
                  <c:v>省内就业</c:v>
                </c:pt>
                <c:pt idx="1">
                  <c:v>回生源地就业</c:v>
                </c:pt>
                <c:pt idx="2">
                  <c:v>其他省份就业</c:v>
                </c:pt>
              </c:strCache>
            </c:strRef>
          </c:cat>
          <c:val>
            <c:numRef>
              <c:f>Sheet1!$B$2:$B$4</c:f>
              <c:numCache>
                <c:formatCode>0.00%</c:formatCode>
                <c:ptCount val="3"/>
                <c:pt idx="0">
                  <c:v>0.362903225806452</c:v>
                </c:pt>
                <c:pt idx="1">
                  <c:v>0.258064516129032</c:v>
                </c:pt>
                <c:pt idx="2">
                  <c:v>0.379032258064516</c:v>
                </c:pt>
              </c:numCache>
            </c:numRef>
          </c:val>
        </c:ser>
        <c:ser>
          <c:idx val="1"/>
          <c:order val="1"/>
          <c:tx>
            <c:strRef>
              <c:f>Sheet1!$C$1</c:f>
              <c:strCache>
                <c:ptCount val="1"/>
                <c:pt idx="0">
                  <c:v>占比1</c:v>
                </c:pt>
              </c:strCache>
            </c:strRef>
          </c:tx>
          <c:spPr>
            <a:ln w="19050">
              <a:noFill/>
            </a:ln>
          </c:spPr>
          <c:explosion val="0"/>
          <c:dPt>
            <c:idx val="0"/>
            <c:bubble3D val="0"/>
            <c:spPr>
              <a:solidFill>
                <a:schemeClr val="accent1"/>
              </a:solidFill>
              <a:ln w="19050">
                <a:noFill/>
              </a:ln>
              <a:effectLst/>
            </c:spPr>
          </c:dPt>
          <c:dPt>
            <c:idx val="1"/>
            <c:bubble3D val="0"/>
            <c:spPr>
              <a:solidFill>
                <a:schemeClr val="accent4"/>
              </a:solidFill>
              <a:ln w="19050">
                <a:solidFill>
                  <a:schemeClr val="accent4"/>
                </a:solidFill>
              </a:ln>
              <a:effectLst/>
            </c:spPr>
          </c:dPt>
          <c:dPt>
            <c:idx val="2"/>
            <c:bubble3D val="0"/>
            <c:spPr>
              <a:noFill/>
              <a:ln w="19050">
                <a:noFill/>
              </a:ln>
              <a:effectLst/>
            </c:spPr>
          </c:dPt>
          <c:dLbls>
            <c:dLbl>
              <c:idx val="0"/>
              <c:layout>
                <c:manualLayout>
                  <c:x val="0.108464608275572"/>
                  <c:y val="0.155526409533988"/>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0978008469805113"/>
                  <c:y val="0.0953632711851775"/>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329536891531413"/>
                  <c:y val="-0.119671311247379"/>
                </c:manualLayout>
              </c:layout>
              <c:showLegendKey val="0"/>
              <c:showVal val="1"/>
              <c:showCatName val="1"/>
              <c:showSerName val="0"/>
              <c:showPercent val="0"/>
              <c:showBubbleSize val="0"/>
              <c:extLst>
                <c:ext xmlns:c15="http://schemas.microsoft.com/office/drawing/2012/chart" uri="{CE6537A1-D6FC-4f65-9D91-7224C49458BB}">
                  <c15:layout>
                    <c:manualLayout>
                      <c:w val="0.274396135265701"/>
                      <c:h val="0.162962962962963"/>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省内就业</c:v>
                </c:pt>
                <c:pt idx="1">
                  <c:v>回生源地就业</c:v>
                </c:pt>
                <c:pt idx="2">
                  <c:v>其他省份就业</c:v>
                </c:pt>
              </c:strCache>
            </c:strRef>
          </c:cat>
          <c:val>
            <c:numRef>
              <c:f>Sheet1!$C$2:$C$4</c:f>
              <c:numCache>
                <c:formatCode>0.00%</c:formatCode>
                <c:ptCount val="3"/>
                <c:pt idx="0">
                  <c:v>0.362903225806452</c:v>
                </c:pt>
                <c:pt idx="1">
                  <c:v>0.258064516129032</c:v>
                </c:pt>
                <c:pt idx="2">
                  <c:v>0.379032258064516</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800"/>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988229968311"/>
          <c:y val="0.0268579838116262"/>
          <c:w val="0.665504753282028"/>
          <c:h val="0.876931567328918"/>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教育学院</c:v>
                </c:pt>
                <c:pt idx="1">
                  <c:v>国际学院</c:v>
                </c:pt>
                <c:pt idx="2">
                  <c:v>大健康学院</c:v>
                </c:pt>
                <c:pt idx="3">
                  <c:v>艺术学院</c:v>
                </c:pt>
                <c:pt idx="4">
                  <c:v>大数据学院</c:v>
                </c:pt>
                <c:pt idx="5">
                  <c:v>人文学院</c:v>
                </c:pt>
                <c:pt idx="6">
                  <c:v>经济管理学院</c:v>
                </c:pt>
                <c:pt idx="7">
                  <c:v>农林工程与规划学院</c:v>
                </c:pt>
                <c:pt idx="8">
                  <c:v>马克思主义学院</c:v>
                </c:pt>
                <c:pt idx="9">
                  <c:v>材料与化学工程学院</c:v>
                </c:pt>
              </c:strCache>
            </c:strRef>
          </c:cat>
          <c:val>
            <c:numRef>
              <c:f>Sheet1!$B$2:$B$11</c:f>
              <c:numCache>
                <c:formatCode>0.00%</c:formatCode>
                <c:ptCount val="10"/>
                <c:pt idx="0">
                  <c:v>0.00851063829787234</c:v>
                </c:pt>
                <c:pt idx="1">
                  <c:v>0.0196078431372549</c:v>
                </c:pt>
                <c:pt idx="2">
                  <c:v>0.0264900662251656</c:v>
                </c:pt>
                <c:pt idx="3">
                  <c:v>0.031055900621118</c:v>
                </c:pt>
                <c:pt idx="4">
                  <c:v>0.0341296928327645</c:v>
                </c:pt>
                <c:pt idx="5">
                  <c:v>0.0588235294117647</c:v>
                </c:pt>
                <c:pt idx="6">
                  <c:v>0.0820512820512821</c:v>
                </c:pt>
                <c:pt idx="7">
                  <c:v>0.114893617021277</c:v>
                </c:pt>
                <c:pt idx="8">
                  <c:v>0.135593220338983</c:v>
                </c:pt>
                <c:pt idx="9">
                  <c:v>0.2018779342723</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301799431758"/>
          <c:y val="0.0246289864224818"/>
          <c:w val="0.624160791329054"/>
          <c:h val="0.91674560572571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Sheet1!$A$2:$A$32</c:f>
              <c:strCache>
                <c:ptCount val="31"/>
                <c:pt idx="0">
                  <c:v>学前教育</c:v>
                </c:pt>
                <c:pt idx="1">
                  <c:v>材料科学与工程</c:v>
                </c:pt>
                <c:pt idx="2">
                  <c:v>体育教育</c:v>
                </c:pt>
                <c:pt idx="3">
                  <c:v>数学与应用数学</c:v>
                </c:pt>
                <c:pt idx="4">
                  <c:v>水利水电工程</c:v>
                </c:pt>
                <c:pt idx="5">
                  <c:v>休闲体育</c:v>
                </c:pt>
                <c:pt idx="6">
                  <c:v>英语</c:v>
                </c:pt>
                <c:pt idx="7">
                  <c:v>特殊教育</c:v>
                </c:pt>
                <c:pt idx="8">
                  <c:v>视觉传达设计</c:v>
                </c:pt>
                <c:pt idx="9">
                  <c:v>自动化</c:v>
                </c:pt>
                <c:pt idx="10">
                  <c:v>金融工程</c:v>
                </c:pt>
                <c:pt idx="11">
                  <c:v>旅游管理类</c:v>
                </c:pt>
                <c:pt idx="12">
                  <c:v>应用物理学</c:v>
                </c:pt>
                <c:pt idx="13">
                  <c:v>音乐学</c:v>
                </c:pt>
                <c:pt idx="14">
                  <c:v>化学工程与工艺</c:v>
                </c:pt>
                <c:pt idx="15">
                  <c:v>汉语言文学</c:v>
                </c:pt>
                <c:pt idx="16">
                  <c:v>风景园林</c:v>
                </c:pt>
                <c:pt idx="17">
                  <c:v>统计学</c:v>
                </c:pt>
                <c:pt idx="18">
                  <c:v>秘书学</c:v>
                </c:pt>
                <c:pt idx="19">
                  <c:v>社会工作</c:v>
                </c:pt>
                <c:pt idx="20">
                  <c:v>园林</c:v>
                </c:pt>
                <c:pt idx="21">
                  <c:v>城乡规划</c:v>
                </c:pt>
                <c:pt idx="22">
                  <c:v>历史学</c:v>
                </c:pt>
                <c:pt idx="23">
                  <c:v>地理科学</c:v>
                </c:pt>
                <c:pt idx="24">
                  <c:v>制药工程</c:v>
                </c:pt>
                <c:pt idx="25">
                  <c:v>思想政治教育</c:v>
                </c:pt>
                <c:pt idx="26">
                  <c:v>物理学</c:v>
                </c:pt>
                <c:pt idx="27">
                  <c:v>农村区域发展</c:v>
                </c:pt>
                <c:pt idx="28">
                  <c:v>化学</c:v>
                </c:pt>
                <c:pt idx="29">
                  <c:v>林学</c:v>
                </c:pt>
                <c:pt idx="30">
                  <c:v>食品科学与工程</c:v>
                </c:pt>
              </c:strCache>
            </c:strRef>
          </c:cat>
          <c:val>
            <c:numRef>
              <c:f>Sheet1!$B$2:$B$32</c:f>
              <c:numCache>
                <c:formatCode>0.00%</c:formatCode>
                <c:ptCount val="31"/>
                <c:pt idx="0">
                  <c:v>0.00884955752212389</c:v>
                </c:pt>
                <c:pt idx="1">
                  <c:v>0.0217391304347826</c:v>
                </c:pt>
                <c:pt idx="2">
                  <c:v>0.0222222222222222</c:v>
                </c:pt>
                <c:pt idx="3">
                  <c:v>0.024390243902439</c:v>
                </c:pt>
                <c:pt idx="4">
                  <c:v>0.025</c:v>
                </c:pt>
                <c:pt idx="5">
                  <c:v>0.027027027027027</c:v>
                </c:pt>
                <c:pt idx="6">
                  <c:v>0.0307692307692308</c:v>
                </c:pt>
                <c:pt idx="7">
                  <c:v>0.0357142857142857</c:v>
                </c:pt>
                <c:pt idx="8">
                  <c:v>0.037037037037037</c:v>
                </c:pt>
                <c:pt idx="9">
                  <c:v>0.037037037037037</c:v>
                </c:pt>
                <c:pt idx="10">
                  <c:v>0.0405405405405405</c:v>
                </c:pt>
                <c:pt idx="11">
                  <c:v>0.0465116279069767</c:v>
                </c:pt>
                <c:pt idx="12">
                  <c:v>0.0476190476190476</c:v>
                </c:pt>
                <c:pt idx="13">
                  <c:v>0.0517241379310345</c:v>
                </c:pt>
                <c:pt idx="14">
                  <c:v>0.0571428571428571</c:v>
                </c:pt>
                <c:pt idx="15">
                  <c:v>0.0659340659340659</c:v>
                </c:pt>
                <c:pt idx="16">
                  <c:v>0.0714285714285714</c:v>
                </c:pt>
                <c:pt idx="17">
                  <c:v>0.0769230769230769</c:v>
                </c:pt>
                <c:pt idx="18">
                  <c:v>0.0833333333333333</c:v>
                </c:pt>
                <c:pt idx="19">
                  <c:v>0.0833333333333333</c:v>
                </c:pt>
                <c:pt idx="20">
                  <c:v>0.0930232558139535</c:v>
                </c:pt>
                <c:pt idx="21">
                  <c:v>0.103448275862069</c:v>
                </c:pt>
                <c:pt idx="22">
                  <c:v>0.119047619047619</c:v>
                </c:pt>
                <c:pt idx="23">
                  <c:v>0.133333333333333</c:v>
                </c:pt>
                <c:pt idx="24">
                  <c:v>0.138888888888889</c:v>
                </c:pt>
                <c:pt idx="25">
                  <c:v>0.145454545454545</c:v>
                </c:pt>
                <c:pt idx="26">
                  <c:v>0.178571428571429</c:v>
                </c:pt>
                <c:pt idx="27">
                  <c:v>0.269230769230769</c:v>
                </c:pt>
                <c:pt idx="28">
                  <c:v>0.285714285714286</c:v>
                </c:pt>
                <c:pt idx="29">
                  <c:v>0.41025641025641</c:v>
                </c:pt>
                <c:pt idx="30">
                  <c:v>0.710526315789474</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8"/>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b="0"/>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501055594652"/>
          <c:y val="0.0109925607930008"/>
          <c:w val="0.877258024384175"/>
          <c:h val="0.951945754716981"/>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Sheet1!$A$2:$A$7</c:f>
              <c:strCache>
                <c:ptCount val="6"/>
                <c:pt idx="0">
                  <c:v>租赁和商务服务业</c:v>
                </c:pt>
                <c:pt idx="1">
                  <c:v>住宿和餐饮业</c:v>
                </c:pt>
                <c:pt idx="2">
                  <c:v>信息传输、软件和信息技术服务业</c:v>
                </c:pt>
                <c:pt idx="3">
                  <c:v>科学研究和技术服务业</c:v>
                </c:pt>
                <c:pt idx="4">
                  <c:v>批发和零售业</c:v>
                </c:pt>
                <c:pt idx="5">
                  <c:v>居民服务、修理和其他服务业</c:v>
                </c:pt>
              </c:strCache>
            </c:strRef>
          </c:cat>
          <c:val>
            <c:numRef>
              <c:f>Sheet1!$B$2:$B$7</c:f>
              <c:numCache>
                <c:formatCode>0.00%</c:formatCode>
                <c:ptCount val="6"/>
                <c:pt idx="0">
                  <c:v>0.1</c:v>
                </c:pt>
                <c:pt idx="1">
                  <c:v>0.1</c:v>
                </c:pt>
                <c:pt idx="2">
                  <c:v>0.1</c:v>
                </c:pt>
                <c:pt idx="3">
                  <c:v>0.1</c:v>
                </c:pt>
                <c:pt idx="4">
                  <c:v>0.3</c:v>
                </c:pt>
                <c:pt idx="5">
                  <c:v>0.3</c:v>
                </c:pt>
              </c:numCache>
            </c:numRef>
          </c:val>
        </c:ser>
        <c:ser>
          <c:idx val="1"/>
          <c:order val="1"/>
          <c:tx>
            <c:strRef>
              <c:f>Sheet1!$B$1</c:f>
              <c:strCache>
                <c:ptCount val="1"/>
                <c:pt idx="0">
                  <c:v>占比</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Sheet1!$A$2:$A$7</c:f>
              <c:strCache>
                <c:ptCount val="6"/>
                <c:pt idx="0">
                  <c:v>租赁和商务服务业</c:v>
                </c:pt>
                <c:pt idx="1">
                  <c:v>住宿和餐饮业</c:v>
                </c:pt>
                <c:pt idx="2">
                  <c:v>信息传输、软件和信息技术服务业</c:v>
                </c:pt>
                <c:pt idx="3">
                  <c:v>科学研究和技术服务业</c:v>
                </c:pt>
                <c:pt idx="4">
                  <c:v>批发和零售业</c:v>
                </c:pt>
                <c:pt idx="5">
                  <c:v>居民服务、修理和其他服务业</c:v>
                </c:pt>
              </c:strCache>
            </c:strRef>
          </c:cat>
          <c:val>
            <c:numRef>
              <c:f>Sheet1!$A$2:$A$7</c:f>
              <c:numCache>
                <c:formatCode>General</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gapWidth val="30"/>
        <c:axId val="275368640"/>
        <c:axId val="275369200"/>
      </c:barChart>
      <c:catAx>
        <c:axId val="275368640"/>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p>
        </c:txPr>
        <c:crossAx val="275369200"/>
        <c:crosses val="autoZero"/>
        <c:auto val="1"/>
        <c:lblAlgn val="ctr"/>
        <c:lblOffset val="100"/>
        <c:tickLblSkip val="1"/>
        <c:noMultiLvlLbl val="0"/>
      </c:catAx>
      <c:valAx>
        <c:axId val="275369200"/>
        <c:scaling>
          <c:orientation val="minMax"/>
          <c:max val="0.5"/>
          <c:min val="0"/>
        </c:scaling>
        <c:delete val="0"/>
        <c:axPos val="b"/>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5368640"/>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[毕业生基本情况.xlsx]自主创业!$F$14:$F$16</c:f>
              <c:strCache>
                <c:ptCount val="3"/>
                <c:pt idx="0">
                  <c:v>云南</c:v>
                </c:pt>
                <c:pt idx="1">
                  <c:v>浙江</c:v>
                </c:pt>
                <c:pt idx="2">
                  <c:v>贵州</c:v>
                </c:pt>
              </c:strCache>
            </c:strRef>
          </c:cat>
          <c:val>
            <c:numRef>
              <c:f>[毕业生基本情况.xlsx]自主创业!$G$14:$G$16</c:f>
              <c:numCache>
                <c:formatCode>0.00%</c:formatCode>
                <c:ptCount val="3"/>
                <c:pt idx="0">
                  <c:v>0.1</c:v>
                </c:pt>
                <c:pt idx="1">
                  <c:v>0.2</c:v>
                </c:pt>
                <c:pt idx="2">
                  <c:v>0.7</c:v>
                </c:pt>
              </c:numCache>
            </c:numRef>
          </c:val>
        </c:ser>
        <c:dLbls>
          <c:showLegendKey val="0"/>
          <c:showVal val="1"/>
          <c:showCatName val="0"/>
          <c:showSerName val="0"/>
          <c:showPercent val="0"/>
          <c:showBubbleSize val="0"/>
        </c:dLbls>
        <c:gapWidth val="100"/>
        <c:overlap val="-24"/>
        <c:axId val="680267887"/>
        <c:axId val="306845111"/>
      </c:barChart>
      <c:catAx>
        <c:axId val="680267887"/>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306845111"/>
        <c:crosses val="autoZero"/>
        <c:auto val="1"/>
        <c:lblAlgn val="ctr"/>
        <c:lblOffset val="100"/>
        <c:noMultiLvlLbl val="0"/>
      </c:catAx>
      <c:valAx>
        <c:axId val="306845111"/>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6802678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37934842628"/>
          <c:y val="0.0397183098591549"/>
          <c:w val="0.775262286029818"/>
          <c:h val="0.844338028169014"/>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非常满意</c:v>
                </c:pt>
                <c:pt idx="1">
                  <c:v>满意</c:v>
                </c:pt>
                <c:pt idx="2">
                  <c:v>比较满意</c:v>
                </c:pt>
                <c:pt idx="3">
                  <c:v>不太满意</c:v>
                </c:pt>
                <c:pt idx="4">
                  <c:v>不满意</c:v>
                </c:pt>
              </c:strCache>
            </c:strRef>
          </c:cat>
          <c:val>
            <c:numRef>
              <c:f>Sheet1!$B$2:$B$6</c:f>
              <c:numCache>
                <c:formatCode>0.00%</c:formatCode>
                <c:ptCount val="5"/>
                <c:pt idx="0">
                  <c:v>0.135672514619883</c:v>
                </c:pt>
                <c:pt idx="1">
                  <c:v>0.242105263157895</c:v>
                </c:pt>
                <c:pt idx="2">
                  <c:v>0.376608187134503</c:v>
                </c:pt>
                <c:pt idx="3">
                  <c:v>0.208187134502924</c:v>
                </c:pt>
                <c:pt idx="4">
                  <c:v>0.0374269005847953</c:v>
                </c:pt>
              </c:numCache>
            </c:numRef>
          </c:val>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36885438720301"/>
          <c:y val="0.00780659783429867"/>
          <c:w val="0.657198306280875"/>
          <c:h val="0.875598086124402"/>
        </c:manualLayout>
      </c:layout>
      <c:barChart>
        <c:barDir val="bar"/>
        <c:grouping val="clustered"/>
        <c:varyColors val="0"/>
        <c:ser>
          <c:idx val="0"/>
          <c:order val="0"/>
          <c:tx>
            <c:strRef>
              <c:f>Sheet1!$B$1</c:f>
              <c:strCache>
                <c:ptCount val="1"/>
                <c:pt idx="0">
                  <c:v>薪酬均值</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教育学院</c:v>
                </c:pt>
                <c:pt idx="1">
                  <c:v>经济管理学院</c:v>
                </c:pt>
                <c:pt idx="2">
                  <c:v>国际学院</c:v>
                </c:pt>
                <c:pt idx="3">
                  <c:v>材料与化学工程学院</c:v>
                </c:pt>
                <c:pt idx="4">
                  <c:v>大健康学院</c:v>
                </c:pt>
                <c:pt idx="5">
                  <c:v>大数据学院</c:v>
                </c:pt>
                <c:pt idx="6">
                  <c:v>农林工程与规划学院</c:v>
                </c:pt>
                <c:pt idx="7">
                  <c:v>人文学院</c:v>
                </c:pt>
                <c:pt idx="8">
                  <c:v>马克思主义学院</c:v>
                </c:pt>
                <c:pt idx="9">
                  <c:v>艺术学院</c:v>
                </c:pt>
              </c:strCache>
            </c:strRef>
          </c:cat>
          <c:val>
            <c:numRef>
              <c:f>Sheet1!$B$2:$B$11</c:f>
              <c:numCache>
                <c:formatCode>0.00%</c:formatCode>
                <c:ptCount val="10"/>
                <c:pt idx="0">
                  <c:v>0.658064516129032</c:v>
                </c:pt>
                <c:pt idx="1">
                  <c:v>0.691176470588236</c:v>
                </c:pt>
                <c:pt idx="2">
                  <c:v>0.714285714285714</c:v>
                </c:pt>
                <c:pt idx="3">
                  <c:v>0.727272727272728</c:v>
                </c:pt>
                <c:pt idx="4">
                  <c:v>0.734042553191489</c:v>
                </c:pt>
                <c:pt idx="5">
                  <c:v>0.77536231884058</c:v>
                </c:pt>
                <c:pt idx="6">
                  <c:v>0.781456953642384</c:v>
                </c:pt>
                <c:pt idx="7">
                  <c:v>0.847457627118644</c:v>
                </c:pt>
                <c:pt idx="8">
                  <c:v>0.945454545454545</c:v>
                </c:pt>
                <c:pt idx="9">
                  <c:v>1</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9264"/>
        <c:crosses val="autoZero"/>
        <c:auto val="1"/>
        <c:lblAlgn val="ctr"/>
        <c:lblOffset val="100"/>
        <c:noMultiLvlLbl val="0"/>
      </c:catAx>
      <c:valAx>
        <c:axId val="276469264"/>
        <c:scaling>
          <c:orientation val="minMax"/>
          <c:max val="1"/>
          <c:min val="0"/>
        </c:scaling>
        <c:delete val="0"/>
        <c:axPos val="b"/>
        <c:numFmt formatCode="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26487437658"/>
          <c:y val="0.0397202797202797"/>
          <c:w val="0.771071941308541"/>
          <c:h val="0.788464290065008"/>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非常相关</c:v>
                </c:pt>
                <c:pt idx="1">
                  <c:v>相关</c:v>
                </c:pt>
                <c:pt idx="2">
                  <c:v>比较相关</c:v>
                </c:pt>
                <c:pt idx="3">
                  <c:v>不太相关</c:v>
                </c:pt>
                <c:pt idx="4">
                  <c:v>不相关</c:v>
                </c:pt>
              </c:strCache>
            </c:strRef>
          </c:cat>
          <c:val>
            <c:numRef>
              <c:f>Sheet1!$B$2:$B$6</c:f>
              <c:numCache>
                <c:formatCode>0.00%</c:formatCode>
                <c:ptCount val="5"/>
                <c:pt idx="0">
                  <c:v>0.301435406698565</c:v>
                </c:pt>
                <c:pt idx="1">
                  <c:v>0.284688995215311</c:v>
                </c:pt>
                <c:pt idx="2">
                  <c:v>0.172248803827751</c:v>
                </c:pt>
                <c:pt idx="3">
                  <c:v>0.133971291866029</c:v>
                </c:pt>
                <c:pt idx="4">
                  <c:v>0.107655502392345</c:v>
                </c:pt>
              </c:numCache>
            </c:numRef>
          </c:val>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813008130081"/>
          <c:y val="0.0482245309350287"/>
          <c:w val="0.696682926829268"/>
          <c:h val="0.87424406884788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材料与化学工程学院</c:v>
                </c:pt>
                <c:pt idx="1">
                  <c:v>国际学院</c:v>
                </c:pt>
                <c:pt idx="2">
                  <c:v>大数据学院</c:v>
                </c:pt>
                <c:pt idx="3">
                  <c:v>人文学院</c:v>
                </c:pt>
                <c:pt idx="4">
                  <c:v>农林工程与规划学院</c:v>
                </c:pt>
                <c:pt idx="5">
                  <c:v>马克思主义学院</c:v>
                </c:pt>
                <c:pt idx="6">
                  <c:v>大健康学院</c:v>
                </c:pt>
                <c:pt idx="7">
                  <c:v>经济管理学院</c:v>
                </c:pt>
                <c:pt idx="8">
                  <c:v>艺术学院</c:v>
                </c:pt>
                <c:pt idx="9">
                  <c:v>教育学院</c:v>
                </c:pt>
              </c:strCache>
            </c:strRef>
          </c:cat>
          <c:val>
            <c:numRef>
              <c:f>Sheet1!$B$2:$B$11</c:f>
              <c:numCache>
                <c:formatCode>0.00%</c:formatCode>
                <c:ptCount val="10"/>
                <c:pt idx="0">
                  <c:v>0.863849765258216</c:v>
                </c:pt>
                <c:pt idx="1">
                  <c:v>0.872549019607843</c:v>
                </c:pt>
                <c:pt idx="2">
                  <c:v>0.928327645051195</c:v>
                </c:pt>
                <c:pt idx="3">
                  <c:v>0.929411764705882</c:v>
                </c:pt>
                <c:pt idx="4">
                  <c:v>0.931914893617021</c:v>
                </c:pt>
                <c:pt idx="5">
                  <c:v>0.932203389830508</c:v>
                </c:pt>
                <c:pt idx="6">
                  <c:v>0.933774834437086</c:v>
                </c:pt>
                <c:pt idx="7">
                  <c:v>0.948717948717949</c:v>
                </c:pt>
                <c:pt idx="8">
                  <c:v>0.956521739130435</c:v>
                </c:pt>
                <c:pt idx="9">
                  <c:v>0.961702127659574</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in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33209819360815"/>
          <c:y val="0.0202861800398479"/>
          <c:w val="0.710224641037517"/>
          <c:h val="0.874298134395943"/>
        </c:manualLayout>
      </c:layout>
      <c:barChart>
        <c:barDir val="bar"/>
        <c:grouping val="clustered"/>
        <c:varyColors val="0"/>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艺术学院</c:v>
                </c:pt>
                <c:pt idx="1">
                  <c:v>经济管理学院</c:v>
                </c:pt>
                <c:pt idx="2">
                  <c:v>国际学院</c:v>
                </c:pt>
                <c:pt idx="3">
                  <c:v>材料与化学工程学院</c:v>
                </c:pt>
                <c:pt idx="4">
                  <c:v>大数据学院</c:v>
                </c:pt>
                <c:pt idx="5">
                  <c:v>农林工程与规划学院</c:v>
                </c:pt>
                <c:pt idx="6">
                  <c:v>马克思主义学院</c:v>
                </c:pt>
                <c:pt idx="7">
                  <c:v>大健康学院</c:v>
                </c:pt>
                <c:pt idx="8">
                  <c:v>教育学院</c:v>
                </c:pt>
                <c:pt idx="9">
                  <c:v>人文学院</c:v>
                </c:pt>
              </c:strCache>
            </c:strRef>
          </c:cat>
          <c:val>
            <c:numRef>
              <c:f>Sheet1!$B$2:$B$11</c:f>
              <c:numCache>
                <c:formatCode>0.00%</c:formatCode>
                <c:ptCount val="10"/>
                <c:pt idx="0">
                  <c:v>0.6</c:v>
                </c:pt>
                <c:pt idx="1">
                  <c:v>0.607142857142858</c:v>
                </c:pt>
                <c:pt idx="2">
                  <c:v>0.625</c:v>
                </c:pt>
                <c:pt idx="3">
                  <c:v>0.720930232558139</c:v>
                </c:pt>
                <c:pt idx="4">
                  <c:v>0.728571428571429</c:v>
                </c:pt>
                <c:pt idx="5">
                  <c:v>0.74390243902439</c:v>
                </c:pt>
                <c:pt idx="6">
                  <c:v>0.75</c:v>
                </c:pt>
                <c:pt idx="7">
                  <c:v>0.818181818181818</c:v>
                </c:pt>
                <c:pt idx="8">
                  <c:v>0.84</c:v>
                </c:pt>
                <c:pt idx="9">
                  <c:v>0.84375</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9264"/>
        <c:crosses val="autoZero"/>
        <c:auto val="1"/>
        <c:lblAlgn val="ctr"/>
        <c:lblOffset val="100"/>
        <c:noMultiLvlLbl val="0"/>
      </c:catAx>
      <c:valAx>
        <c:axId val="276469264"/>
        <c:scaling>
          <c:orientation val="minMax"/>
          <c:max val="1"/>
          <c:min val="0"/>
        </c:scaling>
        <c:delete val="0"/>
        <c:axPos val="b"/>
        <c:numFmt formatCode="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17342130066"/>
          <c:y val="0.0481395837712844"/>
          <c:w val="0.676060320452403"/>
          <c:h val="0.856422114778222"/>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Sheet1!$A$2:$A$10</c:f>
              <c:strCache>
                <c:ptCount val="9"/>
                <c:pt idx="0">
                  <c:v>其他</c:v>
                </c:pt>
                <c:pt idx="1">
                  <c:v>社会对母校专业不认可</c:v>
                </c:pt>
                <c:pt idx="2">
                  <c:v>专业工作环境差</c:v>
                </c:pt>
                <c:pt idx="3">
                  <c:v>对本专业工作无兴趣</c:v>
                </c:pt>
                <c:pt idx="4">
                  <c:v>专业工作与自身理想不符</c:v>
                </c:pt>
                <c:pt idx="5">
                  <c:v>专业工作收入水平较低</c:v>
                </c:pt>
                <c:pt idx="6">
                  <c:v>达不到专业相关工作的要求</c:v>
                </c:pt>
                <c:pt idx="7">
                  <c:v>专业工作岗位招聘少</c:v>
                </c:pt>
                <c:pt idx="8">
                  <c:v>迫于现实先就业再择业</c:v>
                </c:pt>
              </c:strCache>
            </c:strRef>
          </c:cat>
          <c:val>
            <c:numRef>
              <c:f>Sheet1!$B$2:$B$10</c:f>
              <c:numCache>
                <c:formatCode>0.00%</c:formatCode>
                <c:ptCount val="9"/>
                <c:pt idx="0">
                  <c:v>0.207920792079208</c:v>
                </c:pt>
                <c:pt idx="1">
                  <c:v>0.0099009900990099</c:v>
                </c:pt>
                <c:pt idx="2">
                  <c:v>0.0198019801980198</c:v>
                </c:pt>
                <c:pt idx="3">
                  <c:v>0.0198019801980198</c:v>
                </c:pt>
                <c:pt idx="4">
                  <c:v>0.0594059405940594</c:v>
                </c:pt>
                <c:pt idx="5">
                  <c:v>0.0792079207920792</c:v>
                </c:pt>
                <c:pt idx="6">
                  <c:v>0.0792079207920792</c:v>
                </c:pt>
                <c:pt idx="7">
                  <c:v>0.148514851485149</c:v>
                </c:pt>
                <c:pt idx="8">
                  <c:v>0.376237623762376</c:v>
                </c:pt>
              </c:numCache>
            </c:numRef>
          </c:val>
        </c:ser>
        <c:dLbls>
          <c:showLegendKey val="0"/>
          <c:showVal val="0"/>
          <c:showCatName val="0"/>
          <c:showSerName val="0"/>
          <c:showPercent val="0"/>
          <c:showBubbleSize val="0"/>
        </c:dLbls>
        <c:gapWidth val="100"/>
        <c:axId val="276477664"/>
        <c:axId val="276478224"/>
      </c:barChart>
      <c:catAx>
        <c:axId val="276477664"/>
        <c:scaling>
          <c:orientation val="minMax"/>
        </c:scaling>
        <c:delete val="0"/>
        <c:axPos val="l"/>
        <c:numFmt formatCode="General" sourceLinked="0"/>
        <c:majorTickMark val="none"/>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276478224"/>
        <c:crosses val="autoZero"/>
        <c:auto val="1"/>
        <c:lblAlgn val="ctr"/>
        <c:lblOffset val="100"/>
        <c:noMultiLvlLbl val="0"/>
      </c:catAx>
      <c:valAx>
        <c:axId val="276478224"/>
        <c:scaling>
          <c:orientation val="minMax"/>
          <c:max val="0.45"/>
          <c:min val="0"/>
        </c:scaling>
        <c:delete val="0"/>
        <c:axPos val="b"/>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7766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26487437658"/>
          <c:y val="0.0397202797202797"/>
          <c:w val="0.771071941308541"/>
          <c:h val="0.788464290065008"/>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非常吻合</c:v>
                </c:pt>
                <c:pt idx="1">
                  <c:v>吻合</c:v>
                </c:pt>
                <c:pt idx="2">
                  <c:v>比较吻合</c:v>
                </c:pt>
                <c:pt idx="3">
                  <c:v>不太吻合</c:v>
                </c:pt>
                <c:pt idx="4">
                  <c:v>不吻合</c:v>
                </c:pt>
              </c:strCache>
            </c:strRef>
          </c:cat>
          <c:val>
            <c:numRef>
              <c:f>Sheet1!$B$2:$B$6</c:f>
              <c:numCache>
                <c:formatCode>0.00%</c:formatCode>
                <c:ptCount val="5"/>
                <c:pt idx="0">
                  <c:v>0.119617224880383</c:v>
                </c:pt>
                <c:pt idx="1">
                  <c:v>0.26555023923445</c:v>
                </c:pt>
                <c:pt idx="2">
                  <c:v>0.356459330143541</c:v>
                </c:pt>
                <c:pt idx="3">
                  <c:v>0.196172248803828</c:v>
                </c:pt>
                <c:pt idx="4">
                  <c:v>0.062200956937799</c:v>
                </c:pt>
              </c:numCache>
            </c:numRef>
          </c:val>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33209819360815"/>
          <c:y val="0.0202861800398479"/>
          <c:w val="0.710224641037517"/>
          <c:h val="0.874298134395943"/>
        </c:manualLayout>
      </c:layout>
      <c:barChart>
        <c:barDir val="bar"/>
        <c:grouping val="clustered"/>
        <c:varyColors val="0"/>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大数据学院</c:v>
                </c:pt>
                <c:pt idx="1">
                  <c:v>国际学院</c:v>
                </c:pt>
                <c:pt idx="2">
                  <c:v>农林工程与规划学院</c:v>
                </c:pt>
                <c:pt idx="3">
                  <c:v>材料与化学工程学院</c:v>
                </c:pt>
                <c:pt idx="4">
                  <c:v>大健康学院</c:v>
                </c:pt>
                <c:pt idx="5">
                  <c:v>教育学院</c:v>
                </c:pt>
                <c:pt idx="6">
                  <c:v>经济管理学院</c:v>
                </c:pt>
                <c:pt idx="7">
                  <c:v>艺术学院</c:v>
                </c:pt>
                <c:pt idx="8">
                  <c:v>马克思主义学院</c:v>
                </c:pt>
                <c:pt idx="9">
                  <c:v>人文学院</c:v>
                </c:pt>
              </c:strCache>
            </c:strRef>
          </c:cat>
          <c:val>
            <c:numRef>
              <c:f>Sheet1!$B$2:$B$11</c:f>
              <c:numCache>
                <c:formatCode>0.00%</c:formatCode>
                <c:ptCount val="10"/>
                <c:pt idx="0">
                  <c:v>0.685714285714285</c:v>
                </c:pt>
                <c:pt idx="1">
                  <c:v>0.6875</c:v>
                </c:pt>
                <c:pt idx="2">
                  <c:v>0.719512195121951</c:v>
                </c:pt>
                <c:pt idx="3">
                  <c:v>0.744186046511629</c:v>
                </c:pt>
                <c:pt idx="4">
                  <c:v>0.745454545454546</c:v>
                </c:pt>
                <c:pt idx="5">
                  <c:v>0.746666666666667</c:v>
                </c:pt>
                <c:pt idx="6">
                  <c:v>0.785714285714285</c:v>
                </c:pt>
                <c:pt idx="7">
                  <c:v>0.8</c:v>
                </c:pt>
                <c:pt idx="8">
                  <c:v>0.833333333333333</c:v>
                </c:pt>
                <c:pt idx="9">
                  <c:v>0.84375</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9264"/>
        <c:crosses val="autoZero"/>
        <c:auto val="1"/>
        <c:lblAlgn val="ctr"/>
        <c:lblOffset val="100"/>
        <c:noMultiLvlLbl val="0"/>
      </c:catAx>
      <c:valAx>
        <c:axId val="276469264"/>
        <c:scaling>
          <c:orientation val="minMax"/>
          <c:max val="1"/>
          <c:min val="0"/>
        </c:scaling>
        <c:delete val="0"/>
        <c:axPos val="b"/>
        <c:numFmt formatCode="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4318766066838"/>
          <c:y val="0.0442956548556999"/>
          <c:w val="0.883377645432309"/>
          <c:h val="0.657891373801917"/>
        </c:manualLayout>
      </c:layout>
      <c:lineChart>
        <c:grouping val="standard"/>
        <c:varyColors val="0"/>
        <c:ser>
          <c:idx val="0"/>
          <c:order val="0"/>
          <c:tx>
            <c:strRef>
              <c:f>Sheet1!$B$1</c:f>
              <c:strCache>
                <c:ptCount val="1"/>
                <c:pt idx="0">
                  <c:v>各区间占比</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Pt>
            <c:idx val="4"/>
            <c:marker>
              <c:symbol val="diamond"/>
              <c:size val="5"/>
              <c:spPr>
                <a:solidFill>
                  <a:schemeClr val="bg1"/>
                </a:solidFill>
                <a:ln w="9525">
                  <a:solidFill>
                    <a:schemeClr val="accent1"/>
                  </a:solidFill>
                </a:ln>
                <a:effectLst/>
              </c:spPr>
            </c:marker>
            <c:bubble3D val="0"/>
            <c:spPr>
              <a:ln w="28575" cap="rnd">
                <a:solidFill>
                  <a:schemeClr val="accent1"/>
                </a:solidFill>
                <a:round/>
              </a:ln>
              <a:effectLst/>
            </c:spPr>
          </c:dPt>
          <c:dLbls>
            <c:dLbl>
              <c:idx val="0"/>
              <c:layout>
                <c:manualLayout>
                  <c:x val="-0.0569805892907455"/>
                  <c:y val="-0.084658577513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43930624824347"/>
                  <c:y val="-0.06833188708554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42205296025837"/>
                  <c:y val="-0.068131340725266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83281173337907"/>
                  <c:y val="-0.06826503829878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Sheet1!$A$2:$A$9</c:f>
              <c:strCache>
                <c:ptCount val="8"/>
                <c:pt idx="0">
                  <c:v>2000元及以下</c:v>
                </c:pt>
                <c:pt idx="1">
                  <c:v>2001-3000元</c:v>
                </c:pt>
                <c:pt idx="2">
                  <c:v>3001-4000元</c:v>
                </c:pt>
                <c:pt idx="3">
                  <c:v>4001-5000元</c:v>
                </c:pt>
                <c:pt idx="4">
                  <c:v>5001-7000元</c:v>
                </c:pt>
                <c:pt idx="5">
                  <c:v>7001-10000元</c:v>
                </c:pt>
                <c:pt idx="6">
                  <c:v>10001-20000元</c:v>
                </c:pt>
                <c:pt idx="7">
                  <c:v>20000元以上</c:v>
                </c:pt>
              </c:strCache>
            </c:strRef>
          </c:cat>
          <c:val>
            <c:numRef>
              <c:f>Sheet1!$B$2:$B$9</c:f>
              <c:numCache>
                <c:formatCode>0.00%</c:formatCode>
                <c:ptCount val="8"/>
                <c:pt idx="0">
                  <c:v>0.069377990430622</c:v>
                </c:pt>
                <c:pt idx="1">
                  <c:v>0.191387559808612</c:v>
                </c:pt>
                <c:pt idx="2">
                  <c:v>0.282296650717703</c:v>
                </c:pt>
                <c:pt idx="3">
                  <c:v>0.253588516746411</c:v>
                </c:pt>
                <c:pt idx="4">
                  <c:v>0.131578947368421</c:v>
                </c:pt>
                <c:pt idx="5">
                  <c:v>0.0550239234449761</c:v>
                </c:pt>
                <c:pt idx="6">
                  <c:v>0.0143540669856459</c:v>
                </c:pt>
                <c:pt idx="7">
                  <c:v>0.00239234449760766</c:v>
                </c:pt>
              </c:numCache>
            </c:numRef>
          </c:val>
          <c:smooth val="1"/>
        </c:ser>
        <c:dLbls>
          <c:showLegendKey val="0"/>
          <c:showVal val="1"/>
          <c:showCatName val="0"/>
          <c:showSerName val="0"/>
          <c:showPercent val="0"/>
          <c:showBubbleSize val="0"/>
        </c:dLbls>
        <c:marker val="1"/>
        <c:smooth val="1"/>
        <c:axId val="446916440"/>
        <c:axId val="955729752"/>
      </c:lineChart>
      <c:catAx>
        <c:axId val="446916440"/>
        <c:scaling>
          <c:orientation val="minMax"/>
        </c:scaling>
        <c:delete val="0"/>
        <c:axPos val="b"/>
        <c:numFmt formatCode="General" sourceLinked="1"/>
        <c:majorTickMark val="in"/>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55729752"/>
        <c:crosses val="autoZero"/>
        <c:auto val="1"/>
        <c:lblAlgn val="ctr"/>
        <c:lblOffset val="100"/>
        <c:noMultiLvlLbl val="0"/>
      </c:catAx>
      <c:valAx>
        <c:axId val="955729752"/>
        <c:scaling>
          <c:orientation val="minMax"/>
          <c:max val="0.4"/>
        </c:scaling>
        <c:delete val="0"/>
        <c:axPos val="l"/>
        <c:numFmt formatCode="0.00%" sourceLinked="0"/>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4469164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331787808537"/>
          <c:y val="0.0353001803658851"/>
          <c:w val="0.431337788081276"/>
          <c:h val="0.814996135016748"/>
        </c:manualLayout>
      </c:layout>
      <c:pieChart>
        <c:varyColors val="1"/>
        <c:ser>
          <c:idx val="0"/>
          <c:order val="0"/>
          <c:spPr>
            <a:ln w="6350">
              <a:solidFill>
                <a:schemeClr val="bg1"/>
              </a:solidFill>
            </a:ln>
            <a:effectLst>
              <a:outerShdw blurRad="50800" dist="50800" dir="1200000" algn="ctr" rotWithShape="0">
                <a:schemeClr val="bg1">
                  <a:lumMod val="75000"/>
                  <a:alpha val="43000"/>
                </a:schemeClr>
              </a:outerShdw>
            </a:effectLst>
          </c:spPr>
          <c:explosion val="0"/>
          <c:dPt>
            <c:idx val="0"/>
            <c:bubble3D val="0"/>
            <c:spPr>
              <a:solidFill>
                <a:srgbClr val="EA6062"/>
              </a:solidFill>
              <a:ln w="6350">
                <a:solidFill>
                  <a:schemeClr val="bg1"/>
                </a:solidFill>
              </a:ln>
              <a:effectLst>
                <a:outerShdw blurRad="50800" dist="50800" dir="1200000" algn="ctr" rotWithShape="0">
                  <a:schemeClr val="bg1">
                    <a:lumMod val="75000"/>
                    <a:alpha val="43000"/>
                  </a:schemeClr>
                </a:outerShdw>
              </a:effectLst>
            </c:spPr>
          </c:dPt>
          <c:dPt>
            <c:idx val="1"/>
            <c:bubble3D val="0"/>
            <c:spPr>
              <a:solidFill>
                <a:schemeClr val="accent2"/>
              </a:solidFill>
              <a:ln w="6350">
                <a:solidFill>
                  <a:schemeClr val="bg1"/>
                </a:solidFill>
              </a:ln>
              <a:effectLst>
                <a:outerShdw blurRad="50800" dist="50800" dir="1200000" algn="ctr" rotWithShape="0">
                  <a:schemeClr val="bg1">
                    <a:lumMod val="75000"/>
                    <a:alpha val="43000"/>
                  </a:schemeClr>
                </a:outerShdw>
              </a:effectLst>
            </c:spPr>
          </c:dPt>
          <c:dPt>
            <c:idx val="2"/>
            <c:bubble3D val="0"/>
            <c:spPr>
              <a:solidFill>
                <a:srgbClr val="4BB9D4"/>
              </a:solidFill>
              <a:ln w="6350">
                <a:solidFill>
                  <a:schemeClr val="bg1"/>
                </a:solidFill>
              </a:ln>
              <a:effectLst>
                <a:outerShdw blurRad="50800" dist="50800" dir="1200000" algn="ctr" rotWithShape="0">
                  <a:schemeClr val="bg1">
                    <a:lumMod val="75000"/>
                    <a:alpha val="43000"/>
                  </a:schemeClr>
                </a:outerShdw>
              </a:effectLst>
            </c:spPr>
          </c:dPt>
          <c:dPt>
            <c:idx val="3"/>
            <c:bubble3D val="0"/>
            <c:spPr>
              <a:solidFill>
                <a:srgbClr val="EEB847"/>
              </a:solidFill>
              <a:ln w="6350">
                <a:solidFill>
                  <a:schemeClr val="bg1"/>
                </a:solidFill>
              </a:ln>
              <a:effectLst>
                <a:outerShdw blurRad="50800" dist="50800" dir="1200000" algn="ctr" rotWithShape="0">
                  <a:schemeClr val="bg1">
                    <a:lumMod val="75000"/>
                    <a:alpha val="43000"/>
                  </a:schemeClr>
                </a:outerShdw>
              </a:effectLst>
            </c:spPr>
          </c:dPt>
          <c:dPt>
            <c:idx val="4"/>
            <c:bubble3D val="0"/>
            <c:spPr>
              <a:solidFill>
                <a:schemeClr val="accent5"/>
              </a:solidFill>
              <a:ln w="6350">
                <a:solidFill>
                  <a:schemeClr val="bg1"/>
                </a:solidFill>
              </a:ln>
              <a:effectLst>
                <a:outerShdw blurRad="50800" dist="50800" dir="1200000" algn="ctr" rotWithShape="0">
                  <a:schemeClr val="bg1">
                    <a:lumMod val="75000"/>
                    <a:alpha val="43000"/>
                  </a:schemeClr>
                </a:outerShdw>
              </a:effectLst>
            </c:spPr>
          </c:dPt>
          <c:dLbls>
            <c:dLbl>
              <c:idx val="0"/>
              <c:layout>
                <c:manualLayout>
                  <c:x val="-0.00309412968870363"/>
                  <c:y val="0.076813291240120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1299634970353"/>
                  <c:y val="0.12498153023938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[毕业生调研数据分析结果.xlsx]薪酬!$G$13:$G$17</c:f>
              <c:strCache>
                <c:ptCount val="5"/>
                <c:pt idx="0">
                  <c:v>非常满意</c:v>
                </c:pt>
                <c:pt idx="1">
                  <c:v>满意</c:v>
                </c:pt>
                <c:pt idx="2">
                  <c:v>比较满意</c:v>
                </c:pt>
                <c:pt idx="3">
                  <c:v>不太满意</c:v>
                </c:pt>
                <c:pt idx="4">
                  <c:v>不满意</c:v>
                </c:pt>
              </c:strCache>
            </c:strRef>
          </c:cat>
          <c:val>
            <c:numRef>
              <c:f>[毕业生调研数据分析结果.xlsx]薪酬!$H$13:$H$17</c:f>
              <c:numCache>
                <c:formatCode>0.00%</c:formatCode>
                <c:ptCount val="5"/>
                <c:pt idx="0">
                  <c:v>0.0550239234449761</c:v>
                </c:pt>
                <c:pt idx="1">
                  <c:v>0.150717703349282</c:v>
                </c:pt>
                <c:pt idx="2">
                  <c:v>0.392344497607656</c:v>
                </c:pt>
                <c:pt idx="3">
                  <c:v>0.301435406698565</c:v>
                </c:pt>
                <c:pt idx="4">
                  <c:v>0.100478468899522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1"/>
        <c:txPr>
          <a:bodyPr rot="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2"/>
        <c:txPr>
          <a:bodyPr rot="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3"/>
        <c:txPr>
          <a:bodyPr rot="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4"/>
        <c:txPr>
          <a:bodyPr rot="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manualLayout>
          <c:xMode val="edge"/>
          <c:yMode val="edge"/>
          <c:x val="0.187167598527206"/>
          <c:y val="0.885596495748518"/>
        </c:manualLayout>
      </c:layout>
      <c:overlay val="0"/>
      <c:spPr>
        <a:noFill/>
        <a:ln>
          <a:noFill/>
        </a:ln>
        <a:effectLst/>
      </c:spPr>
      <c:txPr>
        <a:bodyPr rot="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sz="100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5361653272101"/>
          <c:y val="0.118935837245696"/>
          <c:w val="0.616532721010333"/>
          <c:h val="0.810015649452269"/>
        </c:manualLayout>
      </c:layout>
      <c:barChart>
        <c:barDir val="bar"/>
        <c:grouping val="clustered"/>
        <c:varyColors val="0"/>
        <c:ser>
          <c:idx val="0"/>
          <c:order val="0"/>
          <c:tx>
            <c:strRef>
              <c:f>Sheet1!$B$1</c:f>
              <c:strCache>
                <c:ptCount val="1"/>
                <c:pt idx="0">
                  <c:v>薪酬均值</c:v>
                </c:pt>
              </c:strCache>
            </c:strRef>
          </c:tx>
          <c:spPr>
            <a:solidFill>
              <a:schemeClr val="accent1"/>
            </a:solidFill>
            <a:ln>
              <a:noFill/>
            </a:ln>
            <a:effectLst/>
            <a:scene3d>
              <a:camera prst="orthographicFront"/>
              <a:lightRig rig="threePt" dir="t"/>
            </a:scene3d>
          </c:spPr>
          <c:invertIfNegative val="0"/>
          <c:dPt>
            <c:idx val="0"/>
            <c:invertIfNegative val="0"/>
            <c:bubble3D val="0"/>
            <c:spPr>
              <a:solidFill>
                <a:schemeClr val="accent1"/>
              </a:solidFill>
              <a:ln>
                <a:noFill/>
              </a:ln>
              <a:effectLst/>
              <a:scene3d>
                <a:camera prst="orthographicFront"/>
                <a:lightRig rig="threePt" dir="t"/>
              </a:scene3d>
            </c:spPr>
          </c:dPt>
          <c:dPt>
            <c:idx val="1"/>
            <c:invertIfNegative val="0"/>
            <c:bubble3D val="0"/>
            <c:spPr>
              <a:solidFill>
                <a:schemeClr val="accent1"/>
              </a:solidFill>
              <a:ln>
                <a:no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Sheet1!$A$2:$A$5</c:f>
              <c:strCache>
                <c:ptCount val="4"/>
                <c:pt idx="0">
                  <c:v>没有提供任何福利保障</c:v>
                </c:pt>
                <c:pt idx="1">
                  <c:v>提供四险一金(一金指住房公积金)</c:v>
                </c:pt>
                <c:pt idx="2">
                  <c:v>提供基本保障-四险(工伤、失业、医疗、养老共四险，生育险与医疗险已合并统称“四险”)</c:v>
                </c:pt>
                <c:pt idx="3">
                  <c:v>除提供四险一金外，还提供其他保障和补贴</c:v>
                </c:pt>
              </c:strCache>
            </c:strRef>
          </c:cat>
          <c:val>
            <c:numRef>
              <c:f>Sheet1!$B$2:$B$5</c:f>
              <c:numCache>
                <c:formatCode>0.00%</c:formatCode>
                <c:ptCount val="4"/>
                <c:pt idx="0">
                  <c:v>0.138755980861244</c:v>
                </c:pt>
                <c:pt idx="1">
                  <c:v>0.239234449760766</c:v>
                </c:pt>
                <c:pt idx="2">
                  <c:v>0.284688995215311</c:v>
                </c:pt>
                <c:pt idx="3">
                  <c:v>0.337320574162679</c:v>
                </c:pt>
              </c:numCache>
            </c:numRef>
          </c:val>
        </c:ser>
        <c:dLbls>
          <c:showLegendKey val="0"/>
          <c:showVal val="1"/>
          <c:showCatName val="0"/>
          <c:showSerName val="0"/>
          <c:showPercent val="0"/>
          <c:showBubbleSize val="0"/>
        </c:dLbls>
        <c:gapWidth val="100"/>
        <c:axId val="276465904"/>
        <c:axId val="276466464"/>
      </c:barChart>
      <c:catAx>
        <c:axId val="2764659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6464"/>
        <c:crosses val="autoZero"/>
        <c:auto val="1"/>
        <c:lblAlgn val="ctr"/>
        <c:lblOffset val="100"/>
        <c:noMultiLvlLbl val="0"/>
      </c:catAx>
      <c:valAx>
        <c:axId val="276466464"/>
        <c:scaling>
          <c:orientation val="minMax"/>
          <c:max val="0.5"/>
          <c:min val="0"/>
        </c:scaling>
        <c:delete val="0"/>
        <c:axPos val="b"/>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5904"/>
        <c:crosses val="autoZero"/>
        <c:crossBetween val="between"/>
        <c:majorUnit val="0.2"/>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26487437658"/>
          <c:y val="0.0397202797202797"/>
          <c:w val="0.771071941308541"/>
          <c:h val="0.788464290065008"/>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非常稳定</c:v>
                </c:pt>
                <c:pt idx="1">
                  <c:v>稳定</c:v>
                </c:pt>
                <c:pt idx="2">
                  <c:v>比较稳定</c:v>
                </c:pt>
                <c:pt idx="3">
                  <c:v>不太稳定</c:v>
                </c:pt>
                <c:pt idx="4">
                  <c:v>不稳定</c:v>
                </c:pt>
              </c:strCache>
            </c:strRef>
          </c:cat>
          <c:val>
            <c:numRef>
              <c:f>Sheet1!$B$2:$B$6</c:f>
              <c:numCache>
                <c:formatCode>0.00%</c:formatCode>
                <c:ptCount val="5"/>
                <c:pt idx="0">
                  <c:v>0.126794258373206</c:v>
                </c:pt>
                <c:pt idx="1">
                  <c:v>0.236842105263158</c:v>
                </c:pt>
                <c:pt idx="2">
                  <c:v>0.440191387559809</c:v>
                </c:pt>
                <c:pt idx="3">
                  <c:v>0.143540669856459</c:v>
                </c:pt>
                <c:pt idx="4">
                  <c:v>0.0526315789473684</c:v>
                </c:pt>
              </c:numCache>
            </c:numRef>
          </c:val>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66711170449"/>
          <c:y val="0.0396567031666173"/>
          <c:w val="0.806964842011571"/>
          <c:h val="0.838532110091743"/>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非常满意</c:v>
                </c:pt>
                <c:pt idx="1">
                  <c:v>比较满意</c:v>
                </c:pt>
                <c:pt idx="2">
                  <c:v>满意</c:v>
                </c:pt>
                <c:pt idx="3">
                  <c:v>不太满意</c:v>
                </c:pt>
                <c:pt idx="4">
                  <c:v>不满意</c:v>
                </c:pt>
              </c:strCache>
            </c:strRef>
          </c:cat>
          <c:val>
            <c:numRef>
              <c:f>Sheet1!$B$2:$B$6</c:f>
              <c:numCache>
                <c:formatCode>0.00%</c:formatCode>
                <c:ptCount val="5"/>
                <c:pt idx="0">
                  <c:v>0.129186602870813</c:v>
                </c:pt>
                <c:pt idx="1">
                  <c:v>0.435406698564593</c:v>
                </c:pt>
                <c:pt idx="2">
                  <c:v>0.299043062200957</c:v>
                </c:pt>
                <c:pt idx="3">
                  <c:v>0.107655502392345</c:v>
                </c:pt>
                <c:pt idx="4">
                  <c:v>0.0287081339712919</c:v>
                </c:pt>
              </c:numCache>
            </c:numRef>
          </c:val>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143369175627"/>
          <c:y val="0.0232424677187948"/>
          <c:w val="0.468530465949821"/>
          <c:h val="0.937733142037303"/>
        </c:manualLayout>
      </c:layout>
      <c:pieChart>
        <c:varyColors val="1"/>
        <c:ser>
          <c:idx val="0"/>
          <c:order val="0"/>
          <c:tx>
            <c:strRef>
              <c:f>Sheet1!$B$1</c:f>
              <c:strCache>
                <c:ptCount val="1"/>
                <c:pt idx="0">
                  <c:v>占比</c:v>
                </c:pt>
              </c:strCache>
            </c:strRef>
          </c:tx>
          <c:spPr/>
          <c:explosion val="0"/>
          <c:dPt>
            <c:idx val="0"/>
            <c:bubble3D val="0"/>
            <c:spPr>
              <a:solidFill>
                <a:schemeClr val="accent1">
                  <a:lumMod val="60000"/>
                  <a:lumOff val="40000"/>
                </a:schemeClr>
              </a:solidFill>
              <a:ln w="19050">
                <a:solidFill>
                  <a:schemeClr val="lt1"/>
                </a:solidFill>
              </a:ln>
              <a:effectLst/>
            </c:spPr>
          </c:dPt>
          <c:dPt>
            <c:idx val="1"/>
            <c:bubble3D val="0"/>
            <c:spPr>
              <a:solidFill>
                <a:schemeClr val="accent4">
                  <a:lumMod val="60000"/>
                  <a:lumOff val="40000"/>
                </a:schemeClr>
              </a:solidFill>
              <a:ln w="19050">
                <a:solidFill>
                  <a:schemeClr val="lt1"/>
                </a:solidFill>
              </a:ln>
              <a:effectLst/>
            </c:spPr>
          </c:dPt>
          <c:dLbls>
            <c:dLbl>
              <c:idx val="0"/>
              <c:layout>
                <c:manualLayout>
                  <c:x val="0.00239407855127567"/>
                  <c:y val="0.10063929706363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635752989646909"/>
                  <c:y val="-0.0843021663914773"/>
                </c:manualLayout>
              </c:layout>
              <c:tx>
                <c:rich>
                  <a:bodyPr rot="0" spcFirstLastPara="1" vertOverflow="clip" vert="horz" wrap="square" lIns="36576" tIns="18288" rIns="36576" bIns="18288" anchor="ctr" anchorCtr="1"/>
                  <a:lstStyle/>
                  <a:p>
                    <a:fld id="{d3f93231-3fc2-4a98-8973-70d1e2e6dd03}" type="CATEGORYNAME">
                      <a:t>[CATEGORY NAME]</a:t>
                    </a:fld>
                    <a:r>
                      <a:t>,</a:t>
                    </a:r>
                    <a:fld id="{3f6c96b9-a343-4baf-b4fe-f218e2838d29}" type="VALUE">
                      <a:t>[VALUE]</a:t>
                    </a:fld>
                    <a:endParaRPr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离职率</c:v>
                </c:pt>
                <c:pt idx="1">
                  <c:v>未离职</c:v>
                </c:pt>
              </c:strCache>
            </c:strRef>
          </c:cat>
          <c:val>
            <c:numRef>
              <c:f>Sheet1!$B$2:$B$3</c:f>
              <c:numCache>
                <c:formatCode>0.00%</c:formatCode>
                <c:ptCount val="2"/>
                <c:pt idx="0">
                  <c:v>0.42822966507177</c:v>
                </c:pt>
                <c:pt idx="1">
                  <c:v>0.57177033492823</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sz="1000">
          <a:solidFill>
            <a:schemeClr val="tx1"/>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[毕业生基本情况.xlsx]就业率!$X$9:$X$10</c:f>
              <c:strCache>
                <c:ptCount val="2"/>
                <c:pt idx="0">
                  <c:v>非建档立卡</c:v>
                </c:pt>
                <c:pt idx="1">
                  <c:v>建档立卡</c:v>
                </c:pt>
              </c:strCache>
            </c:strRef>
          </c:cat>
          <c:val>
            <c:numRef>
              <c:f>[毕业生基本情况.xlsx]就业率!$Y$9:$Y$10</c:f>
              <c:numCache>
                <c:formatCode>0.00%</c:formatCode>
                <c:ptCount val="2"/>
                <c:pt idx="0">
                  <c:v>0.910328262610088</c:v>
                </c:pt>
                <c:pt idx="1">
                  <c:v>0.961538461538462</c:v>
                </c:pt>
              </c:numCache>
            </c:numRef>
          </c:val>
        </c:ser>
        <c:dLbls>
          <c:showLegendKey val="0"/>
          <c:showVal val="1"/>
          <c:showCatName val="0"/>
          <c:showSerName val="0"/>
          <c:showPercent val="0"/>
          <c:showBubbleSize val="0"/>
        </c:dLbls>
        <c:gapWidth val="219"/>
        <c:overlap val="-27"/>
        <c:axId val="556736924"/>
        <c:axId val="342913840"/>
      </c:barChart>
      <c:catAx>
        <c:axId val="5567369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2913840"/>
        <c:crosses val="autoZero"/>
        <c:auto val="1"/>
        <c:lblAlgn val="ctr"/>
        <c:lblOffset val="100"/>
        <c:noMultiLvlLbl val="0"/>
      </c:catAx>
      <c:valAx>
        <c:axId val="342913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67369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33209819360815"/>
          <c:y val="0.0202861800398479"/>
          <c:w val="0.710224641037517"/>
          <c:h val="0.874298134395943"/>
        </c:manualLayout>
      </c:layout>
      <c:barChart>
        <c:barDir val="bar"/>
        <c:grouping val="clustered"/>
        <c:varyColors val="0"/>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Sheet1!$A$2:$A$9</c:f>
              <c:strCache>
                <c:ptCount val="8"/>
                <c:pt idx="0">
                  <c:v>其他</c:v>
                </c:pt>
                <c:pt idx="1">
                  <c:v>人际关系因素</c:v>
                </c:pt>
                <c:pt idx="2">
                  <c:v>家庭原因</c:v>
                </c:pt>
                <c:pt idx="3">
                  <c:v>工作环境不好</c:v>
                </c:pt>
                <c:pt idx="4">
                  <c:v>工作地域问题</c:v>
                </c:pt>
                <c:pt idx="5">
                  <c:v>工作压力大</c:v>
                </c:pt>
                <c:pt idx="6">
                  <c:v>发展空间不大</c:v>
                </c:pt>
                <c:pt idx="7">
                  <c:v>薪资福利差</c:v>
                </c:pt>
              </c:strCache>
            </c:strRef>
          </c:cat>
          <c:val>
            <c:numRef>
              <c:f>Sheet1!$B$2:$B$9</c:f>
              <c:numCache>
                <c:formatCode>0.00%</c:formatCode>
                <c:ptCount val="8"/>
                <c:pt idx="0">
                  <c:v>0.374301675977654</c:v>
                </c:pt>
                <c:pt idx="1">
                  <c:v>0.0111731843575419</c:v>
                </c:pt>
                <c:pt idx="2">
                  <c:v>0.0446927374301676</c:v>
                </c:pt>
                <c:pt idx="3">
                  <c:v>0.0502793296089386</c:v>
                </c:pt>
                <c:pt idx="4">
                  <c:v>0.0726256983240224</c:v>
                </c:pt>
                <c:pt idx="5">
                  <c:v>0.0893854748603352</c:v>
                </c:pt>
                <c:pt idx="6">
                  <c:v>0.173184357541899</c:v>
                </c:pt>
                <c:pt idx="7">
                  <c:v>0.184357541899441</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9264"/>
        <c:crosses val="autoZero"/>
        <c:auto val="1"/>
        <c:lblAlgn val="ctr"/>
        <c:lblOffset val="100"/>
        <c:noMultiLvlLbl val="0"/>
      </c:catAx>
      <c:valAx>
        <c:axId val="276469264"/>
        <c:scaling>
          <c:orientation val="minMax"/>
          <c:max val="0.5"/>
          <c:min val="0"/>
        </c:scaling>
        <c:delete val="0"/>
        <c:axPos val="b"/>
        <c:numFmt formatCode="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83981448448091"/>
          <c:y val="0.0202386024712399"/>
          <c:w val="0.648471875371626"/>
          <c:h val="0.871751171708564"/>
        </c:manualLayout>
      </c:layout>
      <c:barChart>
        <c:barDir val="bar"/>
        <c:grouping val="clustered"/>
        <c:varyColors val="0"/>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Sheet1!$A$2:$A$6</c:f>
              <c:strCache>
                <c:ptCount val="5"/>
                <c:pt idx="0">
                  <c:v>社会中介推荐(人才市场、社会网站)</c:v>
                </c:pt>
                <c:pt idx="1">
                  <c:v>其他</c:v>
                </c:pt>
                <c:pt idx="2">
                  <c:v>亲友推荐</c:v>
                </c:pt>
                <c:pt idx="3">
                  <c:v>母校推荐(校园招聘会、老师和校友推荐、校园网站等)</c:v>
                </c:pt>
                <c:pt idx="4">
                  <c:v>自己直接联系应聘(参加社会公考、求职网站、直接联系单位)</c:v>
                </c:pt>
              </c:strCache>
            </c:strRef>
          </c:cat>
          <c:val>
            <c:numRef>
              <c:f>Sheet1!$B$2:$B$6</c:f>
              <c:numCache>
                <c:formatCode>0.00%</c:formatCode>
                <c:ptCount val="5"/>
                <c:pt idx="0">
                  <c:v>0.0406698564593301</c:v>
                </c:pt>
                <c:pt idx="1">
                  <c:v>0.0574162679425837</c:v>
                </c:pt>
                <c:pt idx="2">
                  <c:v>0.0789473684210526</c:v>
                </c:pt>
                <c:pt idx="3">
                  <c:v>0.212918660287081</c:v>
                </c:pt>
                <c:pt idx="4">
                  <c:v>0.610047846889952</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9264"/>
        <c:crosses val="autoZero"/>
        <c:auto val="1"/>
        <c:lblAlgn val="ctr"/>
        <c:lblOffset val="100"/>
        <c:noMultiLvlLbl val="0"/>
      </c:catAx>
      <c:valAx>
        <c:axId val="276469264"/>
        <c:scaling>
          <c:orientation val="minMax"/>
          <c:max val="0.8"/>
          <c:min val="0"/>
        </c:scaling>
        <c:delete val="0"/>
        <c:axPos val="b"/>
        <c:numFmt formatCode="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49710982659"/>
          <c:y val="0.0514909934846131"/>
          <c:w val="0.467167630057803"/>
          <c:h val="0.843984962406015"/>
        </c:manualLayout>
      </c:layout>
      <c:pieChart>
        <c:varyColors val="1"/>
        <c:ser>
          <c:idx val="0"/>
          <c:order val="0"/>
          <c:tx>
            <c:strRef>
              <c:f>Sheet1!$B$1</c:f>
              <c:strCache>
                <c:ptCount val="1"/>
                <c:pt idx="0">
                  <c:v>占比</c:v>
                </c:pt>
              </c:strCache>
            </c:strRef>
          </c:tx>
          <c:spPr/>
          <c:explosion val="0"/>
          <c:dPt>
            <c:idx val="0"/>
            <c:bubble3D val="0"/>
            <c:spPr>
              <a:solidFill>
                <a:schemeClr val="accent1">
                  <a:lumMod val="60000"/>
                  <a:lumOff val="40000"/>
                </a:schemeClr>
              </a:solidFill>
              <a:ln w="19050">
                <a:solidFill>
                  <a:schemeClr val="lt1"/>
                </a:solidFill>
              </a:ln>
              <a:effectLst/>
            </c:spPr>
          </c:dPt>
          <c:dPt>
            <c:idx val="1"/>
            <c:bubble3D val="0"/>
            <c:spPr>
              <a:solidFill>
                <a:schemeClr val="accent4">
                  <a:lumMod val="60000"/>
                  <a:lumOff val="40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00239407855127567"/>
                  <c:y val="0.10063929706363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635752989646909"/>
                  <c:y val="-0.0843021663914773"/>
                </c:manualLayout>
              </c:layout>
              <c:tx>
                <c:rich>
                  <a:bodyPr rot="0" spcFirstLastPara="1" vertOverflow="clip" vert="horz" wrap="square" lIns="36576" tIns="18288" rIns="36576" bIns="18288" anchor="ctr" anchorCtr="1"/>
                  <a:lstStyle/>
                  <a:p>
                    <a:fld id="{60cc03c1-b95a-446c-90ef-cebeaa623efe}" type="CATEGORYNAME">
                      <a:t>[CATEGORY NAME]</a:t>
                    </a:fld>
                    <a:r>
                      <a:t>,</a:t>
                    </a:r>
                    <a:fld id="{827f9fbf-1907-4725-b8ef-ebffaee73662}" type="VALUE">
                      <a:t>[VALUE]</a:t>
                    </a:fld>
                    <a:endParaRPr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655438574621315"/>
                  <c:y val="-0.13653798404912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200元以下</c:v>
                </c:pt>
                <c:pt idx="1">
                  <c:v>201-500元</c:v>
                </c:pt>
                <c:pt idx="2">
                  <c:v>501-1200元</c:v>
                </c:pt>
                <c:pt idx="3">
                  <c:v>1201-1600元</c:v>
                </c:pt>
                <c:pt idx="4">
                  <c:v>1601-2000元</c:v>
                </c:pt>
                <c:pt idx="5">
                  <c:v>2000元以上</c:v>
                </c:pt>
              </c:strCache>
            </c:strRef>
          </c:cat>
          <c:val>
            <c:numRef>
              <c:f>Sheet1!$B$2:$B$7</c:f>
              <c:numCache>
                <c:formatCode>0.00%</c:formatCode>
                <c:ptCount val="6"/>
                <c:pt idx="0">
                  <c:v>0.196172248803828</c:v>
                </c:pt>
                <c:pt idx="1">
                  <c:v>0.105263157894737</c:v>
                </c:pt>
                <c:pt idx="2">
                  <c:v>0.15311004784689</c:v>
                </c:pt>
                <c:pt idx="3">
                  <c:v>0.0861244019138756</c:v>
                </c:pt>
                <c:pt idx="4">
                  <c:v>0.0813397129186603</c:v>
                </c:pt>
                <c:pt idx="5">
                  <c:v>0.37799043062201</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sz="1000">
          <a:solidFill>
            <a:schemeClr val="tx1"/>
          </a:solidFill>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83981448448091"/>
          <c:y val="0.0202386024712399"/>
          <c:w val="0.648471875371626"/>
          <c:h val="0.871751171708564"/>
        </c:manualLayout>
      </c:layout>
      <c:barChart>
        <c:barDir val="bar"/>
        <c:grouping val="clustered"/>
        <c:varyColors val="0"/>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Sheet1!$A$2:$A$6</c:f>
              <c:strCache>
                <c:ptCount val="5"/>
                <c:pt idx="0">
                  <c:v>签约中</c:v>
                </c:pt>
                <c:pt idx="1">
                  <c:v>不就业拟升学</c:v>
                </c:pt>
                <c:pt idx="2">
                  <c:v>暂不就业</c:v>
                </c:pt>
                <c:pt idx="3">
                  <c:v>求职中</c:v>
                </c:pt>
                <c:pt idx="4">
                  <c:v>拟参加公招（公务员、事业单位）考试</c:v>
                </c:pt>
              </c:strCache>
            </c:strRef>
          </c:cat>
          <c:val>
            <c:numRef>
              <c:f>Sheet1!$B$2:$B$6</c:f>
              <c:numCache>
                <c:formatCode>0.00%</c:formatCode>
                <c:ptCount val="5"/>
                <c:pt idx="0">
                  <c:v>0.0091324200913242</c:v>
                </c:pt>
                <c:pt idx="1">
                  <c:v>0.045662100456621</c:v>
                </c:pt>
                <c:pt idx="2">
                  <c:v>0.0502283105022831</c:v>
                </c:pt>
                <c:pt idx="3">
                  <c:v>0.269406392694064</c:v>
                </c:pt>
                <c:pt idx="4">
                  <c:v>0.625570776255708</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9264"/>
        <c:crosses val="autoZero"/>
        <c:auto val="1"/>
        <c:lblAlgn val="ctr"/>
        <c:lblOffset val="100"/>
        <c:noMultiLvlLbl val="0"/>
      </c:catAx>
      <c:valAx>
        <c:axId val="276469264"/>
        <c:scaling>
          <c:orientation val="minMax"/>
          <c:max val="0.8"/>
          <c:min val="0"/>
        </c:scaling>
        <c:delete val="0"/>
        <c:axPos val="b"/>
        <c:numFmt formatCode="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49710982659"/>
          <c:y val="0.0514909934846131"/>
          <c:w val="0.467167630057803"/>
          <c:h val="0.843984962406015"/>
        </c:manualLayout>
      </c:layout>
      <c:pieChart>
        <c:varyColors val="1"/>
        <c:ser>
          <c:idx val="0"/>
          <c:order val="0"/>
          <c:tx>
            <c:strRef>
              <c:f>Sheet1!$B$1</c:f>
              <c:strCache>
                <c:ptCount val="1"/>
                <c:pt idx="0">
                  <c:v>占比</c:v>
                </c:pt>
              </c:strCache>
            </c:strRef>
          </c:tx>
          <c:spPr/>
          <c:explosion val="0"/>
          <c:dPt>
            <c:idx val="0"/>
            <c:bubble3D val="0"/>
            <c:spPr>
              <a:solidFill>
                <a:schemeClr val="accent1">
                  <a:lumMod val="60000"/>
                  <a:lumOff val="40000"/>
                </a:schemeClr>
              </a:solidFill>
              <a:ln w="19050">
                <a:solidFill>
                  <a:schemeClr val="lt1"/>
                </a:solidFill>
              </a:ln>
              <a:effectLst/>
            </c:spPr>
          </c:dPt>
          <c:dPt>
            <c:idx val="1"/>
            <c:bubble3D val="0"/>
            <c:spPr>
              <a:solidFill>
                <a:schemeClr val="accent4">
                  <a:lumMod val="60000"/>
                  <a:lumOff val="40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0239407855127567"/>
                  <c:y val="0.10063929706363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58296342248065"/>
                  <c:y val="0.00216399902205656"/>
                </c:manualLayout>
              </c:layout>
              <c:tx>
                <c:rich>
                  <a:bodyPr rot="0" spcFirstLastPara="1" vertOverflow="clip" vert="horz" wrap="square" lIns="36576" tIns="18288" rIns="36576" bIns="18288" anchor="ctr" anchorCtr="1"/>
                  <a:lstStyle/>
                  <a:p>
                    <a:fld id="{e4cbcc62-1b3f-4845-85f4-43349aa20d4d}" type="CATEGORYNAME">
                      <a:t>[CATEGORY NAME]</a:t>
                    </a:fld>
                    <a:r>
                      <a:t>,</a:t>
                    </a:r>
                    <a:fld id="{69e2cbbc-155c-47e6-b840-e496e78c7d58}" type="VALUE">
                      <a:t>[VALUE]</a:t>
                    </a:fld>
                    <a:endParaRPr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655438574621315"/>
                  <c:y val="-0.13653798404912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163156876819194"/>
                  <c:y val="0.052493670962462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0家</c:v>
                </c:pt>
                <c:pt idx="1">
                  <c:v>10家及以上</c:v>
                </c:pt>
                <c:pt idx="2">
                  <c:v>1-3家</c:v>
                </c:pt>
                <c:pt idx="3">
                  <c:v>4-6家</c:v>
                </c:pt>
                <c:pt idx="4">
                  <c:v>7-9家</c:v>
                </c:pt>
              </c:strCache>
            </c:strRef>
          </c:cat>
          <c:val>
            <c:numRef>
              <c:f>Sheet1!$B$2:$B$6</c:f>
              <c:numCache>
                <c:formatCode>0.00%</c:formatCode>
                <c:ptCount val="5"/>
                <c:pt idx="0">
                  <c:v>0.245901639344262</c:v>
                </c:pt>
                <c:pt idx="1">
                  <c:v>0.0491803278688525</c:v>
                </c:pt>
                <c:pt idx="2">
                  <c:v>0.508196721311475</c:v>
                </c:pt>
                <c:pt idx="3">
                  <c:v>0.180327868852459</c:v>
                </c:pt>
                <c:pt idx="4">
                  <c:v>0.0163934426229508</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sz="1000">
          <a:solidFill>
            <a:schemeClr val="tx1"/>
          </a:solidFill>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60480018641501"/>
          <c:y val="0.0411476868327402"/>
          <c:w val="0.59256670161948"/>
          <c:h val="0.850756227758007"/>
        </c:manualLayout>
      </c:layout>
      <c:barChart>
        <c:barDir val="bar"/>
        <c:grouping val="clustered"/>
        <c:varyColors val="0"/>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Sheet1!$A$2:$A$10</c:f>
              <c:strCache>
                <c:ptCount val="9"/>
                <c:pt idx="0">
                  <c:v>与父母意愿相悖</c:v>
                </c:pt>
                <c:pt idx="1">
                  <c:v>存在就业歧视</c:v>
                </c:pt>
                <c:pt idx="2">
                  <c:v>其他</c:v>
                </c:pt>
                <c:pt idx="3">
                  <c:v>就业能力不足</c:v>
                </c:pt>
                <c:pt idx="4">
                  <c:v>社会关系缺乏</c:v>
                </c:pt>
                <c:pt idx="5">
                  <c:v>获取招聘信息的渠道太少</c:v>
                </c:pt>
                <c:pt idx="6">
                  <c:v>用人单位待遇和条件不符合预期</c:v>
                </c:pt>
                <c:pt idx="7">
                  <c:v>缺乏实践经验</c:v>
                </c:pt>
                <c:pt idx="8">
                  <c:v>适合自己专业和学历的岗位不多</c:v>
                </c:pt>
              </c:strCache>
            </c:strRef>
          </c:cat>
          <c:val>
            <c:numRef>
              <c:f>Sheet1!$B$2:$B$10</c:f>
              <c:numCache>
                <c:formatCode>0.00%</c:formatCode>
                <c:ptCount val="9"/>
                <c:pt idx="0">
                  <c:v>0.0091324200913242</c:v>
                </c:pt>
                <c:pt idx="1">
                  <c:v>0.0091324200913242</c:v>
                </c:pt>
                <c:pt idx="2">
                  <c:v>0.0410958904109589</c:v>
                </c:pt>
                <c:pt idx="3">
                  <c:v>0.0639269406392694</c:v>
                </c:pt>
                <c:pt idx="4">
                  <c:v>0.0684931506849315</c:v>
                </c:pt>
                <c:pt idx="5">
                  <c:v>0.091324200913242</c:v>
                </c:pt>
                <c:pt idx="6">
                  <c:v>0.105022831050228</c:v>
                </c:pt>
                <c:pt idx="7">
                  <c:v>0.127853881278539</c:v>
                </c:pt>
                <c:pt idx="8">
                  <c:v>0.159817351598174</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9264"/>
        <c:crosses val="autoZero"/>
        <c:auto val="1"/>
        <c:lblAlgn val="ctr"/>
        <c:lblOffset val="100"/>
        <c:noMultiLvlLbl val="0"/>
      </c:catAx>
      <c:valAx>
        <c:axId val="276469264"/>
        <c:scaling>
          <c:orientation val="minMax"/>
          <c:max val="0.3"/>
          <c:min val="0"/>
        </c:scaling>
        <c:delete val="0"/>
        <c:axPos val="b"/>
        <c:numFmt formatCode="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60480018641501"/>
          <c:y val="0.0411476868327402"/>
          <c:w val="0.59256670161948"/>
          <c:h val="0.850756227758007"/>
        </c:manualLayout>
      </c:layout>
      <c:barChart>
        <c:barDir val="bar"/>
        <c:grouping val="clustered"/>
        <c:varyColors val="0"/>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Sheet1!$A$2:$A$12</c:f>
              <c:strCache>
                <c:ptCount val="11"/>
                <c:pt idx="0">
                  <c:v>单位的社会声望</c:v>
                </c:pt>
                <c:pt idx="1">
                  <c:v>其他</c:v>
                </c:pt>
                <c:pt idx="2">
                  <c:v>单位培训</c:v>
                </c:pt>
                <c:pt idx="3">
                  <c:v>人际关系</c:v>
                </c:pt>
                <c:pt idx="4">
                  <c:v>父母期望</c:v>
                </c:pt>
                <c:pt idx="5">
                  <c:v>发展空间</c:v>
                </c:pt>
                <c:pt idx="6">
                  <c:v>工作环境</c:v>
                </c:pt>
                <c:pt idx="7">
                  <c:v>就业地理位置</c:v>
                </c:pt>
                <c:pt idx="8">
                  <c:v>社会保障</c:v>
                </c:pt>
                <c:pt idx="9">
                  <c:v>工作稳定度</c:v>
                </c:pt>
                <c:pt idx="10">
                  <c:v>薪酬水平</c:v>
                </c:pt>
              </c:strCache>
            </c:strRef>
          </c:cat>
          <c:val>
            <c:numRef>
              <c:f>Sheet1!$B$2:$B$12</c:f>
              <c:numCache>
                <c:formatCode>0.00%</c:formatCode>
                <c:ptCount val="11"/>
                <c:pt idx="0">
                  <c:v>0.0045662100456621</c:v>
                </c:pt>
                <c:pt idx="1">
                  <c:v>0.0091324200913242</c:v>
                </c:pt>
                <c:pt idx="2">
                  <c:v>0.0136986301369863</c:v>
                </c:pt>
                <c:pt idx="3">
                  <c:v>0.0228310502283105</c:v>
                </c:pt>
                <c:pt idx="4">
                  <c:v>0.0228310502283105</c:v>
                </c:pt>
                <c:pt idx="5">
                  <c:v>0.0684931506849315</c:v>
                </c:pt>
                <c:pt idx="6">
                  <c:v>0.0821917808219178</c:v>
                </c:pt>
                <c:pt idx="7">
                  <c:v>0.105022831050228</c:v>
                </c:pt>
                <c:pt idx="8">
                  <c:v>0.123287671232877</c:v>
                </c:pt>
                <c:pt idx="9">
                  <c:v>0.168949771689498</c:v>
                </c:pt>
                <c:pt idx="10">
                  <c:v>0.178082191780822</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9264"/>
        <c:crosses val="autoZero"/>
        <c:auto val="1"/>
        <c:lblAlgn val="ctr"/>
        <c:lblOffset val="100"/>
        <c:noMultiLvlLbl val="0"/>
      </c:catAx>
      <c:valAx>
        <c:axId val="276469264"/>
        <c:scaling>
          <c:orientation val="minMax"/>
          <c:max val="0.3"/>
          <c:min val="0"/>
        </c:scaling>
        <c:delete val="0"/>
        <c:axPos val="b"/>
        <c:numFmt formatCode="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83981448448091"/>
          <c:y val="0.0202386024712399"/>
          <c:w val="0.648471875371626"/>
          <c:h val="0.871751171708564"/>
        </c:manualLayout>
      </c:layout>
      <c:barChart>
        <c:barDir val="bar"/>
        <c:grouping val="clustered"/>
        <c:varyColors val="0"/>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Sheet1!$A$2:$A$7</c:f>
              <c:strCache>
                <c:ptCount val="6"/>
                <c:pt idx="0">
                  <c:v>其他</c:v>
                </c:pt>
                <c:pt idx="1">
                  <c:v>求职心理辅导</c:v>
                </c:pt>
                <c:pt idx="2">
                  <c:v>求职补贴</c:v>
                </c:pt>
                <c:pt idx="3">
                  <c:v>求职技巧培训</c:v>
                </c:pt>
                <c:pt idx="4">
                  <c:v>增加职位信息</c:v>
                </c:pt>
                <c:pt idx="5">
                  <c:v>政策帮扶</c:v>
                </c:pt>
              </c:strCache>
            </c:strRef>
          </c:cat>
          <c:val>
            <c:numRef>
              <c:f>Sheet1!$B$2:$B$7</c:f>
              <c:numCache>
                <c:formatCode>0.00%</c:formatCode>
                <c:ptCount val="6"/>
                <c:pt idx="0">
                  <c:v>0.114754098360656</c:v>
                </c:pt>
                <c:pt idx="1">
                  <c:v>0.0327868852459016</c:v>
                </c:pt>
                <c:pt idx="2">
                  <c:v>0.163934426229508</c:v>
                </c:pt>
                <c:pt idx="3">
                  <c:v>0.180327868852459</c:v>
                </c:pt>
                <c:pt idx="4">
                  <c:v>0.213114754098361</c:v>
                </c:pt>
                <c:pt idx="5">
                  <c:v>0.295081967213115</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9264"/>
        <c:crosses val="autoZero"/>
        <c:auto val="1"/>
        <c:lblAlgn val="ctr"/>
        <c:lblOffset val="100"/>
        <c:noMultiLvlLbl val="0"/>
      </c:catAx>
      <c:valAx>
        <c:axId val="276469264"/>
        <c:scaling>
          <c:orientation val="minMax"/>
          <c:max val="0.4"/>
          <c:min val="0"/>
        </c:scaling>
        <c:delete val="0"/>
        <c:axPos val="b"/>
        <c:numFmt formatCode="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8155768615726"/>
          <c:y val="0.0497202361763108"/>
          <c:w val="0.499565300130221"/>
          <c:h val="0.825657840004307"/>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Sheet1!$A$2:$A$6</c:f>
              <c:strCache>
                <c:ptCount val="5"/>
                <c:pt idx="0">
                  <c:v>延缓面对择业的困难</c:v>
                </c:pt>
                <c:pt idx="1">
                  <c:v>增加择业资本，提升就业竞争力</c:v>
                </c:pt>
                <c:pt idx="2">
                  <c:v>对专业感兴趣，希望深入学习</c:v>
                </c:pt>
                <c:pt idx="3">
                  <c:v>提升综合能力</c:v>
                </c:pt>
                <c:pt idx="4">
                  <c:v>提升学历层次</c:v>
                </c:pt>
              </c:strCache>
            </c:strRef>
          </c:cat>
          <c:val>
            <c:numRef>
              <c:f>Sheet1!$B$2:$B$6</c:f>
              <c:numCache>
                <c:formatCode>0.00%</c:formatCode>
                <c:ptCount val="5"/>
                <c:pt idx="0">
                  <c:v>0.043956043956044</c:v>
                </c:pt>
                <c:pt idx="1">
                  <c:v>0.175824175824176</c:v>
                </c:pt>
                <c:pt idx="2">
                  <c:v>0.186813186813187</c:v>
                </c:pt>
                <c:pt idx="3">
                  <c:v>0.186813186813187</c:v>
                </c:pt>
                <c:pt idx="4">
                  <c:v>0.406593406593407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678997672461"/>
          <c:y val="0.205869105071543"/>
          <c:w val="0.54438069445141"/>
          <c:h val="0.791368231748809"/>
        </c:manualLayout>
      </c:layout>
      <c:doughnutChart>
        <c:varyColors val="1"/>
        <c:ser>
          <c:idx val="0"/>
          <c:order val="0"/>
          <c:tx>
            <c:strRef>
              <c:f>Sheet1!$B$1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10691823899371"/>
                  <c:y val="-6.57101130736516e-17"/>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69943661500911"/>
                  <c:y val="-0.0141279018609609"/>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26571376030226"/>
                  <c:y val="-0.0153329444930495"/>
                </c:manualLayout>
              </c:layout>
              <c:showLegendKey val="0"/>
              <c:showVal val="1"/>
              <c:showCatName val="1"/>
              <c:showSerName val="0"/>
              <c:showPercent val="0"/>
              <c:showBubbleSize val="0"/>
              <c:extLst>
                <c:ext xmlns:c15="http://schemas.microsoft.com/office/drawing/2012/chart" uri="{CE6537A1-D6FC-4f65-9D91-7224C49458BB}">
                  <c15:layout>
                    <c:manualLayout>
                      <c:w val="0.236477987421384"/>
                      <c:h val="0.267993113764005"/>
                    </c:manualLayout>
                  </c15:layout>
                </c:ext>
              </c:extLst>
            </c:dLbl>
            <c:dLbl>
              <c:idx val="3"/>
              <c:layout>
                <c:manualLayout>
                  <c:x val="-0.0713696775164251"/>
                  <c:y val="-0.106531058617673"/>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253175518665262"/>
                  <c:y val="-0.144364732186255"/>
                </c:manualLayout>
              </c:layout>
              <c:tx>
                <c:rich>
                  <a:bodyPr rot="0" spcFirstLastPara="1" vertOverflow="ellipsis" vert="horz" wrap="square" lIns="38100" tIns="19050" rIns="38100" bIns="19050" anchor="ctr" anchorCtr="1"/>
                  <a:lstStyle/>
                  <a:p>
                    <a:fld id="{dfa06699-854b-46b9-aaa2-7208ad301c25}" type="CATEGORYNAME">
                      <a:t>[CATEGORY NAME]</a:t>
                    </a:fld>
                    <a:r>
                      <a:t>,</a:t>
                    </a:r>
                    <a:fld id="{1533e812-c18f-4813-ac95-aac8cd4e126f}" type="VALUE">
                      <a:t>[VALUE]</a:t>
                    </a:fld>
                    <a:endParaRPr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非常一致</c:v>
                </c:pt>
                <c:pt idx="1">
                  <c:v>一致</c:v>
                </c:pt>
                <c:pt idx="2">
                  <c:v>比较一致</c:v>
                </c:pt>
                <c:pt idx="3">
                  <c:v>不一致</c:v>
                </c:pt>
                <c:pt idx="4">
                  <c:v>不太一致</c:v>
                </c:pt>
              </c:strCache>
            </c:strRef>
          </c:cat>
          <c:val>
            <c:numRef>
              <c:f>Sheet1!$B$2:$B$6</c:f>
              <c:numCache>
                <c:formatCode>0.00%</c:formatCode>
                <c:ptCount val="5"/>
                <c:pt idx="0">
                  <c:v>0.241758241758242</c:v>
                </c:pt>
                <c:pt idx="1">
                  <c:v>0.406593406593407</c:v>
                </c:pt>
                <c:pt idx="2">
                  <c:v>0.175824175824176</c:v>
                </c:pt>
                <c:pt idx="3">
                  <c:v>0.0549450549450549</c:v>
                </c:pt>
                <c:pt idx="4">
                  <c:v>0.120879120879121</c:v>
                </c:pt>
              </c:numCache>
            </c:numRef>
          </c:val>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[毕业生基本情况.xlsx]就业率!$X$4:$X$5</c:f>
              <c:strCache>
                <c:ptCount val="2"/>
                <c:pt idx="0">
                  <c:v>男生</c:v>
                </c:pt>
                <c:pt idx="1">
                  <c:v>女生</c:v>
                </c:pt>
              </c:strCache>
            </c:strRef>
          </c:cat>
          <c:val>
            <c:numRef>
              <c:f>[毕业生基本情况.xlsx]就业率!$Y$4:$Y$5</c:f>
              <c:numCache>
                <c:formatCode>0.00%</c:formatCode>
                <c:ptCount val="2"/>
                <c:pt idx="0">
                  <c:v>0.92040520984081</c:v>
                </c:pt>
                <c:pt idx="1">
                  <c:v>0.932119205298013</c:v>
                </c:pt>
              </c:numCache>
            </c:numRef>
          </c:val>
        </c:ser>
        <c:dLbls>
          <c:showLegendKey val="0"/>
          <c:showVal val="1"/>
          <c:showCatName val="0"/>
          <c:showSerName val="0"/>
          <c:showPercent val="0"/>
          <c:showBubbleSize val="0"/>
        </c:dLbls>
        <c:gapWidth val="219"/>
        <c:overlap val="-27"/>
        <c:axId val="439958901"/>
        <c:axId val="380499759"/>
      </c:barChart>
      <c:catAx>
        <c:axId val="43995890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0499759"/>
        <c:crosses val="autoZero"/>
        <c:auto val="1"/>
        <c:lblAlgn val="ctr"/>
        <c:lblOffset val="100"/>
        <c:noMultiLvlLbl val="0"/>
      </c:catAx>
      <c:valAx>
        <c:axId val="3804997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995890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381674049895"/>
          <c:y val="0.0663811563169165"/>
          <c:w val="0.650314758685008"/>
          <c:h val="0.808945990958839"/>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Sheet1!$A$2:$A$5</c:f>
              <c:strCache>
                <c:ptCount val="4"/>
                <c:pt idx="0">
                  <c:v>其他</c:v>
                </c:pt>
                <c:pt idx="1">
                  <c:v>未找到合适的工作</c:v>
                </c:pt>
                <c:pt idx="2">
                  <c:v>有好的创业项目</c:v>
                </c:pt>
                <c:pt idx="3">
                  <c:v>实现个人理想及价值</c:v>
                </c:pt>
              </c:strCache>
            </c:strRef>
          </c:cat>
          <c:val>
            <c:numRef>
              <c:f>Sheet1!$B$2:$B$5</c:f>
              <c:numCache>
                <c:formatCode>0.00%</c:formatCode>
                <c:ptCount val="4"/>
                <c:pt idx="0">
                  <c:v>0.04</c:v>
                </c:pt>
                <c:pt idx="1">
                  <c:v>0.12</c:v>
                </c:pt>
                <c:pt idx="2">
                  <c:v>0.28</c:v>
                </c:pt>
                <c:pt idx="3">
                  <c:v>0.56</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49710982659"/>
          <c:y val="0.0514909934846131"/>
          <c:w val="0.467167630057803"/>
          <c:h val="0.843984962406015"/>
        </c:manualLayout>
      </c:layout>
      <c:pieChart>
        <c:varyColors val="1"/>
        <c:ser>
          <c:idx val="0"/>
          <c:order val="0"/>
          <c:tx>
            <c:strRef>
              <c:f>Sheet1!$B$1</c:f>
              <c:strCache>
                <c:ptCount val="1"/>
                <c:pt idx="0">
                  <c:v>占比</c:v>
                </c:pt>
              </c:strCache>
            </c:strRef>
          </c:tx>
          <c:spPr/>
          <c:explosion val="0"/>
          <c:dPt>
            <c:idx val="0"/>
            <c:bubble3D val="0"/>
            <c:spPr>
              <a:solidFill>
                <a:schemeClr val="accent1">
                  <a:lumMod val="60000"/>
                  <a:lumOff val="40000"/>
                </a:schemeClr>
              </a:solidFill>
              <a:ln w="19050">
                <a:solidFill>
                  <a:schemeClr val="lt1"/>
                </a:solidFill>
              </a:ln>
              <a:effectLst/>
            </c:spPr>
          </c:dPt>
          <c:dPt>
            <c:idx val="1"/>
            <c:bubble3D val="0"/>
            <c:spPr>
              <a:solidFill>
                <a:schemeClr val="accent4">
                  <a:lumMod val="60000"/>
                  <a:lumOff val="40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0239407855127567"/>
                  <c:y val="0.10063929706363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58296342248065"/>
                  <c:y val="0.00216399902205656"/>
                </c:manualLayout>
              </c:layout>
              <c:tx>
                <c:rich>
                  <a:bodyPr rot="0" spcFirstLastPara="1" vertOverflow="clip" vert="horz" wrap="square" lIns="36576" tIns="18288" rIns="36576" bIns="18288" anchor="ctr" anchorCtr="1"/>
                  <a:lstStyle/>
                  <a:p>
                    <a:fld id="{97f8970e-aea1-4b9b-8e04-2bebb778f773}" type="CATEGORYNAME">
                      <a:t>[CATEGORY NAME]</a:t>
                    </a:fld>
                    <a:r>
                      <a:t>,</a:t>
                    </a:r>
                    <a:fld id="{ddc7f9d1-7403-4c8d-b5b8-a96a3bf7807e}" type="VALUE">
                      <a:t>[VALUE]</a:t>
                    </a:fld>
                    <a:endParaRPr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14803968624825"/>
                  <c:y val="-0.13032966029653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163156876819194"/>
                  <c:y val="0.052493670962462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个人创业</c:v>
                </c:pt>
                <c:pt idx="1">
                  <c:v>与人合伙创业(参与项目团队创业)</c:v>
                </c:pt>
                <c:pt idx="2">
                  <c:v>带领团队创业(创业主要负责人)</c:v>
                </c:pt>
                <c:pt idx="3">
                  <c:v>其他</c:v>
                </c:pt>
              </c:strCache>
            </c:strRef>
          </c:cat>
          <c:val>
            <c:numRef>
              <c:f>Sheet1!$B$2:$B$5</c:f>
              <c:numCache>
                <c:formatCode>0.00%</c:formatCode>
                <c:ptCount val="4"/>
                <c:pt idx="0">
                  <c:v>0.32</c:v>
                </c:pt>
                <c:pt idx="1">
                  <c:v>0.28</c:v>
                </c:pt>
                <c:pt idx="2">
                  <c:v>0.24</c:v>
                </c:pt>
                <c:pt idx="3">
                  <c:v>0.16</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sz="1000">
          <a:solidFill>
            <a:schemeClr val="tx1"/>
          </a:solidFill>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034040568897"/>
          <c:y val="0.0609088746133714"/>
          <c:w val="0.631662392166006"/>
          <c:h val="0.814418272662384"/>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Sheet1!$A$2:$A$6</c:f>
              <c:strCache>
                <c:ptCount val="5"/>
                <c:pt idx="0">
                  <c:v>其他政策扶持</c:v>
                </c:pt>
                <c:pt idx="1">
                  <c:v>创业补贴政策</c:v>
                </c:pt>
                <c:pt idx="2">
                  <c:v>创业培训政策</c:v>
                </c:pt>
                <c:pt idx="3">
                  <c:v>创业担保贷款扶持政策</c:v>
                </c:pt>
                <c:pt idx="4">
                  <c:v>享受注册登记改革制度政策</c:v>
                </c:pt>
              </c:strCache>
            </c:strRef>
          </c:cat>
          <c:val>
            <c:numRef>
              <c:f>Sheet1!$B$2:$B$6</c:f>
              <c:numCache>
                <c:formatCode>0.00%</c:formatCode>
                <c:ptCount val="5"/>
                <c:pt idx="0">
                  <c:v>0.04</c:v>
                </c:pt>
                <c:pt idx="1">
                  <c:v>0.04</c:v>
                </c:pt>
                <c:pt idx="2">
                  <c:v>0.12</c:v>
                </c:pt>
                <c:pt idx="3">
                  <c:v>0.12</c:v>
                </c:pt>
                <c:pt idx="4">
                  <c:v>0.4</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034040568897"/>
          <c:y val="0.0609088746133714"/>
          <c:w val="0.631662392166006"/>
          <c:h val="0.814418272662384"/>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Sheet1!$A$2:$A$10</c:f>
              <c:strCache>
                <c:ptCount val="9"/>
                <c:pt idx="0">
                  <c:v>其他</c:v>
                </c:pt>
                <c:pt idx="1">
                  <c:v>产品服务的营销推广</c:v>
                </c:pt>
                <c:pt idx="2">
                  <c:v>政策环境不利</c:v>
                </c:pt>
                <c:pt idx="3">
                  <c:v>创业项目的选取</c:v>
                </c:pt>
                <c:pt idx="4">
                  <c:v>社会关系缺乏</c:v>
                </c:pt>
                <c:pt idx="5">
                  <c:v>办公场所等软硬件环境的准备</c:v>
                </c:pt>
                <c:pt idx="6">
                  <c:v>企业创办手续审批</c:v>
                </c:pt>
                <c:pt idx="7">
                  <c:v>资金筹备</c:v>
                </c:pt>
                <c:pt idx="8">
                  <c:v>创业团队组建</c:v>
                </c:pt>
              </c:strCache>
            </c:strRef>
          </c:cat>
          <c:val>
            <c:numRef>
              <c:f>Sheet1!$B$2:$B$10</c:f>
              <c:numCache>
                <c:formatCode>0.00%</c:formatCode>
                <c:ptCount val="9"/>
                <c:pt idx="0">
                  <c:v>0.04</c:v>
                </c:pt>
                <c:pt idx="1">
                  <c:v>0.08</c:v>
                </c:pt>
                <c:pt idx="2">
                  <c:v>0.12</c:v>
                </c:pt>
                <c:pt idx="3">
                  <c:v>0.2</c:v>
                </c:pt>
                <c:pt idx="4">
                  <c:v>0.28</c:v>
                </c:pt>
                <c:pt idx="5">
                  <c:v>0.28</c:v>
                </c:pt>
                <c:pt idx="6">
                  <c:v>0.32</c:v>
                </c:pt>
                <c:pt idx="7">
                  <c:v>0.4</c:v>
                </c:pt>
                <c:pt idx="8">
                  <c:v>0.4</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0512940079273"/>
          <c:y val="0.0433024030454437"/>
          <c:w val="0.561716017719748"/>
          <c:h val="0.847014037592196"/>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Sheet1!$A$2:$A$10</c:f>
              <c:strCache>
                <c:ptCount val="9"/>
                <c:pt idx="0">
                  <c:v>承受与规避风险能力</c:v>
                </c:pt>
                <c:pt idx="1">
                  <c:v>其他</c:v>
                </c:pt>
                <c:pt idx="2">
                  <c:v>获取资源的能力</c:v>
                </c:pt>
                <c:pt idx="3">
                  <c:v>(熟悉创业政策与环境</c:v>
                </c:pt>
                <c:pt idx="4">
                  <c:v>把握机会能力</c:v>
                </c:pt>
                <c:pt idx="5">
                  <c:v>管理领导能力</c:v>
                </c:pt>
                <c:pt idx="6">
                  <c:v>沟通协调与处理社会关系能力</c:v>
                </c:pt>
                <c:pt idx="7">
                  <c:v>持续学习能力</c:v>
                </c:pt>
                <c:pt idx="8">
                  <c:v>专业基础知识</c:v>
                </c:pt>
              </c:strCache>
            </c:strRef>
          </c:cat>
          <c:val>
            <c:numRef>
              <c:f>Sheet1!$B$2:$B$10</c:f>
              <c:numCache>
                <c:formatCode>0.00%</c:formatCode>
                <c:ptCount val="9"/>
                <c:pt idx="0">
                  <c:v>0.04</c:v>
                </c:pt>
                <c:pt idx="1">
                  <c:v>0.08</c:v>
                </c:pt>
                <c:pt idx="2">
                  <c:v>0.16</c:v>
                </c:pt>
                <c:pt idx="3">
                  <c:v>0.16</c:v>
                </c:pt>
                <c:pt idx="4">
                  <c:v>0.24</c:v>
                </c:pt>
                <c:pt idx="5">
                  <c:v>0.32</c:v>
                </c:pt>
                <c:pt idx="6">
                  <c:v>0.36</c:v>
                </c:pt>
                <c:pt idx="7">
                  <c:v>0.36</c:v>
                </c:pt>
                <c:pt idx="8">
                  <c:v>0.44</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0512940079273"/>
          <c:y val="0.0433024030454437"/>
          <c:w val="0.561716017719748"/>
          <c:h val="0.847014037592196"/>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在线创业课资源</c:v>
                </c:pt>
                <c:pt idx="1">
                  <c:v>提供资金与平台</c:v>
                </c:pt>
                <c:pt idx="2">
                  <c:v>其他</c:v>
                </c:pt>
                <c:pt idx="3">
                  <c:v>创业师资队伍建设</c:v>
                </c:pt>
                <c:pt idx="4">
                  <c:v>创业协会或俱乐部</c:v>
                </c:pt>
                <c:pt idx="5">
                  <c:v>创业讲座或论坛</c:v>
                </c:pt>
                <c:pt idx="6">
                  <c:v>创业项目孵化（如创业基地、孵化园等）</c:v>
                </c:pt>
                <c:pt idx="7">
                  <c:v>创业实训与模拟（如仿真实训、沙盘</c:v>
                </c:pt>
                <c:pt idx="8">
                  <c:v>创新创业大赛</c:v>
                </c:pt>
                <c:pt idx="9">
                  <c:v>创业相关课程</c:v>
                </c:pt>
              </c:strCache>
            </c:strRef>
          </c:cat>
          <c:val>
            <c:numRef>
              <c:f>Sheet1!$B$2:$B$11</c:f>
              <c:numCache>
                <c:formatCode>0.00%</c:formatCode>
                <c:ptCount val="10"/>
                <c:pt idx="0">
                  <c:v>0.04</c:v>
                </c:pt>
                <c:pt idx="1">
                  <c:v>0.04</c:v>
                </c:pt>
                <c:pt idx="2">
                  <c:v>0.08</c:v>
                </c:pt>
                <c:pt idx="3">
                  <c:v>0.08</c:v>
                </c:pt>
                <c:pt idx="4">
                  <c:v>0.2</c:v>
                </c:pt>
                <c:pt idx="5">
                  <c:v>0.24</c:v>
                </c:pt>
                <c:pt idx="6">
                  <c:v>0.28</c:v>
                </c:pt>
                <c:pt idx="7">
                  <c:v>0.28</c:v>
                </c:pt>
                <c:pt idx="8">
                  <c:v>0.36</c:v>
                </c:pt>
                <c:pt idx="9">
                  <c:v>0.48</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1186827518748"/>
          <c:y val="0.0396697543294402"/>
          <c:w val="0.875774372350831"/>
          <c:h val="0.877043898509867"/>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非常满意</c:v>
                </c:pt>
                <c:pt idx="1">
                  <c:v>满意</c:v>
                </c:pt>
                <c:pt idx="2">
                  <c:v>比较满意</c:v>
                </c:pt>
                <c:pt idx="3">
                  <c:v>不太满意</c:v>
                </c:pt>
                <c:pt idx="4">
                  <c:v>不满意</c:v>
                </c:pt>
              </c:strCache>
            </c:strRef>
          </c:cat>
          <c:val>
            <c:numRef>
              <c:f>Sheet1!$B$2:$B$6</c:f>
              <c:numCache>
                <c:formatCode>0.00%</c:formatCode>
                <c:ptCount val="5"/>
                <c:pt idx="0">
                  <c:v>0.221601489757914</c:v>
                </c:pt>
                <c:pt idx="1">
                  <c:v>0.405959031657356</c:v>
                </c:pt>
                <c:pt idx="2">
                  <c:v>0.322160148975791</c:v>
                </c:pt>
                <c:pt idx="3">
                  <c:v>0.0465549348230913</c:v>
                </c:pt>
                <c:pt idx="4">
                  <c:v>0.0037243947858473</c:v>
                </c:pt>
              </c:numCache>
            </c:numRef>
          </c:val>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941846587827"/>
          <c:y val="0.0414953271028037"/>
          <c:w val="0.712259954432028"/>
          <c:h val="0.868598130841121"/>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教育学院</c:v>
                </c:pt>
                <c:pt idx="1">
                  <c:v>艺术学院</c:v>
                </c:pt>
                <c:pt idx="2">
                  <c:v>大健康学院</c:v>
                </c:pt>
                <c:pt idx="3">
                  <c:v>材料与化学工程学院</c:v>
                </c:pt>
                <c:pt idx="4">
                  <c:v>经济管理学院</c:v>
                </c:pt>
                <c:pt idx="5">
                  <c:v>农林工程与规划学院</c:v>
                </c:pt>
                <c:pt idx="6">
                  <c:v>大数据学院</c:v>
                </c:pt>
                <c:pt idx="7">
                  <c:v>国际学院</c:v>
                </c:pt>
                <c:pt idx="8">
                  <c:v>人文学院</c:v>
                </c:pt>
                <c:pt idx="9">
                  <c:v>马克思主义学院</c:v>
                </c:pt>
              </c:strCache>
            </c:strRef>
          </c:cat>
          <c:val>
            <c:numRef>
              <c:f>Sheet1!$B$2:$B$11</c:f>
              <c:numCache>
                <c:formatCode>0.00%</c:formatCode>
                <c:ptCount val="10"/>
                <c:pt idx="0">
                  <c:v>0.909547738693467</c:v>
                </c:pt>
                <c:pt idx="1">
                  <c:v>0.916666666666666</c:v>
                </c:pt>
                <c:pt idx="2">
                  <c:v>0.922413793103448</c:v>
                </c:pt>
                <c:pt idx="3">
                  <c:v>0.945054945054946</c:v>
                </c:pt>
                <c:pt idx="4">
                  <c:v>0.954022988505747</c:v>
                </c:pt>
                <c:pt idx="5">
                  <c:v>0.961538461538461</c:v>
                </c:pt>
                <c:pt idx="6">
                  <c:v>0.970059880239521</c:v>
                </c:pt>
                <c:pt idx="7">
                  <c:v>0.971428571428572</c:v>
                </c:pt>
                <c:pt idx="8">
                  <c:v>0.977528089887641</c:v>
                </c:pt>
                <c:pt idx="9">
                  <c:v>0.98360655737705</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1186827518748"/>
          <c:y val="0.0396697543294402"/>
          <c:w val="0.875774372350831"/>
          <c:h val="0.877043898509867"/>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非常愿意</c:v>
                </c:pt>
                <c:pt idx="1">
                  <c:v>愿意</c:v>
                </c:pt>
                <c:pt idx="2">
                  <c:v>比较愿意</c:v>
                </c:pt>
                <c:pt idx="3">
                  <c:v>不太愿意</c:v>
                </c:pt>
                <c:pt idx="4">
                  <c:v>不愿意</c:v>
                </c:pt>
              </c:strCache>
            </c:strRef>
          </c:cat>
          <c:val>
            <c:numRef>
              <c:f>Sheet1!$B$2:$B$6</c:f>
              <c:numCache>
                <c:formatCode>0.00%</c:formatCode>
                <c:ptCount val="5"/>
                <c:pt idx="0">
                  <c:v>0.308193668528864</c:v>
                </c:pt>
                <c:pt idx="1">
                  <c:v>0.415270018621974</c:v>
                </c:pt>
                <c:pt idx="2">
                  <c:v>0.210428305400372</c:v>
                </c:pt>
                <c:pt idx="3">
                  <c:v>0.0484171322160149</c:v>
                </c:pt>
                <c:pt idx="4">
                  <c:v>0.0176908752327747</c:v>
                </c:pt>
              </c:numCache>
            </c:numRef>
          </c:val>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422914180319"/>
          <c:y val="0.0398130841121495"/>
          <c:w val="0.694900726917652"/>
          <c:h val="0.870280373831776"/>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材料与化学工程学院</c:v>
                </c:pt>
                <c:pt idx="1">
                  <c:v>农林工程与规划学院</c:v>
                </c:pt>
                <c:pt idx="2">
                  <c:v>国际学院</c:v>
                </c:pt>
                <c:pt idx="3">
                  <c:v>艺术学院</c:v>
                </c:pt>
                <c:pt idx="4">
                  <c:v>大健康学院</c:v>
                </c:pt>
                <c:pt idx="5">
                  <c:v>教育学院</c:v>
                </c:pt>
                <c:pt idx="6">
                  <c:v>大数据学院</c:v>
                </c:pt>
                <c:pt idx="7">
                  <c:v>人文学院</c:v>
                </c:pt>
                <c:pt idx="8">
                  <c:v>经济管理学院</c:v>
                </c:pt>
                <c:pt idx="9">
                  <c:v>马克思主义学院</c:v>
                </c:pt>
              </c:strCache>
            </c:strRef>
          </c:cat>
          <c:val>
            <c:numRef>
              <c:f>Sheet1!$B$2:$B$11</c:f>
              <c:numCache>
                <c:formatCode>0.00%</c:formatCode>
                <c:ptCount val="10"/>
                <c:pt idx="0">
                  <c:v>0.868131868131869</c:v>
                </c:pt>
                <c:pt idx="1">
                  <c:v>0.906593406593406</c:v>
                </c:pt>
                <c:pt idx="2">
                  <c:v>0.914285714285714</c:v>
                </c:pt>
                <c:pt idx="3">
                  <c:v>0.916666666666667</c:v>
                </c:pt>
                <c:pt idx="4">
                  <c:v>0.922413793103448</c:v>
                </c:pt>
                <c:pt idx="5">
                  <c:v>0.944723618090453</c:v>
                </c:pt>
                <c:pt idx="6">
                  <c:v>0.952095808383234</c:v>
                </c:pt>
                <c:pt idx="7">
                  <c:v>0.955056179775281</c:v>
                </c:pt>
                <c:pt idx="8">
                  <c:v>0.96551724137931</c:v>
                </c:pt>
                <c:pt idx="9">
                  <c:v>1</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143631436314"/>
          <c:y val="0.0465188401302528"/>
          <c:w val="0.573864498644986"/>
          <c:h val="0.875949759652659"/>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Sheet1!$A$2:$A$20</c:f>
              <c:strCache>
                <c:ptCount val="19"/>
                <c:pt idx="0">
                  <c:v>采矿业</c:v>
                </c:pt>
                <c:pt idx="1">
                  <c:v>交通运输、仓储和邮政业</c:v>
                </c:pt>
                <c:pt idx="2">
                  <c:v>租赁和商务服务业</c:v>
                </c:pt>
                <c:pt idx="3">
                  <c:v>金融业</c:v>
                </c:pt>
                <c:pt idx="4">
                  <c:v>水利、环境和公共设施管理业</c:v>
                </c:pt>
                <c:pt idx="5">
                  <c:v>房地产业</c:v>
                </c:pt>
                <c:pt idx="6">
                  <c:v>电力、热力、燃气及水生产和供应业</c:v>
                </c:pt>
                <c:pt idx="7">
                  <c:v>科学研究和技术服务业</c:v>
                </c:pt>
                <c:pt idx="8">
                  <c:v>农、林、牧、渔业</c:v>
                </c:pt>
                <c:pt idx="9">
                  <c:v>住宿和餐饮业</c:v>
                </c:pt>
                <c:pt idx="10">
                  <c:v>文化、体育和娱乐业</c:v>
                </c:pt>
                <c:pt idx="11">
                  <c:v>卫生和社会工作</c:v>
                </c:pt>
                <c:pt idx="12">
                  <c:v>公共管理、社会保障和社会组织</c:v>
                </c:pt>
                <c:pt idx="13">
                  <c:v>批发和零售业</c:v>
                </c:pt>
                <c:pt idx="14">
                  <c:v>居民服务、修理和其他服务业</c:v>
                </c:pt>
                <c:pt idx="15">
                  <c:v>建筑业</c:v>
                </c:pt>
                <c:pt idx="16">
                  <c:v>制造业</c:v>
                </c:pt>
                <c:pt idx="17">
                  <c:v>信息传输、软件和信息技术服务业</c:v>
                </c:pt>
                <c:pt idx="18">
                  <c:v>教育</c:v>
                </c:pt>
              </c:strCache>
            </c:strRef>
          </c:cat>
          <c:val>
            <c:numRef>
              <c:f>Sheet1!$B$2:$B$20</c:f>
              <c:numCache>
                <c:formatCode>0.00%</c:formatCode>
                <c:ptCount val="19"/>
                <c:pt idx="0">
                  <c:v>0.00863213811420983</c:v>
                </c:pt>
                <c:pt idx="1">
                  <c:v>0.0119521912350598</c:v>
                </c:pt>
                <c:pt idx="2">
                  <c:v>0.0179282868525896</c:v>
                </c:pt>
                <c:pt idx="3">
                  <c:v>0.0199203187250996</c:v>
                </c:pt>
                <c:pt idx="4">
                  <c:v>0.0232403718459495</c:v>
                </c:pt>
                <c:pt idx="5">
                  <c:v>0.0245683930942895</c:v>
                </c:pt>
                <c:pt idx="6">
                  <c:v>0.0252324037184595</c:v>
                </c:pt>
                <c:pt idx="7">
                  <c:v>0.0252324037184595</c:v>
                </c:pt>
                <c:pt idx="8">
                  <c:v>0.0285524568393094</c:v>
                </c:pt>
                <c:pt idx="9">
                  <c:v>0.0351925630810093</c:v>
                </c:pt>
                <c:pt idx="10">
                  <c:v>0.0458167330677291</c:v>
                </c:pt>
                <c:pt idx="11">
                  <c:v>0.048472775564409</c:v>
                </c:pt>
                <c:pt idx="12">
                  <c:v>0.050464807436919</c:v>
                </c:pt>
                <c:pt idx="13">
                  <c:v>0.051792828685259</c:v>
                </c:pt>
                <c:pt idx="14">
                  <c:v>0.0551128818061089</c:v>
                </c:pt>
                <c:pt idx="15">
                  <c:v>0.0571049136786189</c:v>
                </c:pt>
                <c:pt idx="16">
                  <c:v>0.0710491367861886</c:v>
                </c:pt>
                <c:pt idx="17">
                  <c:v>0.144754316069057</c:v>
                </c:pt>
                <c:pt idx="18">
                  <c:v>0.254980079681275</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941846587827"/>
          <c:y val="0.0414953271028037"/>
          <c:w val="0.712259954432028"/>
          <c:h val="0.868598130841121"/>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Sheet1!$A$2:$A$8</c:f>
              <c:strCache>
                <c:ptCount val="7"/>
                <c:pt idx="0">
                  <c:v>其他</c:v>
                </c:pt>
                <c:pt idx="1">
                  <c:v>考核方法与教学评价</c:v>
                </c:pt>
                <c:pt idx="2">
                  <c:v>公共课的内容及安排</c:v>
                </c:pt>
                <c:pt idx="3">
                  <c:v>师资水平</c:v>
                </c:pt>
                <c:pt idx="4">
                  <c:v>教学方法和手段</c:v>
                </c:pt>
                <c:pt idx="5">
                  <c:v>专业课的内容及安排</c:v>
                </c:pt>
                <c:pt idx="6">
                  <c:v>实践教学</c:v>
                </c:pt>
              </c:strCache>
            </c:strRef>
          </c:cat>
          <c:val>
            <c:numRef>
              <c:f>Sheet1!$B$2:$B$8</c:f>
              <c:numCache>
                <c:formatCode>0.00%</c:formatCode>
                <c:ptCount val="7"/>
                <c:pt idx="0">
                  <c:v>0.128491620111732</c:v>
                </c:pt>
                <c:pt idx="1">
                  <c:v>0.162942271880819</c:v>
                </c:pt>
                <c:pt idx="2">
                  <c:v>0.185288640595903</c:v>
                </c:pt>
                <c:pt idx="3">
                  <c:v>0.220670391061453</c:v>
                </c:pt>
                <c:pt idx="4">
                  <c:v>0.408752327746741</c:v>
                </c:pt>
                <c:pt idx="5">
                  <c:v>0.457169459962756</c:v>
                </c:pt>
                <c:pt idx="6">
                  <c:v>0.513966480446927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1186827518748"/>
          <c:y val="0.0396697543294402"/>
          <c:w val="0.875774372350831"/>
          <c:h val="0.877043898509867"/>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非常合理</c:v>
                </c:pt>
                <c:pt idx="1">
                  <c:v>合理</c:v>
                </c:pt>
                <c:pt idx="2">
                  <c:v>比较合理</c:v>
                </c:pt>
                <c:pt idx="3">
                  <c:v>不太合理</c:v>
                </c:pt>
                <c:pt idx="4">
                  <c:v>不合理</c:v>
                </c:pt>
              </c:strCache>
            </c:strRef>
          </c:cat>
          <c:val>
            <c:numRef>
              <c:f>Sheet1!$B$2:$B$6</c:f>
              <c:numCache>
                <c:formatCode>0.00%</c:formatCode>
                <c:ptCount val="5"/>
                <c:pt idx="0">
                  <c:v>0.249534450651769</c:v>
                </c:pt>
                <c:pt idx="1">
                  <c:v>0.415270018621974</c:v>
                </c:pt>
                <c:pt idx="2">
                  <c:v>0.276536312849162</c:v>
                </c:pt>
                <c:pt idx="3">
                  <c:v>0.0549348230912477</c:v>
                </c:pt>
                <c:pt idx="4">
                  <c:v>0.0037243947858473</c:v>
                </c:pt>
              </c:numCache>
            </c:numRef>
          </c:val>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74527374057"/>
          <c:y val="0.0375955381119603"/>
          <c:w val="0.675161184569992"/>
          <c:h val="0.868622185498864"/>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Sheet1!$A$2:$A$8</c:f>
              <c:strCache>
                <c:ptCount val="7"/>
                <c:pt idx="0">
                  <c:v>其他</c:v>
                </c:pt>
                <c:pt idx="1">
                  <c:v>每周上课时间安排</c:v>
                </c:pt>
                <c:pt idx="2">
                  <c:v>公共课程时间安排</c:v>
                </c:pt>
                <c:pt idx="3">
                  <c:v>各学期开设专业课门数</c:v>
                </c:pt>
                <c:pt idx="4">
                  <c:v>专业课开设的先后顺序</c:v>
                </c:pt>
                <c:pt idx="5">
                  <c:v>实践课程安排次数</c:v>
                </c:pt>
                <c:pt idx="6">
                  <c:v>专业课内容的实用性</c:v>
                </c:pt>
              </c:strCache>
            </c:strRef>
          </c:cat>
          <c:val>
            <c:numRef>
              <c:f>Sheet1!$B$2:$B$8</c:f>
              <c:numCache>
                <c:formatCode>0.00%</c:formatCode>
                <c:ptCount val="7"/>
                <c:pt idx="0">
                  <c:v>0.114525139664804</c:v>
                </c:pt>
                <c:pt idx="1">
                  <c:v>0.0865921787709497</c:v>
                </c:pt>
                <c:pt idx="2">
                  <c:v>0.10707635009311</c:v>
                </c:pt>
                <c:pt idx="3">
                  <c:v>0.330540037243948</c:v>
                </c:pt>
                <c:pt idx="4">
                  <c:v>0.386405959031657</c:v>
                </c:pt>
                <c:pt idx="5">
                  <c:v>0.460893854748603</c:v>
                </c:pt>
                <c:pt idx="6">
                  <c:v>0.606145251396648</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284033772887"/>
          <c:y val="0.000980813227223603"/>
          <c:w val="0.918863105967176"/>
          <c:h val="0.859043542634094"/>
        </c:manualLayout>
      </c:layout>
      <c:barChart>
        <c:barDir val="col"/>
        <c:grouping val="clustered"/>
        <c:varyColors val="0"/>
        <c:ser>
          <c:idx val="0"/>
          <c:order val="0"/>
          <c:tx>
            <c:strRef>
              <c:f>Sheet1!$B$1</c:f>
              <c:strCache>
                <c:ptCount val="1"/>
                <c:pt idx="0">
                  <c:v>度</c:v>
                </c:pt>
              </c:strCache>
            </c:strRef>
          </c:tx>
          <c:spPr>
            <a:blipFill>
              <a:blip xmlns:r="http://schemas.openxmlformats.org/officeDocument/2006/relationships" r:embed="rId2"/>
              <a:stretch>
                <a:fillRect/>
              </a:stretch>
            </a:blipFill>
          </c:spPr>
          <c:invertIfNegative val="1"/>
          <c:dPt>
            <c:idx val="0"/>
            <c:invertIfNegative val="1"/>
            <c:bubble3D val="0"/>
            <c:spPr>
              <a:blipFill>
                <a:blip xmlns:r="http://schemas.openxmlformats.org/officeDocument/2006/relationships" r:embed="rId3"/>
                <a:stretch>
                  <a:fillRect/>
                </a:stretch>
              </a:blipFill>
            </c:spPr>
          </c:dPt>
          <c:dPt>
            <c:idx val="1"/>
            <c:invertIfNegative val="1"/>
            <c:bubble3D val="0"/>
            <c:spPr>
              <a:blipFill>
                <a:blip xmlns:r="http://schemas.openxmlformats.org/officeDocument/2006/relationships" r:embed="rId4"/>
                <a:stretch>
                  <a:fillRect/>
                </a:stretch>
              </a:blipFill>
            </c:spPr>
          </c:dPt>
          <c:dPt>
            <c:idx val="2"/>
            <c:invertIfNegative val="1"/>
            <c:bubble3D val="0"/>
            <c:spPr>
              <a:blipFill>
                <a:blip xmlns:r="http://schemas.openxmlformats.org/officeDocument/2006/relationships" r:embed="rId5"/>
                <a:stretch>
                  <a:fillRect/>
                </a:stretch>
              </a:blipFill>
            </c:spPr>
          </c:dPt>
          <c:dPt>
            <c:idx val="3"/>
            <c:invertIfNegative val="1"/>
            <c:bubble3D val="0"/>
            <c:spPr>
              <a:blipFill>
                <a:blip xmlns:r="http://schemas.openxmlformats.org/officeDocument/2006/relationships" r:embed="rId6"/>
                <a:stretch>
                  <a:fillRect/>
                </a:stretch>
              </a:blipFill>
            </c:spPr>
          </c:dPt>
          <c:dLbls>
            <c:numFmt formatCode="0.00%" sourceLinked="0"/>
            <c:spPr>
              <a:solidFill>
                <a:srgbClr val="0BD0D9"/>
              </a:solid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Sheet1!$A$3:$A$6</c:f>
              <c:strCache>
                <c:ptCount val="4"/>
                <c:pt idx="0">
                  <c:v>任课教师总体</c:v>
                </c:pt>
                <c:pt idx="1">
                  <c:v>师德师风</c:v>
                </c:pt>
                <c:pt idx="2">
                  <c:v>教学态度</c:v>
                </c:pt>
                <c:pt idx="3">
                  <c:v>教学水平</c:v>
                </c:pt>
              </c:strCache>
            </c:strRef>
          </c:cat>
          <c:val>
            <c:numRef>
              <c:f>Sheet1!$B$3:$B$6</c:f>
              <c:numCache>
                <c:formatCode>0.00%</c:formatCode>
                <c:ptCount val="4"/>
                <c:pt idx="0">
                  <c:v>0.991620111731844</c:v>
                </c:pt>
                <c:pt idx="1">
                  <c:v>0.994413407821229</c:v>
                </c:pt>
                <c:pt idx="2">
                  <c:v>0.992551210428306</c:v>
                </c:pt>
                <c:pt idx="3">
                  <c:v>0.986033519553072</c:v>
                </c:pt>
              </c:numCache>
            </c:numRef>
          </c:val>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p>
        </c:txPr>
        <c:crossAx val="1384677232"/>
        <c:crosses val="autoZero"/>
        <c:auto val="1"/>
        <c:lblAlgn val="ctr"/>
        <c:lblOffset val="100"/>
        <c:noMultiLvlLbl val="0"/>
      </c:catAx>
      <c:valAx>
        <c:axId val="1384677232"/>
        <c:scaling>
          <c:orientation val="minMax"/>
          <c:max val="1.2"/>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ea"/>
                <a:ea typeface="+mn-ea"/>
                <a:cs typeface="+mn-cs"/>
              </a:defRPr>
            </a:pPr>
          </a:p>
        </c:txPr>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965460333914"/>
          <c:y val="0.103559120005294"/>
          <c:w val="0.467167630057803"/>
          <c:h val="0.843984962406015"/>
        </c:manualLayout>
      </c:layout>
      <c:pieChart>
        <c:varyColors val="1"/>
        <c:ser>
          <c:idx val="0"/>
          <c:order val="0"/>
          <c:tx>
            <c:strRef>
              <c:f>Sheet1!$B$1</c:f>
              <c:strCache>
                <c:ptCount val="1"/>
                <c:pt idx="0">
                  <c:v>占比</c:v>
                </c:pt>
              </c:strCache>
            </c:strRef>
          </c:tx>
          <c:spPr/>
          <c:explosion val="0"/>
          <c:dPt>
            <c:idx val="0"/>
            <c:bubble3D val="0"/>
            <c:spPr>
              <a:solidFill>
                <a:schemeClr val="accent1">
                  <a:lumMod val="60000"/>
                  <a:lumOff val="40000"/>
                </a:schemeClr>
              </a:solidFill>
              <a:ln w="19050">
                <a:solidFill>
                  <a:schemeClr val="lt1"/>
                </a:solidFill>
              </a:ln>
              <a:effectLst/>
            </c:spPr>
          </c:dPt>
          <c:dPt>
            <c:idx val="1"/>
            <c:bubble3D val="0"/>
            <c:spPr>
              <a:solidFill>
                <a:schemeClr val="accent4">
                  <a:lumMod val="60000"/>
                  <a:lumOff val="40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179537627129106"/>
                  <c:y val="0.042245136479689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58296342248065"/>
                  <c:y val="0.00216399902205656"/>
                </c:manualLayout>
              </c:layout>
              <c:tx>
                <c:rich>
                  <a:bodyPr rot="0" spcFirstLastPara="1" vertOverflow="clip" vert="horz" wrap="square" lIns="36576" tIns="18288" rIns="36576" bIns="18288" anchor="ctr" anchorCtr="1"/>
                  <a:lstStyle/>
                  <a:p>
                    <a:fld id="{d9270041-a182-4bd1-b561-ea50c40f6205}" type="CATEGORYNAME">
                      <a:t>[CATEGORY NAME]</a:t>
                    </a:fld>
                    <a:r>
                      <a:t>,</a:t>
                    </a:r>
                    <a:fld id="{5f60c46d-3a07-4bda-801e-dac8d66a6a6c}" type="VALUE">
                      <a:t>[VALUE]</a:t>
                    </a:fld>
                    <a:endParaRPr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14803968624825"/>
                  <c:y val="-0.13032966029653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534731423962715"/>
                  <c:y val="0.042761310865139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111401215749019"/>
                  <c:y val="0.01622145602912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非常高</c:v>
                </c:pt>
                <c:pt idx="1">
                  <c:v>高</c:v>
                </c:pt>
                <c:pt idx="2">
                  <c:v>比较高</c:v>
                </c:pt>
                <c:pt idx="3">
                  <c:v>较差</c:v>
                </c:pt>
                <c:pt idx="4">
                  <c:v>差</c:v>
                </c:pt>
              </c:strCache>
            </c:strRef>
          </c:cat>
          <c:val>
            <c:numRef>
              <c:f>Sheet1!$B$2:$B$6</c:f>
              <c:numCache>
                <c:formatCode>0.00%</c:formatCode>
                <c:ptCount val="5"/>
                <c:pt idx="0">
                  <c:v>0.162942271880819</c:v>
                </c:pt>
                <c:pt idx="1">
                  <c:v>0.326815642458101</c:v>
                </c:pt>
                <c:pt idx="2">
                  <c:v>0.431098696461825</c:v>
                </c:pt>
                <c:pt idx="3">
                  <c:v>0.0670391061452514</c:v>
                </c:pt>
                <c:pt idx="4">
                  <c:v>0.0121042830540037</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sz="1000">
          <a:solidFill>
            <a:schemeClr val="tx1"/>
          </a:solidFill>
        </a:defRPr>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605525353557"/>
          <c:y val="0.155533285612026"/>
          <c:w val="0.392092966266195"/>
          <c:h val="0.690830464373771"/>
        </c:manualLayout>
      </c:layout>
      <c:radarChart>
        <c:radarStyle val="marker"/>
        <c:varyColors val="0"/>
        <c:ser>
          <c:idx val="0"/>
          <c:order val="0"/>
          <c:tx>
            <c:strRef>
              <c:f>Sheet1!$B$1</c:f>
              <c:strCache>
                <c:ptCount val="1"/>
                <c:pt idx="0">
                  <c:v>符合度</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0.00675623287789245"/>
                  <c:y val="-0.0378646742240999"/>
                </c:manualLayout>
              </c:layout>
              <c:tx>
                <c:rich>
                  <a:bodyPr rot="0" spcFirstLastPara="1" vertOverflow="ellipsis" vert="horz" wrap="square" lIns="38100" tIns="19050" rIns="38100" bIns="19050" anchor="ctr" anchorCtr="1"/>
                  <a:lstStyle/>
                  <a:p>
                    <a:fld id="{82abcac9-5c88-4c3a-9ae2-cdc50a47cfa2}" type="CATEGORYNAME">
                      <a:t>[CATEGORY NAME]</a:t>
                    </a:fld>
                    <a:r>
                      <a:t>,</a:t>
                    </a:r>
                    <a:fld id="{66b2b400-b6e4-4058-ac55-d637a3a3f20b}" type="VALUE">
                      <a:t>[VALUE]</a:t>
                    </a:fld>
                    <a:endParaRPr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manualLayout>
                      <c:w val="0.25164113785558"/>
                      <c:h val="0.163220595643013"/>
                    </c:manualLayout>
                  </c15:layout>
                </c:ext>
              </c:extLst>
            </c:dLbl>
            <c:dLbl>
              <c:idx val="1"/>
              <c:layout>
                <c:manualLayout>
                  <c:x val="0.0986094479574079"/>
                  <c:y val="-0.0193405414341033"/>
                </c:manualLayout>
              </c:layout>
              <c:showLegendKey val="0"/>
              <c:showVal val="1"/>
              <c:showCatName val="1"/>
              <c:showSerName val="0"/>
              <c:showPercent val="0"/>
              <c:showBubbleSize val="0"/>
              <c:extLst>
                <c:ext xmlns:c15="http://schemas.microsoft.com/office/drawing/2012/chart" uri="{CE6537A1-D6FC-4f65-9D91-7224C49458BB}">
                  <c15:layout>
                    <c:manualLayout>
                      <c:w val="0.192057711194197"/>
                      <c:h val="0.226576089753487"/>
                    </c:manualLayout>
                  </c15:layout>
                </c:ext>
              </c:extLst>
            </c:dLbl>
            <c:dLbl>
              <c:idx val="2"/>
              <c:layout>
                <c:manualLayout>
                  <c:x val="0.0849224228535983"/>
                  <c:y val="-0.0132521759200778"/>
                </c:manualLayout>
              </c:layout>
              <c:tx>
                <c:rich>
                  <a:bodyPr rot="0" spcFirstLastPara="1" vertOverflow="ellipsis" vert="horz" wrap="square" lIns="38100" tIns="19050" rIns="38100" bIns="19050" anchor="ctr" anchorCtr="1"/>
                  <a:lstStyle/>
                  <a:p>
                    <a:fld id="{ad9ba7af-e8a0-42ac-a908-59c56bcfeebd}" type="CATEGORYNAME">
                      <a:t>[CATEGORY NAME]</a:t>
                    </a:fld>
                    <a:r>
                      <a:t>,</a:t>
                    </a:r>
                    <a:fld id="{c5a9a437-0ab9-49f6-a0c3-f71a4b3474f5}" type="VALUE">
                      <a:t>[VALUE]</a:t>
                    </a:fld>
                    <a:endParaRPr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233769815328413"/>
                  <c:y val="0.0846505258845862"/>
                </c:manualLayout>
              </c:layout>
              <c:showLegendKey val="0"/>
              <c:showVal val="1"/>
              <c:showCatName val="1"/>
              <c:showSerName val="0"/>
              <c:showPercent val="0"/>
              <c:showBubbleSize val="0"/>
              <c:extLst>
                <c:ext xmlns:c15="http://schemas.microsoft.com/office/drawing/2012/chart" uri="{CE6537A1-D6FC-4f65-9D91-7224C49458BB}">
                  <c15:layout>
                    <c:manualLayout>
                      <c:w val="0.286878565607172"/>
                      <c:h val="0.202424242424242"/>
                    </c:manualLayout>
                  </c15:layout>
                </c:ext>
              </c:extLst>
            </c:dLbl>
            <c:dLbl>
              <c:idx val="4"/>
              <c:layout>
                <c:manualLayout>
                  <c:x val="-0.123862833611882"/>
                  <c:y val="0.0439535075940819"/>
                </c:manualLayout>
              </c:layout>
              <c:showLegendKey val="0"/>
              <c:showVal val="1"/>
              <c:showCatName val="1"/>
              <c:showSerName val="0"/>
              <c:showPercent val="0"/>
              <c:showBubbleSize val="0"/>
              <c:extLst>
                <c:ext xmlns:c15="http://schemas.microsoft.com/office/drawing/2012/chart" uri="{CE6537A1-D6FC-4f65-9D91-7224C49458BB}">
                  <c15:layout>
                    <c:manualLayout>
                      <c:w val="0.244217465841934"/>
                      <c:h val="0.226576089753487"/>
                    </c:manualLayout>
                  </c15:layout>
                </c:ext>
              </c:extLst>
            </c:dLbl>
            <c:dLbl>
              <c:idx val="5"/>
              <c:layout>
                <c:manualLayout>
                  <c:x val="-0.100862997294922"/>
                  <c:y val="-0.0266550014581511"/>
                </c:manualLayout>
              </c:layout>
              <c:showLegendKey val="0"/>
              <c:showVal val="1"/>
              <c:showCatName val="1"/>
              <c:showSerName val="0"/>
              <c:showPercent val="0"/>
              <c:showBubbleSize val="0"/>
              <c:extLst>
                <c:ext xmlns:c15="http://schemas.microsoft.com/office/drawing/2012/chart" uri="{CE6537A1-D6FC-4f65-9D91-7224C49458BB}">
                  <c15:layout>
                    <c:manualLayout>
                      <c:w val="0.281073717672599"/>
                      <c:h val="0.226576089753487"/>
                    </c:manualLayout>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总体评价</c:v>
                </c:pt>
                <c:pt idx="1">
                  <c:v>就业指导课</c:v>
                </c:pt>
                <c:pt idx="2">
                  <c:v>创新创业类课程</c:v>
                </c:pt>
                <c:pt idx="3">
                  <c:v>政策宣讲、职业辅导和就业创业讲座等活动</c:v>
                </c:pt>
                <c:pt idx="4">
                  <c:v>就业创业个体咨询</c:v>
                </c:pt>
                <c:pt idx="5">
                  <c:v>校园招聘与宣讲</c:v>
                </c:pt>
              </c:strCache>
            </c:strRef>
          </c:cat>
          <c:val>
            <c:numRef>
              <c:f>Sheet1!$B$2:$B$7</c:f>
              <c:numCache>
                <c:formatCode>0.00%</c:formatCode>
                <c:ptCount val="6"/>
                <c:pt idx="0">
                  <c:v>0.958100558659217</c:v>
                </c:pt>
                <c:pt idx="1">
                  <c:v>0.942271880819367</c:v>
                </c:pt>
                <c:pt idx="2">
                  <c:v>0.946927374301676</c:v>
                </c:pt>
                <c:pt idx="3">
                  <c:v>0.961824953445066</c:v>
                </c:pt>
                <c:pt idx="4">
                  <c:v>0.945065176908752</c:v>
                </c:pt>
                <c:pt idx="5">
                  <c:v>0.945996275605215</c:v>
                </c:pt>
              </c:numCache>
            </c:numRef>
          </c:val>
        </c:ser>
        <c:dLbls>
          <c:showLegendKey val="0"/>
          <c:showVal val="1"/>
          <c:showCatName val="0"/>
          <c:showSerName val="0"/>
          <c:showPercent val="0"/>
          <c:showBubbleSize val="0"/>
        </c:dLbls>
        <c:axId val="754984776"/>
        <c:axId val="1001518080"/>
      </c:radarChart>
      <c:catAx>
        <c:axId val="754984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1001518080"/>
        <c:crosses val="autoZero"/>
        <c:auto val="1"/>
        <c:lblAlgn val="ctr"/>
        <c:lblOffset val="100"/>
        <c:noMultiLvlLbl val="0"/>
      </c:catAx>
      <c:valAx>
        <c:axId val="100151808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7549847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defRPr>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927986012458"/>
          <c:y val="0.0551538938235902"/>
          <c:w val="0.383455360069938"/>
          <c:h val="0.724850237554224"/>
        </c:manualLayout>
      </c:layout>
      <c:pieChart>
        <c:varyColors val="1"/>
        <c:ser>
          <c:idx val="0"/>
          <c:order val="0"/>
          <c:tx>
            <c:strRef>
              <c:f>Sheet1!$B$1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244120927881122"/>
                  <c:y val="-0.02592125589131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党政机关（包括部队单位）</c:v>
                </c:pt>
                <c:pt idx="1">
                  <c:v>股份制企业</c:v>
                </c:pt>
                <c:pt idx="2">
                  <c:v>其他</c:v>
                </c:pt>
                <c:pt idx="3">
                  <c:v>国有企业</c:v>
                </c:pt>
                <c:pt idx="4">
                  <c:v>事业单位（含学校或医疗卫生单位）</c:v>
                </c:pt>
                <c:pt idx="5">
                  <c:v>民(私)营企业</c:v>
                </c:pt>
              </c:strCache>
            </c:strRef>
          </c:cat>
          <c:val>
            <c:numRef>
              <c:f>Sheet1!$B$2:$B$7</c:f>
              <c:numCache>
                <c:formatCode>0.00%</c:formatCode>
                <c:ptCount val="6"/>
                <c:pt idx="0">
                  <c:v>0.0533333333333333</c:v>
                </c:pt>
                <c:pt idx="1">
                  <c:v>0.08</c:v>
                </c:pt>
                <c:pt idx="2">
                  <c:v>0.146666666666667</c:v>
                </c:pt>
                <c:pt idx="3">
                  <c:v>0.213333333333333</c:v>
                </c:pt>
                <c:pt idx="4">
                  <c:v>0.213333333333333</c:v>
                </c:pt>
                <c:pt idx="5">
                  <c:v>0.293333333333333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0190143153753688"/>
          <c:y val="0.792811402602768"/>
          <c:w val="0.977707354387499"/>
          <c:h val="0.1801280727122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405090137858"/>
          <c:y val="0.0406966718399724"/>
          <c:w val="0.582226935312831"/>
          <c:h val="0.863252284876703"/>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Sheet1!$A$2:$A$17</c:f>
              <c:strCache>
                <c:ptCount val="16"/>
                <c:pt idx="0">
                  <c:v>其他</c:v>
                </c:pt>
                <c:pt idx="1">
                  <c:v>卫生和社会工作</c:v>
                </c:pt>
                <c:pt idx="2">
                  <c:v>租赁和商务服务业</c:v>
                </c:pt>
                <c:pt idx="3">
                  <c:v>房地产业</c:v>
                </c:pt>
                <c:pt idx="4">
                  <c:v>文化、体育和娱乐业</c:v>
                </c:pt>
                <c:pt idx="5">
                  <c:v>制造业</c:v>
                </c:pt>
                <c:pt idx="6">
                  <c:v>公共管理、社会保障和社会组织</c:v>
                </c:pt>
                <c:pt idx="7">
                  <c:v>批发和零售业</c:v>
                </c:pt>
                <c:pt idx="8">
                  <c:v>电力、热力、燃气及水生产和供应业</c:v>
                </c:pt>
                <c:pt idx="9">
                  <c:v>信息传输、软件和信息技术服务业</c:v>
                </c:pt>
                <c:pt idx="10">
                  <c:v>交通运输、仓储和邮政业</c:v>
                </c:pt>
                <c:pt idx="11">
                  <c:v>居民服务、修理和其他服务业</c:v>
                </c:pt>
                <c:pt idx="12">
                  <c:v>农、林、牧、渔业</c:v>
                </c:pt>
                <c:pt idx="13">
                  <c:v>建筑业</c:v>
                </c:pt>
                <c:pt idx="14">
                  <c:v>水利、环境和公共设施管理业</c:v>
                </c:pt>
                <c:pt idx="15">
                  <c:v>教育</c:v>
                </c:pt>
              </c:strCache>
            </c:strRef>
          </c:cat>
          <c:val>
            <c:numRef>
              <c:f>Sheet1!$B$2:$B$17</c:f>
              <c:numCache>
                <c:formatCode>0.00%</c:formatCode>
                <c:ptCount val="16"/>
                <c:pt idx="0">
                  <c:v>0.16</c:v>
                </c:pt>
                <c:pt idx="1">
                  <c:v>0.0133333333333333</c:v>
                </c:pt>
                <c:pt idx="2">
                  <c:v>0.0133333333333333</c:v>
                </c:pt>
                <c:pt idx="3">
                  <c:v>0.0133333333333333</c:v>
                </c:pt>
                <c:pt idx="4">
                  <c:v>0.0266666666666667</c:v>
                </c:pt>
                <c:pt idx="5">
                  <c:v>0.0266666666666667</c:v>
                </c:pt>
                <c:pt idx="6">
                  <c:v>0.0266666666666667</c:v>
                </c:pt>
                <c:pt idx="7">
                  <c:v>0.0266666666666667</c:v>
                </c:pt>
                <c:pt idx="8">
                  <c:v>0.0266666666666667</c:v>
                </c:pt>
                <c:pt idx="9">
                  <c:v>0.04</c:v>
                </c:pt>
                <c:pt idx="10">
                  <c:v>0.04</c:v>
                </c:pt>
                <c:pt idx="11">
                  <c:v>0.04</c:v>
                </c:pt>
                <c:pt idx="12">
                  <c:v>0.0533333333333333</c:v>
                </c:pt>
                <c:pt idx="13">
                  <c:v>0.08</c:v>
                </c:pt>
                <c:pt idx="14">
                  <c:v>0.0933333333333333</c:v>
                </c:pt>
                <c:pt idx="15">
                  <c:v>0.32</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582382473756"/>
          <c:y val="0.0660621761658031"/>
          <c:w val="0.376426289365586"/>
          <c:h val="0.854663212435233"/>
        </c:manualLayout>
      </c:layout>
      <c:pieChart>
        <c:varyColors val="1"/>
        <c:ser>
          <c:idx val="0"/>
          <c:order val="0"/>
          <c:tx>
            <c:strRef>
              <c:f>Sheet1!$B$1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116744593087366"/>
                  <c:y val="0.032967940853435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331419255418729"/>
                  <c:y val="0.078795841526676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832364842971669"/>
                  <c:y val="0.024102773091422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持平</c:v>
                </c:pt>
                <c:pt idx="1">
                  <c:v>增加</c:v>
                </c:pt>
                <c:pt idx="2">
                  <c:v>减少</c:v>
                </c:pt>
              </c:strCache>
            </c:strRef>
          </c:cat>
          <c:val>
            <c:numRef>
              <c:f>Sheet1!$B$2:$B$4</c:f>
              <c:numCache>
                <c:formatCode>0.00%</c:formatCode>
                <c:ptCount val="3"/>
                <c:pt idx="0">
                  <c:v>0.573333333333333</c:v>
                </c:pt>
                <c:pt idx="1">
                  <c:v>0.293333333333333</c:v>
                </c:pt>
                <c:pt idx="2">
                  <c:v>0.133333333333333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4249916098"/>
          <c:y val="0.0239043824701195"/>
          <c:w val="0.364233135697505"/>
          <c:h val="0.864775564409031"/>
        </c:manualLayout>
      </c:layout>
      <c:pieChart>
        <c:varyColors val="1"/>
        <c:ser>
          <c:idx val="0"/>
          <c:order val="0"/>
          <c:tx>
            <c:strRef>
              <c:f>Sheet1!$B$1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274258033075623"/>
                  <c:y val="0.0618071961052725"/>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55162769884775"/>
                      <c:h val="0.241965471447543"/>
                    </c:manualLayout>
                  </c15:layout>
                </c:ext>
              </c:extLst>
            </c:dLbl>
            <c:dLbl>
              <c:idx val="1"/>
              <c:layout>
                <c:manualLayout>
                  <c:x val="0.0901247939086072"/>
                  <c:y val="-0.207246521822819"/>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25181787671999"/>
                      <c:h val="0.156175298804781"/>
                    </c:manualLayout>
                  </c15:layout>
                </c:ext>
              </c:extLst>
            </c:dLbl>
            <c:dLbl>
              <c:idx val="2"/>
              <c:layout>
                <c:manualLayout>
                  <c:x val="0.00617856794939506"/>
                  <c:y val="0.039910382682649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18469627475109"/>
                      <c:h val="0.278618857901726"/>
                    </c:manualLayout>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比较满意</c:v>
                </c:pt>
                <c:pt idx="1">
                  <c:v>满意</c:v>
                </c:pt>
                <c:pt idx="2">
                  <c:v>非常满意</c:v>
                </c:pt>
              </c:strCache>
            </c:strRef>
          </c:cat>
          <c:val>
            <c:numRef>
              <c:f>Sheet1!$B$2:$B$4</c:f>
              <c:numCache>
                <c:formatCode>0.00%</c:formatCode>
                <c:ptCount val="3"/>
                <c:pt idx="0">
                  <c:v>0.2</c:v>
                </c:pt>
                <c:pt idx="1">
                  <c:v>0.466666666666667</c:v>
                </c:pt>
                <c:pt idx="2">
                  <c:v>0.333333333333333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143631436314"/>
          <c:y val="0.0465188401302528"/>
          <c:w val="0.573864498644986"/>
          <c:h val="0.875949759652659"/>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Sheet1!$A$2:$A$20</c:f>
              <c:strCache>
                <c:ptCount val="19"/>
                <c:pt idx="0" c:formatCode="0.00%">
                  <c:v>采矿业</c:v>
                </c:pt>
                <c:pt idx="1" c:formatCode="0.00%">
                  <c:v>交通运输、仓储和邮政业</c:v>
                </c:pt>
                <c:pt idx="2" c:formatCode="0.00%">
                  <c:v>租赁和商务服务业</c:v>
                </c:pt>
                <c:pt idx="3" c:formatCode="0.00%">
                  <c:v>金融业</c:v>
                </c:pt>
                <c:pt idx="4" c:formatCode="0.00%">
                  <c:v>农、林、牧、渔业</c:v>
                </c:pt>
                <c:pt idx="5" c:formatCode="0.00%">
                  <c:v>水利、环境和公共设施管理业</c:v>
                </c:pt>
                <c:pt idx="6" c:formatCode="0.00%">
                  <c:v>房地产业</c:v>
                </c:pt>
                <c:pt idx="7" c:formatCode="0.00%">
                  <c:v>科学研究和技术服务业</c:v>
                </c:pt>
                <c:pt idx="8" c:formatCode="0.00%">
                  <c:v>电力、热力、燃气及水生产和供应业</c:v>
                </c:pt>
                <c:pt idx="9" c:formatCode="0.00%">
                  <c:v>住宿和餐饮业</c:v>
                </c:pt>
                <c:pt idx="10" c:formatCode="0.00%">
                  <c:v>批发和零售业</c:v>
                </c:pt>
                <c:pt idx="11" c:formatCode="0.00%">
                  <c:v>居民服务、修理和其他服务业</c:v>
                </c:pt>
                <c:pt idx="12" c:formatCode="0.00%">
                  <c:v>卫生和社会工作</c:v>
                </c:pt>
                <c:pt idx="13" c:formatCode="0.00%">
                  <c:v>建筑业</c:v>
                </c:pt>
                <c:pt idx="14" c:formatCode="0.00%">
                  <c:v>公共管理、社会保障和社会组织</c:v>
                </c:pt>
                <c:pt idx="15" c:formatCode="0.00%">
                  <c:v>文化、体育和娱乐业</c:v>
                </c:pt>
                <c:pt idx="16" c:formatCode="0.00%">
                  <c:v>制造业</c:v>
                </c:pt>
                <c:pt idx="17" c:formatCode="0.00%">
                  <c:v>信息传输、软件和信息技术服务业</c:v>
                </c:pt>
                <c:pt idx="18" c:formatCode="0.00%">
                  <c:v>教育</c:v>
                </c:pt>
              </c:strCache>
            </c:strRef>
          </c:cat>
          <c:val>
            <c:numRef>
              <c:f>Sheet1!$B$2:$B$20</c:f>
              <c:numCache>
                <c:formatCode>0.00%</c:formatCode>
                <c:ptCount val="19"/>
                <c:pt idx="0">
                  <c:v>0.00917431192660551</c:v>
                </c:pt>
                <c:pt idx="1">
                  <c:v>0.0165137614678899</c:v>
                </c:pt>
                <c:pt idx="2">
                  <c:v>0.018348623853211</c:v>
                </c:pt>
                <c:pt idx="3">
                  <c:v>0.0201834862385321</c:v>
                </c:pt>
                <c:pt idx="4">
                  <c:v>0.0201834862385321</c:v>
                </c:pt>
                <c:pt idx="5">
                  <c:v>0.0238532110091743</c:v>
                </c:pt>
                <c:pt idx="6">
                  <c:v>0.0256880733944954</c:v>
                </c:pt>
                <c:pt idx="7">
                  <c:v>0.0256880733944954</c:v>
                </c:pt>
                <c:pt idx="8">
                  <c:v>0.0330275229357798</c:v>
                </c:pt>
                <c:pt idx="9">
                  <c:v>0.0348623853211009</c:v>
                </c:pt>
                <c:pt idx="10">
                  <c:v>0.036697247706422</c:v>
                </c:pt>
                <c:pt idx="11">
                  <c:v>0.0422018348623853</c:v>
                </c:pt>
                <c:pt idx="12">
                  <c:v>0.0477064220183486</c:v>
                </c:pt>
                <c:pt idx="13">
                  <c:v>0.0532110091743119</c:v>
                </c:pt>
                <c:pt idx="14">
                  <c:v>0.055045871559633</c:v>
                </c:pt>
                <c:pt idx="15">
                  <c:v>0.0605504587155963</c:v>
                </c:pt>
                <c:pt idx="16">
                  <c:v>0.0697247706422018</c:v>
                </c:pt>
                <c:pt idx="17">
                  <c:v>0.154128440366972</c:v>
                </c:pt>
                <c:pt idx="18">
                  <c:v>0.253211009174312</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405090137858"/>
          <c:y val="0.0406966718399724"/>
          <c:w val="0.582226935312831"/>
          <c:h val="0.863252284876703"/>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其他</c:v>
                </c:pt>
                <c:pt idx="1">
                  <c:v>体育锻炼</c:v>
                </c:pt>
                <c:pt idx="2">
                  <c:v>思维拓展的训练</c:v>
                </c:pt>
                <c:pt idx="3">
                  <c:v>团队协作能力的培养</c:v>
                </c:pt>
                <c:pt idx="4">
                  <c:v>交际能力的培养</c:v>
                </c:pt>
                <c:pt idx="5">
                  <c:v>职业素质的培养</c:v>
                </c:pt>
                <c:pt idx="6">
                  <c:v>表达能力的培养</c:v>
                </c:pt>
                <c:pt idx="7">
                  <c:v>创新能力的培养</c:v>
                </c:pt>
                <c:pt idx="8">
                  <c:v>实践能力的锻炼</c:v>
                </c:pt>
                <c:pt idx="9">
                  <c:v>专业知识的传授</c:v>
                </c:pt>
              </c:strCache>
            </c:strRef>
          </c:cat>
          <c:val>
            <c:numRef>
              <c:f>Sheet1!$B$2:$B$11</c:f>
              <c:numCache>
                <c:formatCode>0.00%</c:formatCode>
                <c:ptCount val="10"/>
                <c:pt idx="0">
                  <c:v>0.08</c:v>
                </c:pt>
                <c:pt idx="1">
                  <c:v>0.0133333333333333</c:v>
                </c:pt>
                <c:pt idx="2">
                  <c:v>0.0266666666666667</c:v>
                </c:pt>
                <c:pt idx="3">
                  <c:v>0.0533333333333333</c:v>
                </c:pt>
                <c:pt idx="4">
                  <c:v>0.08</c:v>
                </c:pt>
                <c:pt idx="5">
                  <c:v>0.0933333333333333</c:v>
                </c:pt>
                <c:pt idx="6">
                  <c:v>0.0933333333333333</c:v>
                </c:pt>
                <c:pt idx="7">
                  <c:v>0.146666666666667</c:v>
                </c:pt>
                <c:pt idx="8">
                  <c:v>0.186666666666667</c:v>
                </c:pt>
                <c:pt idx="9">
                  <c:v>0.226666666666667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385145652657"/>
          <c:y val="0.105361208859449"/>
          <c:w val="0.420724927729597"/>
          <c:h val="0.783274684330366"/>
        </c:manualLayout>
      </c:layout>
      <c:pieChart>
        <c:varyColors val="1"/>
        <c:ser>
          <c:idx val="0"/>
          <c:order val="0"/>
          <c:tx>
            <c:strRef>
              <c:f>Sheet1!$B$1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307462517321513"/>
                  <c:y val="-0.0019378238150462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55162769884775"/>
                      <c:h val="0.241965471447543"/>
                    </c:manualLayout>
                  </c15:layout>
                </c:ext>
              </c:extLst>
            </c:dLbl>
            <c:dLbl>
              <c:idx val="1"/>
              <c:layout>
                <c:manualLayout>
                  <c:x val="0.0208016645911617"/>
                  <c:y val="-0.021930901670433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25194574160551"/>
                      <c:h val="0.160629269302422"/>
                    </c:manualLayout>
                  </c15:layout>
                </c:ext>
              </c:extLst>
            </c:dLbl>
            <c:dLbl>
              <c:idx val="2"/>
              <c:layout>
                <c:manualLayout>
                  <c:x val="-0.000158990422853105"/>
                  <c:y val="0.137056656623788"/>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18469627475109"/>
                      <c:h val="0.278618857901726"/>
                    </c:manualLayout>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满意</c:v>
                </c:pt>
                <c:pt idx="1">
                  <c:v>非常满意</c:v>
                </c:pt>
                <c:pt idx="2">
                  <c:v>比较满意</c:v>
                </c:pt>
              </c:strCache>
            </c:strRef>
          </c:cat>
          <c:val>
            <c:numRef>
              <c:f>Sheet1!$B$2:$B$4</c:f>
              <c:numCache>
                <c:formatCode>0.00%</c:formatCode>
                <c:ptCount val="3"/>
                <c:pt idx="0">
                  <c:v>0.56</c:v>
                </c:pt>
                <c:pt idx="1">
                  <c:v>0.28</c:v>
                </c:pt>
                <c:pt idx="2">
                  <c:v>0.16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405090137858"/>
          <c:y val="0.0406966718399724"/>
          <c:w val="0.582226935312831"/>
          <c:h val="0.863252284876703"/>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Sheet1!$A$2:$A$8</c:f>
              <c:strCache>
                <c:ptCount val="7"/>
                <c:pt idx="0">
                  <c:v>其他</c:v>
                </c:pt>
                <c:pt idx="1">
                  <c:v>及时办理毕业生就业手续</c:v>
                </c:pt>
                <c:pt idx="2">
                  <c:v>提高就业指导教师的专业水平</c:v>
                </c:pt>
                <c:pt idx="3">
                  <c:v>加大对毕业生的推荐力度</c:v>
                </c:pt>
                <c:pt idx="4">
                  <c:v>增加校园招聘会场次</c:v>
                </c:pt>
                <c:pt idx="5">
                  <c:v>及时更新发布招聘信息</c:v>
                </c:pt>
                <c:pt idx="6">
                  <c:v>加强毕业生就业指导</c:v>
                </c:pt>
              </c:strCache>
            </c:strRef>
          </c:cat>
          <c:val>
            <c:numRef>
              <c:f>Sheet1!$B$2:$B$8</c:f>
              <c:numCache>
                <c:formatCode>0.00%</c:formatCode>
                <c:ptCount val="7"/>
                <c:pt idx="0">
                  <c:v>0.146666666666667</c:v>
                </c:pt>
                <c:pt idx="1">
                  <c:v>0.0133333333333333</c:v>
                </c:pt>
                <c:pt idx="2">
                  <c:v>0.0933333333333333</c:v>
                </c:pt>
                <c:pt idx="3">
                  <c:v>0.146666666666667</c:v>
                </c:pt>
                <c:pt idx="4">
                  <c:v>0.16</c:v>
                </c:pt>
                <c:pt idx="5">
                  <c:v>0.16</c:v>
                </c:pt>
                <c:pt idx="6">
                  <c:v>0.28</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毕业生规模</c:v>
                </c:pt>
              </c:strCache>
            </c:strRef>
          </c:tx>
          <c:spPr>
            <a:solidFill>
              <a:schemeClr val="accent1"/>
            </a:solidFill>
            <a:ln>
              <a:noFill/>
            </a:ln>
            <a:effectLst/>
          </c:spPr>
          <c:invertIfNegative val="0"/>
          <c:dLbls>
            <c:delete val="1"/>
          </c:dLbls>
          <c:cat>
            <c:strRef>
              <c:f>Sheet1!$A$2:$A$4</c:f>
              <c:strCache>
                <c:ptCount val="3"/>
                <c:pt idx="0">
                  <c:v>2019届</c:v>
                </c:pt>
                <c:pt idx="1">
                  <c:v>2020届</c:v>
                </c:pt>
                <c:pt idx="2">
                  <c:v>2021届</c:v>
                </c:pt>
              </c:strCache>
            </c:strRef>
          </c:cat>
          <c:val>
            <c:numRef>
              <c:f>Sheet1!$B$2:$B$4</c:f>
              <c:numCache>
                <c:formatCode>General</c:formatCode>
                <c:ptCount val="3"/>
                <c:pt idx="0">
                  <c:v>1713</c:v>
                </c:pt>
                <c:pt idx="1">
                  <c:v>2538</c:v>
                </c:pt>
                <c:pt idx="2">
                  <c:v>1899</c:v>
                </c:pt>
              </c:numCache>
            </c:numRef>
          </c:val>
        </c:ser>
        <c:dLbls>
          <c:showLegendKey val="0"/>
          <c:showVal val="1"/>
          <c:showCatName val="0"/>
          <c:showSerName val="0"/>
          <c:showPercent val="0"/>
          <c:showBubbleSize val="0"/>
        </c:dLbls>
        <c:gapWidth val="150"/>
        <c:overlap val="0"/>
        <c:axId val="1142156672"/>
        <c:axId val="1142157064"/>
      </c:barChart>
      <c:lineChart>
        <c:grouping val="standard"/>
        <c:varyColors val="0"/>
        <c:ser>
          <c:idx val="1"/>
          <c:order val="1"/>
          <c:tx>
            <c:strRef>
              <c:f>Sheet1!$C$1</c:f>
              <c:strCache>
                <c:ptCount val="1"/>
                <c:pt idx="0">
                  <c:v>就业率</c:v>
                </c:pt>
              </c:strCache>
            </c:strRef>
          </c:tx>
          <c:spPr>
            <a:ln w="19050" cap="rnd" cmpd="dbl">
              <a:solidFill>
                <a:schemeClr val="accent1"/>
              </a:solidFill>
              <a:round/>
            </a:ln>
            <a:effectLst/>
          </c:spPr>
          <c:marker>
            <c:symbol val="none"/>
          </c:marker>
          <c:dPt>
            <c:idx val="1"/>
            <c:marker>
              <c:symbol val="none"/>
            </c:marker>
            <c:bubble3D val="0"/>
            <c:spPr>
              <a:ln w="19050" cap="rnd" cmpd="dbl">
                <a:solidFill>
                  <a:schemeClr val="accent1"/>
                </a:solidFill>
                <a:round/>
                <a:headEnd type="diamond"/>
                <a:tailEnd type="diamond"/>
              </a:ln>
              <a:effectLst/>
            </c:spPr>
          </c:dPt>
          <c:dPt>
            <c:idx val="2"/>
            <c:marker>
              <c:symbol val="none"/>
            </c:marker>
            <c:bubble3D val="0"/>
            <c:spPr>
              <a:ln w="19050" cap="rnd" cmpd="dbl">
                <a:solidFill>
                  <a:schemeClr val="accent1"/>
                </a:solidFill>
                <a:round/>
                <a:headEnd type="diamond"/>
                <a:tailEnd type="diamond"/>
              </a:ln>
              <a:effectLst/>
            </c:spPr>
          </c:dPt>
          <c:dLbls>
            <c:dLbl>
              <c:idx val="0"/>
              <c:layout>
                <c:manualLayout>
                  <c:x val="0.0906577583227739"/>
                  <c:y val="-0.0197076194670777"/>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906577583227739"/>
                  <c:y val="-0.0305486280554944"/>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63955765464808"/>
                  <c:y val="-0.0199230037436688"/>
                </c:manualLayout>
              </c:layout>
              <c:dLblPos val="l"/>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2019届</c:v>
                </c:pt>
                <c:pt idx="1">
                  <c:v>2020届</c:v>
                </c:pt>
                <c:pt idx="2">
                  <c:v>2021届</c:v>
                </c:pt>
              </c:strCache>
            </c:strRef>
          </c:cat>
          <c:val>
            <c:numRef>
              <c:f>Sheet1!$C$2:$C$4</c:f>
              <c:numCache>
                <c:formatCode>0.00%</c:formatCode>
                <c:ptCount val="3"/>
                <c:pt idx="0">
                  <c:v>0.908</c:v>
                </c:pt>
                <c:pt idx="1">
                  <c:v>0.904</c:v>
                </c:pt>
                <c:pt idx="2">
                  <c:v>0.9279</c:v>
                </c:pt>
              </c:numCache>
            </c:numRef>
          </c:val>
          <c:smooth val="0"/>
        </c:ser>
        <c:dLbls>
          <c:showLegendKey val="0"/>
          <c:showVal val="1"/>
          <c:showCatName val="0"/>
          <c:showSerName val="0"/>
          <c:showPercent val="0"/>
          <c:showBubbleSize val="0"/>
        </c:dLbls>
        <c:marker val="0"/>
        <c:smooth val="0"/>
        <c:axId val="1276349488"/>
        <c:axId val="1276349160"/>
      </c:lineChart>
      <c:catAx>
        <c:axId val="1142156672"/>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142157064"/>
        <c:crosses val="autoZero"/>
        <c:auto val="1"/>
        <c:lblAlgn val="ctr"/>
        <c:lblOffset val="100"/>
        <c:noMultiLvlLbl val="0"/>
      </c:catAx>
      <c:valAx>
        <c:axId val="1142157064"/>
        <c:scaling>
          <c:orientation val="minMax"/>
          <c:max val="3000"/>
          <c:min val="0"/>
        </c:scaling>
        <c:delete val="0"/>
        <c:axPos val="l"/>
        <c:numFmt formatCode="General"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142156672"/>
        <c:crosses val="autoZero"/>
        <c:crossBetween val="between"/>
        <c:majorUnit val="300"/>
      </c:valAx>
      <c:catAx>
        <c:axId val="127634948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1276349160"/>
        <c:crosses val="autoZero"/>
        <c:auto val="1"/>
        <c:lblAlgn val="ctr"/>
        <c:lblOffset val="100"/>
        <c:noMultiLvlLbl val="0"/>
      </c:catAx>
      <c:valAx>
        <c:axId val="1276349160"/>
        <c:scaling>
          <c:orientation val="minMax"/>
          <c:max val="1"/>
          <c:min val="0"/>
        </c:scaling>
        <c:delete val="0"/>
        <c:axPos val="r"/>
        <c:numFmt formatCode="0.00%" sourceLinked="1"/>
        <c:majorTickMark val="in"/>
        <c:minorTickMark val="none"/>
        <c:tickLblPos val="nextTo"/>
        <c:spPr>
          <a:noFill/>
          <a:ln w="22225">
            <a:solidFill>
              <a:schemeClr val="accent1"/>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1276349488"/>
        <c:crosses val="max"/>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[工作簿1]Sheet1!$H$11</c:f>
              <c:strCache>
                <c:ptCount val="1"/>
                <c:pt idx="0">
                  <c:v>2019届</c:v>
                </c:pt>
              </c:strCache>
            </c:strRef>
          </c:tx>
          <c:spPr>
            <a:solidFill>
              <a:schemeClr val="accent1"/>
            </a:solidFill>
            <a:ln>
              <a:noFill/>
            </a:ln>
            <a:effectLst/>
          </c:spPr>
          <c:invertIfNegative val="0"/>
          <c:dLbls>
            <c:delete val="1"/>
          </c:dLbls>
          <c:cat>
            <c:strRef>
              <c:f>[工作簿1]Sheet1!$G$12:$G$16</c:f>
              <c:strCache>
                <c:ptCount val="5"/>
                <c:pt idx="0">
                  <c:v>签劳动合同形式就业</c:v>
                </c:pt>
                <c:pt idx="1">
                  <c:v>其他录用形式就业</c:v>
                </c:pt>
                <c:pt idx="2">
                  <c:v>签就业协议形式就业</c:v>
                </c:pt>
                <c:pt idx="3">
                  <c:v>继续深造</c:v>
                </c:pt>
                <c:pt idx="4">
                  <c:v>自主创业</c:v>
                </c:pt>
              </c:strCache>
            </c:strRef>
          </c:cat>
          <c:val>
            <c:numRef>
              <c:f>[工作簿1]Sheet1!$H$12:$H$16</c:f>
              <c:numCache>
                <c:formatCode>0.00%</c:formatCode>
                <c:ptCount val="5"/>
                <c:pt idx="0">
                  <c:v>0.522</c:v>
                </c:pt>
                <c:pt idx="1">
                  <c:v>0.111</c:v>
                </c:pt>
                <c:pt idx="2">
                  <c:v>0.109</c:v>
                </c:pt>
                <c:pt idx="3">
                  <c:v>0.056</c:v>
                </c:pt>
                <c:pt idx="4">
                  <c:v>0.008</c:v>
                </c:pt>
              </c:numCache>
            </c:numRef>
          </c:val>
        </c:ser>
        <c:ser>
          <c:idx val="1"/>
          <c:order val="1"/>
          <c:tx>
            <c:strRef>
              <c:f>[工作簿1]Sheet1!$I$11</c:f>
              <c:strCache>
                <c:ptCount val="1"/>
                <c:pt idx="0">
                  <c:v>2020届</c:v>
                </c:pt>
              </c:strCache>
            </c:strRef>
          </c:tx>
          <c:spPr>
            <a:solidFill>
              <a:schemeClr val="accent2"/>
            </a:solidFill>
            <a:ln>
              <a:noFill/>
            </a:ln>
            <a:effectLst/>
          </c:spPr>
          <c:invertIfNegative val="0"/>
          <c:dLbls>
            <c:delete val="1"/>
          </c:dLbls>
          <c:cat>
            <c:strRef>
              <c:f>[工作簿1]Sheet1!$G$12:$G$16</c:f>
              <c:strCache>
                <c:ptCount val="5"/>
                <c:pt idx="0">
                  <c:v>签劳动合同形式就业</c:v>
                </c:pt>
                <c:pt idx="1">
                  <c:v>其他录用形式就业</c:v>
                </c:pt>
                <c:pt idx="2">
                  <c:v>签就业协议形式就业</c:v>
                </c:pt>
                <c:pt idx="3">
                  <c:v>继续深造</c:v>
                </c:pt>
                <c:pt idx="4">
                  <c:v>自主创业</c:v>
                </c:pt>
              </c:strCache>
            </c:strRef>
          </c:cat>
          <c:val>
            <c:numRef>
              <c:f>[工作簿1]Sheet1!$I$12:$I$16</c:f>
              <c:numCache>
                <c:formatCode>0.00%</c:formatCode>
                <c:ptCount val="5"/>
                <c:pt idx="0">
                  <c:v>0.19</c:v>
                </c:pt>
                <c:pt idx="1">
                  <c:v>0.309</c:v>
                </c:pt>
                <c:pt idx="2">
                  <c:v>0.145</c:v>
                </c:pt>
                <c:pt idx="3">
                  <c:v>0.057</c:v>
                </c:pt>
                <c:pt idx="4">
                  <c:v>0.009</c:v>
                </c:pt>
              </c:numCache>
            </c:numRef>
          </c:val>
        </c:ser>
        <c:ser>
          <c:idx val="2"/>
          <c:order val="2"/>
          <c:tx>
            <c:strRef>
              <c:f>[工作簿1]Sheet1!$J$11</c:f>
              <c:strCache>
                <c:ptCount val="1"/>
                <c:pt idx="0">
                  <c:v>2021届</c:v>
                </c:pt>
              </c:strCache>
            </c:strRef>
          </c:tx>
          <c:spPr>
            <a:solidFill>
              <a:schemeClr val="accent3"/>
            </a:solidFill>
            <a:ln>
              <a:noFill/>
            </a:ln>
            <a:effectLst/>
          </c:spPr>
          <c:invertIfNegative val="0"/>
          <c:dLbls>
            <c:delete val="1"/>
          </c:dLbls>
          <c:cat>
            <c:strRef>
              <c:f>[工作簿1]Sheet1!$G$12:$G$16</c:f>
              <c:strCache>
                <c:ptCount val="5"/>
                <c:pt idx="0">
                  <c:v>签劳动合同形式就业</c:v>
                </c:pt>
                <c:pt idx="1">
                  <c:v>其他录用形式就业</c:v>
                </c:pt>
                <c:pt idx="2">
                  <c:v>签就业协议形式就业</c:v>
                </c:pt>
                <c:pt idx="3">
                  <c:v>继续深造</c:v>
                </c:pt>
                <c:pt idx="4">
                  <c:v>自主创业</c:v>
                </c:pt>
              </c:strCache>
            </c:strRef>
          </c:cat>
          <c:val>
            <c:numRef>
              <c:f>[工作簿1]Sheet1!$J$12:$J$16</c:f>
              <c:numCache>
                <c:formatCode>0.00%</c:formatCode>
                <c:ptCount val="5"/>
                <c:pt idx="0">
                  <c:v>0.316</c:v>
                </c:pt>
                <c:pt idx="1">
                  <c:v>0.3138</c:v>
                </c:pt>
                <c:pt idx="2">
                  <c:v>0.158</c:v>
                </c:pt>
                <c:pt idx="3">
                  <c:v>0.0695</c:v>
                </c:pt>
                <c:pt idx="4">
                  <c:v>0.0053</c:v>
                </c:pt>
              </c:numCache>
            </c:numRef>
          </c:val>
        </c:ser>
        <c:dLbls>
          <c:showLegendKey val="0"/>
          <c:showVal val="0"/>
          <c:showCatName val="0"/>
          <c:showSerName val="0"/>
          <c:showPercent val="0"/>
          <c:showBubbleSize val="0"/>
        </c:dLbls>
        <c:gapWidth val="150"/>
        <c:overlap val="0"/>
        <c:axId val="696510839"/>
        <c:axId val="718790287"/>
      </c:barChart>
      <c:catAx>
        <c:axId val="6965108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8790287"/>
        <c:crosses val="autoZero"/>
        <c:auto val="1"/>
        <c:lblAlgn val="ctr"/>
        <c:lblOffset val="100"/>
        <c:noMultiLvlLbl val="0"/>
      </c:catAx>
      <c:valAx>
        <c:axId val="718790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65108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[趋势分析.xlsx]Sheet1!$Q$4</c:f>
              <c:strCache>
                <c:ptCount val="1"/>
                <c:pt idx="0">
                  <c:v>2019届</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[趋势分析.xlsx]Sheet1!$R$3:$T$3</c:f>
              <c:strCache>
                <c:ptCount val="3"/>
                <c:pt idx="0">
                  <c:v>就业满意度</c:v>
                </c:pt>
                <c:pt idx="1">
                  <c:v>专业相关度</c:v>
                </c:pt>
                <c:pt idx="2">
                  <c:v>职业期待吻合度</c:v>
                </c:pt>
              </c:strCache>
            </c:strRef>
          </c:cat>
          <c:val>
            <c:numRef>
              <c:f>[趋势分析.xlsx]Sheet1!$R$4:$T$4</c:f>
              <c:numCache>
                <c:formatCode>0.00%</c:formatCode>
                <c:ptCount val="3"/>
                <c:pt idx="0">
                  <c:v>0.83</c:v>
                </c:pt>
                <c:pt idx="1">
                  <c:v>0.84</c:v>
                </c:pt>
                <c:pt idx="2">
                  <c:v>0.85</c:v>
                </c:pt>
              </c:numCache>
            </c:numRef>
          </c:val>
        </c:ser>
        <c:ser>
          <c:idx val="1"/>
          <c:order val="1"/>
          <c:tx>
            <c:strRef>
              <c:f>[趋势分析.xlsx]Sheet1!$Q$5</c:f>
              <c:strCache>
                <c:ptCount val="1"/>
                <c:pt idx="0">
                  <c:v>2020届</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[趋势分析.xlsx]Sheet1!$R$3:$T$3</c:f>
              <c:strCache>
                <c:ptCount val="3"/>
                <c:pt idx="0">
                  <c:v>就业满意度</c:v>
                </c:pt>
                <c:pt idx="1">
                  <c:v>专业相关度</c:v>
                </c:pt>
                <c:pt idx="2">
                  <c:v>职业期待吻合度</c:v>
                </c:pt>
              </c:strCache>
            </c:strRef>
          </c:cat>
          <c:val>
            <c:numRef>
              <c:f>[趋势分析.xlsx]Sheet1!$R$5:$T$5</c:f>
              <c:numCache>
                <c:formatCode>0.00%</c:formatCode>
                <c:ptCount val="3"/>
                <c:pt idx="0">
                  <c:v>0.73</c:v>
                </c:pt>
                <c:pt idx="1">
                  <c:v>0.74</c:v>
                </c:pt>
                <c:pt idx="2">
                  <c:v>0.73</c:v>
                </c:pt>
              </c:numCache>
            </c:numRef>
          </c:val>
        </c:ser>
        <c:ser>
          <c:idx val="2"/>
          <c:order val="2"/>
          <c:tx>
            <c:strRef>
              <c:f>[趋势分析.xlsx]Sheet1!$Q$6</c:f>
              <c:strCache>
                <c:ptCount val="1"/>
                <c:pt idx="0">
                  <c:v>2021届</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[趋势分析.xlsx]Sheet1!$R$3:$T$3</c:f>
              <c:strCache>
                <c:ptCount val="3"/>
                <c:pt idx="0">
                  <c:v>就业满意度</c:v>
                </c:pt>
                <c:pt idx="1">
                  <c:v>专业相关度</c:v>
                </c:pt>
                <c:pt idx="2">
                  <c:v>职业期待吻合度</c:v>
                </c:pt>
              </c:strCache>
            </c:strRef>
          </c:cat>
          <c:val>
            <c:numRef>
              <c:f>[趋势分析.xlsx]Sheet1!$R$6:$T$6</c:f>
              <c:numCache>
                <c:formatCode>0.00%</c:formatCode>
                <c:ptCount val="3"/>
                <c:pt idx="0">
                  <c:v>0.7544</c:v>
                </c:pt>
                <c:pt idx="1">
                  <c:v>0.7584</c:v>
                </c:pt>
                <c:pt idx="2">
                  <c:v>0.7416</c:v>
                </c:pt>
              </c:numCache>
            </c:numRef>
          </c:val>
        </c:ser>
        <c:dLbls>
          <c:showLegendKey val="0"/>
          <c:showVal val="1"/>
          <c:showCatName val="0"/>
          <c:showSerName val="0"/>
          <c:showPercent val="0"/>
          <c:showBubbleSize val="0"/>
        </c:dLbls>
        <c:gapWidth val="219"/>
        <c:overlap val="-27"/>
        <c:axId val="978542139"/>
        <c:axId val="760448669"/>
      </c:barChart>
      <c:catAx>
        <c:axId val="9785421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0448669"/>
        <c:crosses val="autoZero"/>
        <c:auto val="1"/>
        <c:lblAlgn val="ctr"/>
        <c:lblOffset val="100"/>
        <c:noMultiLvlLbl val="0"/>
      </c:catAx>
      <c:valAx>
        <c:axId val="76044866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54213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[趋势分析.xlsx]Sheet1!$H$3</c:f>
              <c:strCache>
                <c:ptCount val="1"/>
                <c:pt idx="0">
                  <c:v>2019届</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[趋势分析.xlsx]Sheet1!$G$4:$G$10</c:f>
              <c:strCache>
                <c:ptCount val="7"/>
                <c:pt idx="0">
                  <c:v>江苏</c:v>
                </c:pt>
                <c:pt idx="1">
                  <c:v>重庆</c:v>
                </c:pt>
                <c:pt idx="2">
                  <c:v>浙江</c:v>
                </c:pt>
                <c:pt idx="3">
                  <c:v>四川</c:v>
                </c:pt>
                <c:pt idx="4">
                  <c:v>湖南</c:v>
                </c:pt>
                <c:pt idx="5">
                  <c:v>广东</c:v>
                </c:pt>
                <c:pt idx="6">
                  <c:v>贵州</c:v>
                </c:pt>
              </c:strCache>
            </c:strRef>
          </c:cat>
          <c:val>
            <c:numRef>
              <c:f>[趋势分析.xlsx]Sheet1!$H$4:$H$10</c:f>
              <c:numCache>
                <c:formatCode>0.00%</c:formatCode>
                <c:ptCount val="7"/>
                <c:pt idx="0">
                  <c:v>0.009</c:v>
                </c:pt>
                <c:pt idx="1">
                  <c:v>0.013</c:v>
                </c:pt>
                <c:pt idx="2">
                  <c:v>0.011</c:v>
                </c:pt>
                <c:pt idx="3">
                  <c:v>0.013</c:v>
                </c:pt>
                <c:pt idx="4">
                  <c:v>0.039</c:v>
                </c:pt>
                <c:pt idx="5">
                  <c:v>0.034</c:v>
                </c:pt>
                <c:pt idx="6">
                  <c:v>0.813</c:v>
                </c:pt>
              </c:numCache>
            </c:numRef>
          </c:val>
        </c:ser>
        <c:ser>
          <c:idx val="1"/>
          <c:order val="1"/>
          <c:tx>
            <c:strRef>
              <c:f>[趋势分析.xlsx]Sheet1!$I$3</c:f>
              <c:strCache>
                <c:ptCount val="1"/>
                <c:pt idx="0">
                  <c:v>2020届</c:v>
                </c:pt>
              </c:strCache>
            </c:strRef>
          </c:tx>
          <c:spPr>
            <a:gradFill>
              <a:gsLst>
                <a:gs pos="97000">
                  <a:srgbClr val="FBFB11"/>
                </a:gs>
                <a:gs pos="100000">
                  <a:srgbClr val="838309"/>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[趋势分析.xlsx]Sheet1!$G$4:$G$10</c:f>
              <c:strCache>
                <c:ptCount val="7"/>
                <c:pt idx="0">
                  <c:v>江苏</c:v>
                </c:pt>
                <c:pt idx="1">
                  <c:v>重庆</c:v>
                </c:pt>
                <c:pt idx="2">
                  <c:v>浙江</c:v>
                </c:pt>
                <c:pt idx="3">
                  <c:v>四川</c:v>
                </c:pt>
                <c:pt idx="4">
                  <c:v>湖南</c:v>
                </c:pt>
                <c:pt idx="5">
                  <c:v>广东</c:v>
                </c:pt>
                <c:pt idx="6">
                  <c:v>贵州</c:v>
                </c:pt>
              </c:strCache>
            </c:strRef>
          </c:cat>
          <c:val>
            <c:numRef>
              <c:f>[趋势分析.xlsx]Sheet1!$I$4:$I$10</c:f>
              <c:numCache>
                <c:formatCode>0.00%</c:formatCode>
                <c:ptCount val="7"/>
                <c:pt idx="0">
                  <c:v>0.01</c:v>
                </c:pt>
                <c:pt idx="1">
                  <c:v>0.016</c:v>
                </c:pt>
                <c:pt idx="2">
                  <c:v>0.018</c:v>
                </c:pt>
                <c:pt idx="3">
                  <c:v>0.026</c:v>
                </c:pt>
                <c:pt idx="4">
                  <c:v>0.033</c:v>
                </c:pt>
                <c:pt idx="5">
                  <c:v>0.041</c:v>
                </c:pt>
                <c:pt idx="6">
                  <c:v>0.798</c:v>
                </c:pt>
              </c:numCache>
            </c:numRef>
          </c:val>
        </c:ser>
        <c:ser>
          <c:idx val="2"/>
          <c:order val="2"/>
          <c:tx>
            <c:strRef>
              <c:f>[趋势分析.xlsx]Sheet1!$J$3</c:f>
              <c:strCache>
                <c:ptCount val="1"/>
                <c:pt idx="0">
                  <c:v>2021届</c:v>
                </c:pt>
              </c:strCache>
            </c:strRef>
          </c:tx>
          <c:spPr>
            <a:solidFill>
              <a:schemeClr val="tx1">
                <a:lumMod val="50000"/>
                <a:lumOff val="5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[趋势分析.xlsx]Sheet1!$G$4:$G$10</c:f>
              <c:strCache>
                <c:ptCount val="7"/>
                <c:pt idx="0">
                  <c:v>江苏</c:v>
                </c:pt>
                <c:pt idx="1">
                  <c:v>重庆</c:v>
                </c:pt>
                <c:pt idx="2">
                  <c:v>浙江</c:v>
                </c:pt>
                <c:pt idx="3">
                  <c:v>四川</c:v>
                </c:pt>
                <c:pt idx="4">
                  <c:v>湖南</c:v>
                </c:pt>
                <c:pt idx="5">
                  <c:v>广东</c:v>
                </c:pt>
                <c:pt idx="6">
                  <c:v>贵州</c:v>
                </c:pt>
              </c:strCache>
            </c:strRef>
          </c:cat>
          <c:val>
            <c:numRef>
              <c:f>[趋势分析.xlsx]Sheet1!$J$4:$J$10</c:f>
              <c:numCache>
                <c:formatCode>0.00%</c:formatCode>
                <c:ptCount val="7"/>
                <c:pt idx="0">
                  <c:v>0.0130597014925373</c:v>
                </c:pt>
                <c:pt idx="1">
                  <c:v>0.0199004975124378</c:v>
                </c:pt>
                <c:pt idx="2">
                  <c:v>0.0205223880597015</c:v>
                </c:pt>
                <c:pt idx="3">
                  <c:v>0.0217661691542289</c:v>
                </c:pt>
                <c:pt idx="4">
                  <c:v>0.0323383084577114</c:v>
                </c:pt>
                <c:pt idx="5">
                  <c:v>0.0690298507462687</c:v>
                </c:pt>
                <c:pt idx="6">
                  <c:v>0.723880597014925</c:v>
                </c:pt>
              </c:numCache>
            </c:numRef>
          </c:val>
        </c:ser>
        <c:dLbls>
          <c:showLegendKey val="0"/>
          <c:showVal val="1"/>
          <c:showCatName val="0"/>
          <c:showSerName val="0"/>
          <c:showPercent val="0"/>
          <c:showBubbleSize val="0"/>
        </c:dLbls>
        <c:gapWidth val="182"/>
        <c:overlap val="0"/>
        <c:axId val="797851697"/>
        <c:axId val="860096426"/>
      </c:barChart>
      <c:catAx>
        <c:axId val="797851697"/>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0096426"/>
        <c:crosses val="autoZero"/>
        <c:auto val="1"/>
        <c:lblAlgn val="ctr"/>
        <c:lblOffset val="100"/>
        <c:noMultiLvlLbl val="0"/>
      </c:catAx>
      <c:valAx>
        <c:axId val="86009642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785169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[趋势分析.xlsx]Sheet1!$M$3</c:f>
              <c:strCache>
                <c:ptCount val="1"/>
                <c:pt idx="0">
                  <c:v>2021届</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[趋势分析.xlsx]Sheet1!$L$4:$L$10</c:f>
              <c:strCache>
                <c:ptCount val="7"/>
                <c:pt idx="0" c:formatCode="0.00%">
                  <c:v>公共管理、社会保障和社会组织</c:v>
                </c:pt>
                <c:pt idx="1" c:formatCode="0.00%">
                  <c:v>批发和零售业</c:v>
                </c:pt>
                <c:pt idx="2" c:formatCode="0.00%">
                  <c:v>居民服务、修理和其他服务业</c:v>
                </c:pt>
                <c:pt idx="3" c:formatCode="0.00%">
                  <c:v>建筑业</c:v>
                </c:pt>
                <c:pt idx="4" c:formatCode="0.00%">
                  <c:v>制造业</c:v>
                </c:pt>
                <c:pt idx="5" c:formatCode="0.00%">
                  <c:v>信息传输、软件和信息技术服务业</c:v>
                </c:pt>
                <c:pt idx="6" c:formatCode="0.00%">
                  <c:v>教育</c:v>
                </c:pt>
              </c:strCache>
            </c:strRef>
          </c:cat>
          <c:val>
            <c:numRef>
              <c:f>[趋势分析.xlsx]Sheet1!$M$4:$M$10</c:f>
              <c:numCache>
                <c:formatCode>0.00%</c:formatCode>
                <c:ptCount val="7"/>
                <c:pt idx="0">
                  <c:v>0.050464807436919</c:v>
                </c:pt>
                <c:pt idx="1">
                  <c:v>0.051792828685259</c:v>
                </c:pt>
                <c:pt idx="2">
                  <c:v>0.0551128818061089</c:v>
                </c:pt>
                <c:pt idx="3">
                  <c:v>0.0571049136786189</c:v>
                </c:pt>
                <c:pt idx="4">
                  <c:v>0.0710491367861886</c:v>
                </c:pt>
                <c:pt idx="5">
                  <c:v>0.144754316069057</c:v>
                </c:pt>
                <c:pt idx="6">
                  <c:v>0.254980079681275</c:v>
                </c:pt>
              </c:numCache>
            </c:numRef>
          </c:val>
        </c:ser>
        <c:ser>
          <c:idx val="1"/>
          <c:order val="1"/>
          <c:tx>
            <c:strRef>
              <c:f>[趋势分析.xlsx]Sheet1!$N$3</c:f>
              <c:strCache>
                <c:ptCount val="1"/>
                <c:pt idx="0">
                  <c:v>2020届</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[趋势分析.xlsx]Sheet1!$L$4:$L$10</c:f>
              <c:strCache>
                <c:ptCount val="7"/>
                <c:pt idx="0" c:formatCode="0.00%">
                  <c:v>公共管理、社会保障和社会组织</c:v>
                </c:pt>
                <c:pt idx="1" c:formatCode="0.00%">
                  <c:v>批发和零售业</c:v>
                </c:pt>
                <c:pt idx="2" c:formatCode="0.00%">
                  <c:v>居民服务、修理和其他服务业</c:v>
                </c:pt>
                <c:pt idx="3" c:formatCode="0.00%">
                  <c:v>建筑业</c:v>
                </c:pt>
                <c:pt idx="4" c:formatCode="0.00%">
                  <c:v>制造业</c:v>
                </c:pt>
                <c:pt idx="5" c:formatCode="0.00%">
                  <c:v>信息传输、软件和信息技术服务业</c:v>
                </c:pt>
                <c:pt idx="6" c:formatCode="0.00%">
                  <c:v>教育</c:v>
                </c:pt>
              </c:strCache>
            </c:strRef>
          </c:cat>
          <c:val>
            <c:numRef>
              <c:f>[趋势分析.xlsx]Sheet1!$N$4:$N$10</c:f>
              <c:numCache>
                <c:formatCode>0.00%</c:formatCode>
                <c:ptCount val="7"/>
                <c:pt idx="0">
                  <c:v>0.098</c:v>
                </c:pt>
                <c:pt idx="1">
                  <c:v>0.043</c:v>
                </c:pt>
                <c:pt idx="2">
                  <c:v>0.041</c:v>
                </c:pt>
                <c:pt idx="3">
                  <c:v>0.08</c:v>
                </c:pt>
                <c:pt idx="4">
                  <c:v>0.049</c:v>
                </c:pt>
                <c:pt idx="5">
                  <c:v>0.086</c:v>
                </c:pt>
                <c:pt idx="6">
                  <c:v>0.368</c:v>
                </c:pt>
              </c:numCache>
            </c:numRef>
          </c:val>
        </c:ser>
        <c:ser>
          <c:idx val="2"/>
          <c:order val="2"/>
          <c:tx>
            <c:strRef>
              <c:f>[趋势分析.xlsx]Sheet1!$O$3</c:f>
              <c:strCache>
                <c:ptCount val="1"/>
                <c:pt idx="0">
                  <c:v>2019届</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[趋势分析.xlsx]Sheet1!$L$4:$L$10</c:f>
              <c:strCache>
                <c:ptCount val="7"/>
                <c:pt idx="0" c:formatCode="0.00%">
                  <c:v>公共管理、社会保障和社会组织</c:v>
                </c:pt>
                <c:pt idx="1" c:formatCode="0.00%">
                  <c:v>批发和零售业</c:v>
                </c:pt>
                <c:pt idx="2" c:formatCode="0.00%">
                  <c:v>居民服务、修理和其他服务业</c:v>
                </c:pt>
                <c:pt idx="3" c:formatCode="0.00%">
                  <c:v>建筑业</c:v>
                </c:pt>
                <c:pt idx="4" c:formatCode="0.00%">
                  <c:v>制造业</c:v>
                </c:pt>
                <c:pt idx="5" c:formatCode="0.00%">
                  <c:v>信息传输、软件和信息技术服务业</c:v>
                </c:pt>
                <c:pt idx="6" c:formatCode="0.00%">
                  <c:v>教育</c:v>
                </c:pt>
              </c:strCache>
            </c:strRef>
          </c:cat>
          <c:val>
            <c:numRef>
              <c:f>[趋势分析.xlsx]Sheet1!$O$4:$O$10</c:f>
              <c:numCache>
                <c:formatCode>0.00%</c:formatCode>
                <c:ptCount val="7"/>
                <c:pt idx="0">
                  <c:v>0.052</c:v>
                </c:pt>
                <c:pt idx="1">
                  <c:v>0.051</c:v>
                </c:pt>
                <c:pt idx="2">
                  <c:v>0.028</c:v>
                </c:pt>
                <c:pt idx="3">
                  <c:v>0.061</c:v>
                </c:pt>
                <c:pt idx="4">
                  <c:v>0.042</c:v>
                </c:pt>
                <c:pt idx="5">
                  <c:v>0.125</c:v>
                </c:pt>
                <c:pt idx="6">
                  <c:v>0.311</c:v>
                </c:pt>
              </c:numCache>
            </c:numRef>
          </c:val>
        </c:ser>
        <c:dLbls>
          <c:showLegendKey val="0"/>
          <c:showVal val="1"/>
          <c:showCatName val="0"/>
          <c:showSerName val="0"/>
          <c:showPercent val="0"/>
          <c:showBubbleSize val="0"/>
        </c:dLbls>
        <c:gapWidth val="182"/>
        <c:overlap val="0"/>
        <c:axId val="420134543"/>
        <c:axId val="415008952"/>
      </c:barChart>
      <c:catAx>
        <c:axId val="420134543"/>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5008952"/>
        <c:crosses val="autoZero"/>
        <c:auto val="1"/>
        <c:lblAlgn val="ctr"/>
        <c:lblOffset val="100"/>
        <c:noMultiLvlLbl val="0"/>
      </c:catAx>
      <c:valAx>
        <c:axId val="4150089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013454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143631436314"/>
          <c:y val="0.0465188401302528"/>
          <c:w val="0.573864498644986"/>
          <c:h val="0.875949759652659"/>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Sheet1!$A$2:$A$20</c:f>
              <c:strCache>
                <c:ptCount val="19"/>
                <c:pt idx="0">
                  <c:v>采矿业</c:v>
                </c:pt>
                <c:pt idx="1">
                  <c:v>交通运输、仓储和邮政业</c:v>
                </c:pt>
                <c:pt idx="2">
                  <c:v>金融业</c:v>
                </c:pt>
                <c:pt idx="3">
                  <c:v>租赁和商务服务业</c:v>
                </c:pt>
                <c:pt idx="4">
                  <c:v>房地产业</c:v>
                </c:pt>
                <c:pt idx="5">
                  <c:v>住宿和餐饮业</c:v>
                </c:pt>
                <c:pt idx="6">
                  <c:v>科学研究和技术服务业</c:v>
                </c:pt>
                <c:pt idx="7">
                  <c:v>水利、环境和公共设施管理业</c:v>
                </c:pt>
                <c:pt idx="8">
                  <c:v>农、林、牧、渔业</c:v>
                </c:pt>
                <c:pt idx="9">
                  <c:v>卫生和社会工作</c:v>
                </c:pt>
                <c:pt idx="10">
                  <c:v>电力、热力、燃气及水生产和供应业</c:v>
                </c:pt>
                <c:pt idx="11">
                  <c:v>公共管理、社会保障和社会组织</c:v>
                </c:pt>
                <c:pt idx="12">
                  <c:v>制造业</c:v>
                </c:pt>
                <c:pt idx="13">
                  <c:v>建筑业</c:v>
                </c:pt>
                <c:pt idx="14">
                  <c:v>文化、体育和娱乐业</c:v>
                </c:pt>
                <c:pt idx="15">
                  <c:v>批发和零售业</c:v>
                </c:pt>
                <c:pt idx="16">
                  <c:v>居民服务、修理和其他服务业</c:v>
                </c:pt>
                <c:pt idx="17">
                  <c:v>信息传输、软件和信息技术服务业</c:v>
                </c:pt>
                <c:pt idx="18">
                  <c:v>教育</c:v>
                </c:pt>
              </c:strCache>
            </c:strRef>
          </c:cat>
          <c:val>
            <c:numRef>
              <c:f>Sheet1!$B$2:$B$20</c:f>
              <c:numCache>
                <c:formatCode>0.00%</c:formatCode>
                <c:ptCount val="19"/>
                <c:pt idx="0">
                  <c:v>0.00818330605564648</c:v>
                </c:pt>
                <c:pt idx="1">
                  <c:v>0.0114566284779051</c:v>
                </c:pt>
                <c:pt idx="2">
                  <c:v>0.0180032733224223</c:v>
                </c:pt>
                <c:pt idx="3">
                  <c:v>0.0180032733224223</c:v>
                </c:pt>
                <c:pt idx="4">
                  <c:v>0.0212765957446809</c:v>
                </c:pt>
                <c:pt idx="5">
                  <c:v>0.0212765957446809</c:v>
                </c:pt>
                <c:pt idx="6">
                  <c:v>0.0229132569558101</c:v>
                </c:pt>
                <c:pt idx="7">
                  <c:v>0.0229132569558101</c:v>
                </c:pt>
                <c:pt idx="8">
                  <c:v>0.0245499181669394</c:v>
                </c:pt>
                <c:pt idx="9">
                  <c:v>0.0360065466448445</c:v>
                </c:pt>
                <c:pt idx="10">
                  <c:v>0.0376432078559738</c:v>
                </c:pt>
                <c:pt idx="11">
                  <c:v>0.0507364975450082</c:v>
                </c:pt>
                <c:pt idx="12">
                  <c:v>0.0507364975450082</c:v>
                </c:pt>
                <c:pt idx="13">
                  <c:v>0.0572831423895254</c:v>
                </c:pt>
                <c:pt idx="14">
                  <c:v>0.0589198036006547</c:v>
                </c:pt>
                <c:pt idx="15">
                  <c:v>0.0654664484451719</c:v>
                </c:pt>
                <c:pt idx="16">
                  <c:v>0.0687397708674304</c:v>
                </c:pt>
                <c:pt idx="17">
                  <c:v>0.122749590834697</c:v>
                </c:pt>
                <c:pt idx="18">
                  <c:v>0.283142389525368</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143631436314"/>
          <c:y val="0.0465188401302528"/>
          <c:w val="0.573864498644986"/>
          <c:h val="0.875949759652659"/>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Sheet1!$A$2:$A$19</c:f>
              <c:strCache>
                <c:ptCount val="18"/>
                <c:pt idx="0">
                  <c:v>科学研究和技术服务业</c:v>
                </c:pt>
                <c:pt idx="1">
                  <c:v>采矿业</c:v>
                </c:pt>
                <c:pt idx="2">
                  <c:v>公共管理、社会保障和社会组织</c:v>
                </c:pt>
                <c:pt idx="3">
                  <c:v>租赁和商务服务业</c:v>
                </c:pt>
                <c:pt idx="4">
                  <c:v>农、林、牧、渔业</c:v>
                </c:pt>
                <c:pt idx="5">
                  <c:v>交通运输、仓储和邮政业</c:v>
                </c:pt>
                <c:pt idx="6">
                  <c:v>水利、环境和公共设施管理业</c:v>
                </c:pt>
                <c:pt idx="7">
                  <c:v>金融业</c:v>
                </c:pt>
                <c:pt idx="8">
                  <c:v>房地产业</c:v>
                </c:pt>
                <c:pt idx="9">
                  <c:v>制造业</c:v>
                </c:pt>
                <c:pt idx="10">
                  <c:v>卫生和社会工作</c:v>
                </c:pt>
                <c:pt idx="11">
                  <c:v>住宿和餐饮业</c:v>
                </c:pt>
                <c:pt idx="12">
                  <c:v>批发和零售业</c:v>
                </c:pt>
                <c:pt idx="13">
                  <c:v>居民服务、修理和其他服务业</c:v>
                </c:pt>
                <c:pt idx="14">
                  <c:v>建筑业</c:v>
                </c:pt>
                <c:pt idx="15">
                  <c:v>文化、体育和娱乐业</c:v>
                </c:pt>
                <c:pt idx="16">
                  <c:v>信息传输、软件和信息技术服务业</c:v>
                </c:pt>
                <c:pt idx="17">
                  <c:v>教育</c:v>
                </c:pt>
              </c:strCache>
            </c:strRef>
          </c:cat>
          <c:val>
            <c:numRef>
              <c:f>Sheet1!$B$2:$B$19</c:f>
              <c:numCache>
                <c:formatCode>0.00%</c:formatCode>
                <c:ptCount val="18"/>
                <c:pt idx="0">
                  <c:v>0.00701754385964912</c:v>
                </c:pt>
                <c:pt idx="1">
                  <c:v>0.00701754385964912</c:v>
                </c:pt>
                <c:pt idx="2">
                  <c:v>0.0105263157894737</c:v>
                </c:pt>
                <c:pt idx="3">
                  <c:v>0.0175438596491228</c:v>
                </c:pt>
                <c:pt idx="4">
                  <c:v>0.0210526315789474</c:v>
                </c:pt>
                <c:pt idx="5">
                  <c:v>0.0210526315789474</c:v>
                </c:pt>
                <c:pt idx="6">
                  <c:v>0.0245614035087719</c:v>
                </c:pt>
                <c:pt idx="7">
                  <c:v>0.0245614035087719</c:v>
                </c:pt>
                <c:pt idx="8">
                  <c:v>0.0280701754385965</c:v>
                </c:pt>
                <c:pt idx="9">
                  <c:v>0.0421052631578947</c:v>
                </c:pt>
                <c:pt idx="10">
                  <c:v>0.0456140350877193</c:v>
                </c:pt>
                <c:pt idx="11">
                  <c:v>0.0526315789473684</c:v>
                </c:pt>
                <c:pt idx="12">
                  <c:v>0.0526315789473684</c:v>
                </c:pt>
                <c:pt idx="13">
                  <c:v>0.0666666666666667</c:v>
                </c:pt>
                <c:pt idx="14">
                  <c:v>0.0666666666666667</c:v>
                </c:pt>
                <c:pt idx="15">
                  <c:v>0.0807017543859649</c:v>
                </c:pt>
                <c:pt idx="16">
                  <c:v>0.133333333333333</c:v>
                </c:pt>
                <c:pt idx="17">
                  <c:v>0.298245614035088</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8">
  <a:schemeClr val="accent5"/>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8">
  <a:schemeClr val="accent5"/>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8">
  <a:schemeClr val="accent5"/>
</cs:colorStyle>
</file>

<file path=word/charts/colors34.xml><?xml version="1.0" encoding="utf-8"?>
<cs:colorStyle xmlns:cs="http://schemas.microsoft.com/office/drawing/2012/chartStyle" xmlns:a="http://schemas.openxmlformats.org/drawingml/2006/main" meth="withinLinear" id="18">
  <a:schemeClr val="accent5"/>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 id="18">
  <a:schemeClr val="accent5"/>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 id="18">
  <a:schemeClr val="accent5"/>
</cs:colorStyle>
</file>

<file path=word/charts/colors39.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withinLinear" id="18">
  <a:schemeClr val="accent5"/>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_rels/themeOverride1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fillRect/>
        </a:stretch>
      </a:blipFill>
    </a:bgFillStyleLst>
  </a:fmtScheme>
</a:themeOverride>
</file>

<file path=word/theme/themeOverride13.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蓝色">
    <a:dk1>
      <a:sysClr val="windowText" lastClr="000000"/>
    </a:dk1>
    <a:lt1>
      <a:sysClr val="window" lastClr="CCE8C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http://sdwm.org</Company>
  <Pages>68</Pages>
  <Words>13738</Words>
  <Characters>16620</Characters>
  <Lines>204</Lines>
  <Paragraphs>57</Paragraphs>
  <TotalTime>1</TotalTime>
  <ScaleCrop>false</ScaleCrop>
  <LinksUpToDate>false</LinksUpToDate>
  <CharactersWithSpaces>17714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2020-12-23T08:45:00Z</dcterms:created>
  <dc:creator>SDWM</dc:creator>
  <cp:lastModifiedBy>微行</cp:lastModifiedBy>
  <cp:lastPrinted>2020-12-23T08:45:00Z</cp:lastPrinted>
  <dcterms:modified xsi:type="dcterms:W3CDTF">2021-12-31T07:49:07Z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